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A1362E" w14:textId="77777777" w:rsidR="00842C90" w:rsidRDefault="00842C90" w:rsidP="002E07C5">
      <w:pPr>
        <w:jc w:val="center"/>
        <w:rPr>
          <w:rFonts w:cs="Arial"/>
          <w:b/>
          <w:sz w:val="40"/>
          <w:szCs w:val="40"/>
        </w:rPr>
      </w:pPr>
    </w:p>
    <w:p w14:paraId="1CA8403B" w14:textId="77777777" w:rsidR="00842C90" w:rsidRDefault="00842C90" w:rsidP="002E07C5">
      <w:pPr>
        <w:jc w:val="center"/>
        <w:rPr>
          <w:rFonts w:cs="Arial"/>
          <w:b/>
          <w:sz w:val="40"/>
          <w:szCs w:val="40"/>
        </w:rPr>
      </w:pPr>
    </w:p>
    <w:p w14:paraId="3CE6AC2B" w14:textId="77777777" w:rsidR="009A0A1E" w:rsidRDefault="009A0A1E" w:rsidP="002E07C5">
      <w:pPr>
        <w:jc w:val="center"/>
        <w:rPr>
          <w:rFonts w:cs="Arial"/>
          <w:b/>
          <w:sz w:val="48"/>
          <w:szCs w:val="40"/>
        </w:rPr>
      </w:pPr>
    </w:p>
    <w:p w14:paraId="1A368EFA" w14:textId="77777777" w:rsidR="009A0A1E" w:rsidRPr="009A0A1E" w:rsidRDefault="000913DF" w:rsidP="002E07C5">
      <w:pPr>
        <w:jc w:val="center"/>
        <w:rPr>
          <w:rFonts w:cs="Arial"/>
          <w:b/>
          <w:sz w:val="48"/>
          <w:szCs w:val="40"/>
        </w:rPr>
      </w:pPr>
      <w:r w:rsidRPr="009A0A1E">
        <w:rPr>
          <w:rFonts w:cs="Arial"/>
          <w:b/>
          <w:sz w:val="48"/>
          <w:szCs w:val="40"/>
        </w:rPr>
        <w:t>Tanzania Health Financing Strategy</w:t>
      </w:r>
      <w:r w:rsidR="00696E2A" w:rsidRPr="009A0A1E">
        <w:rPr>
          <w:rFonts w:cs="Arial"/>
          <w:b/>
          <w:sz w:val="48"/>
          <w:szCs w:val="40"/>
        </w:rPr>
        <w:t xml:space="preserve"> </w:t>
      </w:r>
    </w:p>
    <w:p w14:paraId="621C0C41" w14:textId="3A17DAAC" w:rsidR="00F51596" w:rsidRPr="009A0A1E" w:rsidRDefault="00696E2A" w:rsidP="002E07C5">
      <w:pPr>
        <w:jc w:val="center"/>
        <w:rPr>
          <w:rFonts w:cs="Arial"/>
          <w:b/>
          <w:sz w:val="48"/>
          <w:szCs w:val="40"/>
        </w:rPr>
      </w:pPr>
      <w:r w:rsidRPr="009A0A1E">
        <w:rPr>
          <w:rFonts w:cs="Arial"/>
          <w:b/>
          <w:sz w:val="48"/>
          <w:szCs w:val="40"/>
        </w:rPr>
        <w:t>2015</w:t>
      </w:r>
      <w:r w:rsidR="00D977E1" w:rsidRPr="009A0A1E">
        <w:rPr>
          <w:rFonts w:cs="Arial"/>
          <w:b/>
          <w:sz w:val="48"/>
          <w:szCs w:val="40"/>
        </w:rPr>
        <w:t>-2025</w:t>
      </w:r>
    </w:p>
    <w:p w14:paraId="402CC7C2" w14:textId="0D48A019" w:rsidR="009A0A1E" w:rsidRPr="009A0A1E" w:rsidRDefault="00B14C64" w:rsidP="002E07C5">
      <w:pPr>
        <w:jc w:val="center"/>
        <w:rPr>
          <w:rFonts w:cs="Arial"/>
          <w:b/>
          <w:sz w:val="48"/>
          <w:szCs w:val="40"/>
        </w:rPr>
      </w:pPr>
      <w:r w:rsidRPr="009A0A1E">
        <w:rPr>
          <w:rFonts w:cs="Arial"/>
          <w:b/>
          <w:sz w:val="48"/>
          <w:szCs w:val="40"/>
        </w:rPr>
        <w:t xml:space="preserve">Path </w:t>
      </w:r>
      <w:r w:rsidR="007015AB">
        <w:rPr>
          <w:rFonts w:cs="Arial"/>
          <w:b/>
          <w:sz w:val="48"/>
          <w:szCs w:val="40"/>
        </w:rPr>
        <w:t>towards</w:t>
      </w:r>
      <w:r w:rsidRPr="009A0A1E">
        <w:rPr>
          <w:rFonts w:cs="Arial"/>
          <w:b/>
          <w:sz w:val="48"/>
          <w:szCs w:val="40"/>
        </w:rPr>
        <w:t xml:space="preserve"> Universal </w:t>
      </w:r>
    </w:p>
    <w:p w14:paraId="690F0B6D" w14:textId="10F83E10" w:rsidR="00A6781D" w:rsidRPr="009A0A1E" w:rsidRDefault="00B14C64" w:rsidP="002E07C5">
      <w:pPr>
        <w:jc w:val="center"/>
        <w:rPr>
          <w:rFonts w:cs="Arial"/>
          <w:b/>
          <w:sz w:val="48"/>
          <w:szCs w:val="40"/>
        </w:rPr>
      </w:pPr>
      <w:r w:rsidRPr="009A0A1E">
        <w:rPr>
          <w:rFonts w:cs="Arial"/>
          <w:b/>
          <w:sz w:val="48"/>
          <w:szCs w:val="40"/>
        </w:rPr>
        <w:t>Health Coverage</w:t>
      </w:r>
    </w:p>
    <w:p w14:paraId="0136516F" w14:textId="77777777" w:rsidR="00193D08" w:rsidRPr="009A0A1E" w:rsidRDefault="00193D08" w:rsidP="002E07C5">
      <w:pPr>
        <w:jc w:val="center"/>
        <w:rPr>
          <w:rFonts w:cs="Arial"/>
          <w:b/>
          <w:sz w:val="48"/>
          <w:szCs w:val="40"/>
        </w:rPr>
      </w:pPr>
    </w:p>
    <w:p w14:paraId="646D61B2" w14:textId="4DE467B9" w:rsidR="00F74CCE" w:rsidRPr="009A0A1E" w:rsidRDefault="00F74CCE" w:rsidP="00F74CCE">
      <w:pPr>
        <w:tabs>
          <w:tab w:val="left" w:pos="3600"/>
          <w:tab w:val="center" w:pos="4680"/>
        </w:tabs>
        <w:jc w:val="left"/>
        <w:rPr>
          <w:rFonts w:cs="Arial"/>
          <w:b/>
          <w:sz w:val="48"/>
          <w:szCs w:val="40"/>
        </w:rPr>
      </w:pPr>
      <w:r w:rsidRPr="009A0A1E">
        <w:rPr>
          <w:rFonts w:cs="Arial"/>
          <w:b/>
          <w:sz w:val="48"/>
          <w:szCs w:val="40"/>
        </w:rPr>
        <w:tab/>
      </w:r>
      <w:r w:rsidRPr="009A0A1E">
        <w:rPr>
          <w:rFonts w:cs="Arial"/>
          <w:b/>
          <w:sz w:val="48"/>
          <w:szCs w:val="40"/>
        </w:rPr>
        <w:tab/>
      </w:r>
      <w:r w:rsidR="00C915FD" w:rsidRPr="009A0A1E">
        <w:rPr>
          <w:rFonts w:cs="Arial"/>
          <w:b/>
          <w:sz w:val="48"/>
          <w:szCs w:val="40"/>
        </w:rPr>
        <w:t>3</w:t>
      </w:r>
      <w:r w:rsidRPr="009A0A1E">
        <w:rPr>
          <w:rFonts w:cs="Arial"/>
          <w:b/>
          <w:sz w:val="48"/>
          <w:szCs w:val="40"/>
          <w:vertAlign w:val="superscript"/>
        </w:rPr>
        <w:t>nd</w:t>
      </w:r>
      <w:r w:rsidRPr="009A0A1E">
        <w:rPr>
          <w:rFonts w:cs="Arial"/>
          <w:b/>
          <w:sz w:val="48"/>
          <w:szCs w:val="40"/>
        </w:rPr>
        <w:t xml:space="preserve"> Draft</w:t>
      </w:r>
    </w:p>
    <w:p w14:paraId="1BDEB3F7" w14:textId="053C7DF7" w:rsidR="006370CC" w:rsidRPr="009A0A1E" w:rsidRDefault="00CB577A" w:rsidP="00CB577A">
      <w:pPr>
        <w:tabs>
          <w:tab w:val="center" w:pos="4680"/>
          <w:tab w:val="left" w:pos="7545"/>
        </w:tabs>
        <w:jc w:val="left"/>
        <w:rPr>
          <w:rFonts w:cs="Arial"/>
          <w:b/>
          <w:sz w:val="48"/>
          <w:szCs w:val="40"/>
        </w:rPr>
      </w:pPr>
      <w:r>
        <w:rPr>
          <w:rFonts w:cs="Arial"/>
          <w:b/>
          <w:sz w:val="48"/>
          <w:szCs w:val="40"/>
        </w:rPr>
        <w:tab/>
      </w:r>
      <w:r w:rsidR="00963E80">
        <w:rPr>
          <w:rFonts w:cs="Arial"/>
          <w:b/>
          <w:sz w:val="48"/>
          <w:szCs w:val="40"/>
        </w:rPr>
        <w:t>March 17</w:t>
      </w:r>
      <w:r w:rsidR="00963E80" w:rsidRPr="007C1491">
        <w:rPr>
          <w:rFonts w:cs="Arial"/>
          <w:b/>
          <w:sz w:val="48"/>
          <w:szCs w:val="40"/>
          <w:vertAlign w:val="superscript"/>
        </w:rPr>
        <w:t>th</w:t>
      </w:r>
      <w:r w:rsidR="00A23F00">
        <w:rPr>
          <w:rFonts w:cs="Arial"/>
          <w:b/>
          <w:sz w:val="48"/>
          <w:szCs w:val="40"/>
        </w:rPr>
        <w:t>,</w:t>
      </w:r>
      <w:r w:rsidR="00490D91" w:rsidRPr="009A0A1E">
        <w:rPr>
          <w:rFonts w:cs="Arial"/>
          <w:b/>
          <w:sz w:val="48"/>
          <w:szCs w:val="40"/>
        </w:rPr>
        <w:t xml:space="preserve"> 201</w:t>
      </w:r>
      <w:r w:rsidR="00C915FD" w:rsidRPr="009A0A1E">
        <w:rPr>
          <w:rFonts w:cs="Arial"/>
          <w:b/>
          <w:sz w:val="48"/>
          <w:szCs w:val="40"/>
        </w:rPr>
        <w:t>5</w:t>
      </w:r>
      <w:r>
        <w:rPr>
          <w:rFonts w:cs="Arial"/>
          <w:b/>
          <w:sz w:val="48"/>
          <w:szCs w:val="40"/>
        </w:rPr>
        <w:tab/>
      </w:r>
    </w:p>
    <w:p w14:paraId="49AADDC0" w14:textId="77777777" w:rsidR="00202820" w:rsidRPr="00696E2A" w:rsidRDefault="00202820" w:rsidP="002E07C5">
      <w:pPr>
        <w:jc w:val="center"/>
        <w:rPr>
          <w:rFonts w:cs="Arial"/>
          <w:b/>
          <w:sz w:val="40"/>
          <w:szCs w:val="40"/>
        </w:rPr>
      </w:pPr>
    </w:p>
    <w:p w14:paraId="3B09FDFB" w14:textId="77777777" w:rsidR="00202820" w:rsidRDefault="00202820" w:rsidP="002E07C5">
      <w:pPr>
        <w:jc w:val="center"/>
        <w:rPr>
          <w:rFonts w:cs="Arial"/>
          <w:b/>
          <w:sz w:val="28"/>
          <w:szCs w:val="28"/>
        </w:rPr>
      </w:pPr>
    </w:p>
    <w:p w14:paraId="096165A5" w14:textId="77777777" w:rsidR="00202820" w:rsidRDefault="00202820" w:rsidP="002E07C5">
      <w:pPr>
        <w:jc w:val="center"/>
        <w:rPr>
          <w:rFonts w:cs="Arial"/>
          <w:b/>
          <w:sz w:val="28"/>
          <w:szCs w:val="28"/>
        </w:rPr>
      </w:pPr>
    </w:p>
    <w:p w14:paraId="78852E26" w14:textId="20950B39" w:rsidR="00202820" w:rsidRDefault="00915C9E" w:rsidP="00915C9E">
      <w:pPr>
        <w:tabs>
          <w:tab w:val="left" w:pos="5655"/>
        </w:tabs>
        <w:jc w:val="left"/>
        <w:rPr>
          <w:rFonts w:cs="Arial"/>
          <w:b/>
          <w:sz w:val="28"/>
          <w:szCs w:val="28"/>
        </w:rPr>
      </w:pPr>
      <w:r>
        <w:rPr>
          <w:rFonts w:cs="Arial"/>
          <w:b/>
          <w:sz w:val="28"/>
          <w:szCs w:val="28"/>
        </w:rPr>
        <w:tab/>
      </w:r>
    </w:p>
    <w:p w14:paraId="10DC5337" w14:textId="77777777" w:rsidR="00915C9E" w:rsidRDefault="00915C9E" w:rsidP="00915C9E">
      <w:pPr>
        <w:tabs>
          <w:tab w:val="left" w:pos="5655"/>
        </w:tabs>
        <w:jc w:val="left"/>
        <w:rPr>
          <w:rFonts w:cs="Arial"/>
          <w:b/>
          <w:sz w:val="28"/>
          <w:szCs w:val="28"/>
        </w:rPr>
      </w:pPr>
    </w:p>
    <w:p w14:paraId="28486563" w14:textId="77777777" w:rsidR="00202820" w:rsidRDefault="00202820" w:rsidP="002E07C5">
      <w:pPr>
        <w:jc w:val="center"/>
        <w:rPr>
          <w:rFonts w:cs="Arial"/>
          <w:b/>
          <w:sz w:val="28"/>
          <w:szCs w:val="28"/>
        </w:rPr>
      </w:pPr>
    </w:p>
    <w:p w14:paraId="7C664AEC" w14:textId="77777777" w:rsidR="00202820" w:rsidRDefault="00202820" w:rsidP="002E07C5">
      <w:pPr>
        <w:jc w:val="center"/>
        <w:rPr>
          <w:rFonts w:cs="Arial"/>
          <w:b/>
          <w:sz w:val="28"/>
          <w:szCs w:val="28"/>
        </w:rPr>
      </w:pPr>
    </w:p>
    <w:p w14:paraId="7B553645" w14:textId="77777777" w:rsidR="00202820" w:rsidRDefault="00202820" w:rsidP="002E07C5">
      <w:pPr>
        <w:jc w:val="center"/>
        <w:rPr>
          <w:rFonts w:cs="Arial"/>
          <w:b/>
          <w:sz w:val="28"/>
          <w:szCs w:val="28"/>
        </w:rPr>
      </w:pPr>
    </w:p>
    <w:p w14:paraId="0F0FDCB2" w14:textId="77777777" w:rsidR="00202820" w:rsidRDefault="00202820" w:rsidP="002E07C5">
      <w:pPr>
        <w:jc w:val="center"/>
        <w:rPr>
          <w:rFonts w:cs="Arial"/>
          <w:b/>
          <w:sz w:val="28"/>
          <w:szCs w:val="28"/>
        </w:rPr>
      </w:pPr>
    </w:p>
    <w:p w14:paraId="6E92543B" w14:textId="77777777" w:rsidR="00202820" w:rsidRDefault="00202820" w:rsidP="002E07C5">
      <w:pPr>
        <w:jc w:val="center"/>
        <w:rPr>
          <w:rFonts w:cs="Arial"/>
          <w:b/>
          <w:sz w:val="28"/>
          <w:szCs w:val="28"/>
        </w:rPr>
      </w:pPr>
    </w:p>
    <w:p w14:paraId="7EB644C7" w14:textId="77777777" w:rsidR="00202820" w:rsidRDefault="00202820" w:rsidP="002E07C5">
      <w:pPr>
        <w:jc w:val="center"/>
        <w:rPr>
          <w:rFonts w:cs="Arial"/>
          <w:b/>
          <w:sz w:val="28"/>
          <w:szCs w:val="28"/>
        </w:rPr>
      </w:pPr>
    </w:p>
    <w:p w14:paraId="3179957B" w14:textId="77777777" w:rsidR="00202820" w:rsidRDefault="00202820" w:rsidP="002E07C5">
      <w:pPr>
        <w:jc w:val="center"/>
        <w:rPr>
          <w:rFonts w:cs="Arial"/>
          <w:b/>
          <w:sz w:val="28"/>
          <w:szCs w:val="28"/>
        </w:rPr>
      </w:pPr>
    </w:p>
    <w:p w14:paraId="20686E05" w14:textId="77777777" w:rsidR="00202820" w:rsidRDefault="00202820" w:rsidP="002E07C5">
      <w:pPr>
        <w:jc w:val="center"/>
        <w:rPr>
          <w:rFonts w:cs="Arial"/>
          <w:b/>
          <w:sz w:val="28"/>
          <w:szCs w:val="28"/>
        </w:rPr>
      </w:pPr>
    </w:p>
    <w:p w14:paraId="61518397" w14:textId="77777777" w:rsidR="00202820" w:rsidRDefault="00202820" w:rsidP="002E07C5">
      <w:pPr>
        <w:jc w:val="center"/>
        <w:rPr>
          <w:rFonts w:cs="Arial"/>
          <w:b/>
          <w:sz w:val="28"/>
          <w:szCs w:val="28"/>
        </w:rPr>
      </w:pPr>
    </w:p>
    <w:p w14:paraId="0F322687" w14:textId="77777777" w:rsidR="00202820" w:rsidRDefault="00202820" w:rsidP="002E07C5">
      <w:pPr>
        <w:jc w:val="center"/>
        <w:rPr>
          <w:rFonts w:cs="Arial"/>
          <w:b/>
          <w:sz w:val="28"/>
          <w:szCs w:val="28"/>
        </w:rPr>
      </w:pPr>
    </w:p>
    <w:p w14:paraId="11FCC763" w14:textId="77777777" w:rsidR="00202820" w:rsidRDefault="00202820" w:rsidP="002E07C5">
      <w:pPr>
        <w:jc w:val="center"/>
        <w:rPr>
          <w:rFonts w:cs="Arial"/>
          <w:b/>
          <w:sz w:val="28"/>
          <w:szCs w:val="28"/>
        </w:rPr>
      </w:pPr>
    </w:p>
    <w:p w14:paraId="1BD17C96" w14:textId="77777777" w:rsidR="00202820" w:rsidRDefault="00202820" w:rsidP="002E07C5">
      <w:pPr>
        <w:jc w:val="center"/>
        <w:rPr>
          <w:rFonts w:cs="Arial"/>
          <w:b/>
          <w:sz w:val="28"/>
          <w:szCs w:val="28"/>
        </w:rPr>
      </w:pPr>
    </w:p>
    <w:p w14:paraId="4EA554DE" w14:textId="77777777" w:rsidR="00202820" w:rsidRDefault="00202820" w:rsidP="002E07C5">
      <w:pPr>
        <w:jc w:val="center"/>
        <w:rPr>
          <w:rFonts w:cs="Arial"/>
          <w:b/>
          <w:sz w:val="28"/>
          <w:szCs w:val="28"/>
        </w:rPr>
      </w:pPr>
    </w:p>
    <w:p w14:paraId="25A84135" w14:textId="77777777" w:rsidR="00915C9E" w:rsidRPr="008F2630" w:rsidRDefault="00193D08" w:rsidP="008F2630">
      <w:pPr>
        <w:pStyle w:val="Title"/>
      </w:pPr>
      <w:r w:rsidRPr="008F2630">
        <w:lastRenderedPageBreak/>
        <w:t>Preface</w:t>
      </w:r>
    </w:p>
    <w:p w14:paraId="662450E2" w14:textId="77777777" w:rsidR="00963E80" w:rsidRDefault="00963E80" w:rsidP="00963E80">
      <w:r>
        <w:t>Globally, millions of people fall into poverty each year as a result of paying for health care out of their own pockets.   Many more are too poor to even consider seeking care at health facilities.  In addition, adequate health care is often not available especially in remote areas, preventing vulnerable population groups in particular from accessing needed health services.  This holds true also in Tanzania.</w:t>
      </w:r>
    </w:p>
    <w:p w14:paraId="1A3FDD5F" w14:textId="77777777" w:rsidR="00963E80" w:rsidRDefault="00963E80" w:rsidP="00963E80"/>
    <w:p w14:paraId="1F1C553D" w14:textId="77777777" w:rsidR="00963E80" w:rsidRDefault="00963E80" w:rsidP="00963E80">
      <w:r>
        <w:t>To address these issues, Tanzania, like many other low- and middle income countries, is intending to establish a Social Health Protection (SHP) system which strives towards Universal Health Coverage (UHC) – a goal also to be included in the post-Millennium Development Goals (MDG) agenda, the Sustainable Development Goals (SDG).</w:t>
      </w:r>
    </w:p>
    <w:p w14:paraId="1CFEC2D4" w14:textId="77777777" w:rsidR="00963E80" w:rsidRDefault="00963E80" w:rsidP="00963E80"/>
    <w:p w14:paraId="7485054C" w14:textId="77777777" w:rsidR="00963E80" w:rsidRDefault="00963E80" w:rsidP="00963E80">
      <w:r>
        <w:t>This Health Financing Strategy (HFS) outlines the strategic interventions and critical path necessary for Tanzania move closer to UHC through an effective SHP system.</w:t>
      </w:r>
    </w:p>
    <w:p w14:paraId="2E291CFC" w14:textId="77777777" w:rsidR="00963E80" w:rsidRDefault="00963E80" w:rsidP="00963E80"/>
    <w:p w14:paraId="7A49CA6F" w14:textId="10CAABDB" w:rsidR="00963E80" w:rsidRDefault="00963E80" w:rsidP="00963E80">
      <w:r>
        <w:t>The development of the HFS was included in Health Sector Strategic Plan III, and the process has been overseen by an Inter-Ministerial Steering Committee.  The primary aim is to establish a mandatory Single National Health Insurance (SNHI) under which the entire population of Tanzania will have access to a standard minimum health care benefit package at all levels of care (aligned to the National Essential Health Care Intervention Package 2013).  The HFS has identified major country-specific challenges and developed strategic interventions to reform the health sector financing architecture.  Over the next ten years, the HFS will guide the MOHSW, other implicated line-ministries, and stakeholders, in the way health financing is governed, how the health sector is financed, how it pools resources and purchases health services.  Development Partners in the health sector, as part of the Sector-wide Approach (</w:t>
      </w:r>
      <w:proofErr w:type="spellStart"/>
      <w:r>
        <w:t>SWAp</w:t>
      </w:r>
      <w:proofErr w:type="spellEnd"/>
      <w:r>
        <w:t>), are encouraged to align their technical and financial support to the proposed strategies, goals and objectives to ensure that targets are successfully met.</w:t>
      </w:r>
    </w:p>
    <w:p w14:paraId="7BE7EAD3" w14:textId="77777777" w:rsidR="00963E80" w:rsidRDefault="00963E80" w:rsidP="00963E80"/>
    <w:p w14:paraId="0B288D14" w14:textId="246EC73A" w:rsidR="00963E80" w:rsidRDefault="00963E80" w:rsidP="00963E80">
      <w:r>
        <w:t xml:space="preserve">Assessments have been conducted to show the current level of total financing for health care and on how additional funding can be mobilized to provide adequate quality health services.  The HFS outlines how resources are currently allocated and spent, taking reference from the latest National Health Accounts (NHA) and Public Expenditure Review (PER).  It describes the governance structures </w:t>
      </w:r>
      <w:r w:rsidR="005252FD">
        <w:t>to be put in place and</w:t>
      </w:r>
      <w:r>
        <w:t xml:space="preserve"> the concept of the SNHI institution. It describes the roles of actors both at the national and decentralized levels, and the necessary reforms within public financial and data management systems.  </w:t>
      </w:r>
    </w:p>
    <w:p w14:paraId="2DB8E573" w14:textId="77777777" w:rsidR="00963E80" w:rsidRDefault="00963E80" w:rsidP="00963E80"/>
    <w:p w14:paraId="2947348F" w14:textId="7C849571" w:rsidR="00963E80" w:rsidRDefault="00963E80" w:rsidP="00963E80">
      <w:r>
        <w:t xml:space="preserve">Last but not least, the HFS aims at poverty alleviation and aims at empowering the consumers of health care, communities and families whether poor or wealthy.  With the </w:t>
      </w:r>
      <w:r>
        <w:lastRenderedPageBreak/>
        <w:t>mandatory purchase or subsidization of health insurance membership, Tanzanian residents regardless of their socio-economic status, have been given a voice to demand adequate care without the fear of economic hardship due to seeking health care.</w:t>
      </w:r>
    </w:p>
    <w:p w14:paraId="316FC02C" w14:textId="77777777" w:rsidR="00492F7D" w:rsidRDefault="00492F7D" w:rsidP="00915C9E"/>
    <w:p w14:paraId="0C042207" w14:textId="6EEAE33F" w:rsidR="005252FD" w:rsidRDefault="005252FD">
      <w:pPr>
        <w:spacing w:after="200"/>
        <w:jc w:val="left"/>
      </w:pPr>
      <w:r>
        <w:br w:type="page"/>
      </w:r>
    </w:p>
    <w:p w14:paraId="7C1D963C" w14:textId="45413FE1" w:rsidR="00193D08" w:rsidRPr="008F2630" w:rsidRDefault="00193D08" w:rsidP="005252FD">
      <w:pPr>
        <w:pStyle w:val="Title"/>
        <w:tabs>
          <w:tab w:val="left" w:pos="2520"/>
        </w:tabs>
      </w:pPr>
      <w:r w:rsidRPr="008F2630">
        <w:lastRenderedPageBreak/>
        <w:t>Acknowledgement</w:t>
      </w:r>
    </w:p>
    <w:p w14:paraId="64600BB1" w14:textId="77777777" w:rsidR="005252FD" w:rsidRDefault="005252FD" w:rsidP="005252FD">
      <w:pPr>
        <w:spacing w:after="200"/>
      </w:pPr>
      <w:r>
        <w:t>The Health Financing Strategy document and its implementation plan are results of a well-coordinated effort by various individuals, institutions and stakeholders.  The MOHSW, under the guidance of the Inter-ministerial Steering Committee and through its Health Financing Technical Working Group, has developed this strategic plan in a broad consultative process. The MOHSW would like to express its sincere appreciation to everyone who was involved in the preparation of these documents.  While it is not possible to mention all who have contributed to the production of this document, the MOHSW would like to acknowledge the following:</w:t>
      </w:r>
    </w:p>
    <w:p w14:paraId="53AD6C7A" w14:textId="247C36C6" w:rsidR="005252FD" w:rsidRDefault="005252FD" w:rsidP="005252FD">
      <w:pPr>
        <w:spacing w:after="200"/>
      </w:pPr>
      <w:r>
        <w:t xml:space="preserve">We would particularly like to thank all heads of department of the Ministries represented in the Inter-ministerial Steering Committee, department heads, section and program managers in the MOHSW, all TWGs of the Ministry and </w:t>
      </w:r>
      <w:proofErr w:type="spellStart"/>
      <w:r>
        <w:t>SWAp</w:t>
      </w:r>
      <w:proofErr w:type="spellEnd"/>
      <w:r>
        <w:t xml:space="preserve"> partners who have worked under the guidance of the MOHSW and DPP management to support the development of the HFS.</w:t>
      </w:r>
    </w:p>
    <w:p w14:paraId="3F2762BB" w14:textId="77777777" w:rsidR="005252FD" w:rsidRDefault="005252FD" w:rsidP="005252FD">
      <w:pPr>
        <w:spacing w:after="200"/>
      </w:pPr>
      <w:r>
        <w:t xml:space="preserve">We would like to express our gratitude to the </w:t>
      </w:r>
      <w:proofErr w:type="gramStart"/>
      <w:r>
        <w:t>Providing</w:t>
      </w:r>
      <w:proofErr w:type="gramEnd"/>
      <w:r>
        <w:t xml:space="preserve"> for Health (P4H) Network partners including African Development Bank, German Development Cooperation (GIZ, KFW), Swiss Development Cooperation (SDC), USAID, World Bank and WHO, together with </w:t>
      </w:r>
      <w:proofErr w:type="spellStart"/>
      <w:r>
        <w:t>Danida</w:t>
      </w:r>
      <w:proofErr w:type="spellEnd"/>
      <w:r>
        <w:t xml:space="preserve">, for their targeted technical and financial support in the efforts. </w:t>
      </w:r>
    </w:p>
    <w:p w14:paraId="650374AD" w14:textId="77777777" w:rsidR="005252FD" w:rsidRDefault="005252FD" w:rsidP="005252FD">
      <w:pPr>
        <w:spacing w:after="200"/>
      </w:pPr>
      <w:r>
        <w:t>Finally, the MOHSW acknowledges the contribution and dedication of all who in one way or another have taken part in formulating the health financing strategy, specifically Mariam Ally, Chair of the Health Financing TWG and Assistant Director Policy within the MOHSW, who coordinated all activities leading to production of this document and its implementation plan.</w:t>
      </w:r>
    </w:p>
    <w:p w14:paraId="16196FA4" w14:textId="509FFB65" w:rsidR="00193D08" w:rsidRDefault="005252FD" w:rsidP="005252FD">
      <w:pPr>
        <w:spacing w:after="200"/>
        <w:jc w:val="left"/>
        <w:rPr>
          <w:rFonts w:asciiTheme="majorHAnsi" w:eastAsiaTheme="majorEastAsia" w:hAnsiTheme="majorHAnsi" w:cstheme="majorBidi"/>
          <w:color w:val="17365D" w:themeColor="text2" w:themeShade="BF"/>
          <w:spacing w:val="5"/>
          <w:kern w:val="28"/>
          <w:sz w:val="32"/>
          <w:szCs w:val="52"/>
        </w:rPr>
      </w:pPr>
      <w:r>
        <w:t xml:space="preserve">The MOHSW is committed to the implementation of this strategy and shall use it as guiding document for planning, monitoring and evaluation.  We look forward to continuing to work with our partners in the government, non-government </w:t>
      </w:r>
      <w:proofErr w:type="spellStart"/>
      <w:r>
        <w:t>organisations</w:t>
      </w:r>
      <w:proofErr w:type="spellEnd"/>
      <w:r>
        <w:t>, development partners, and the users of services we provide, in order to improve the health and well-being of all Tanzanians.</w:t>
      </w:r>
      <w:r w:rsidR="00193D08">
        <w:br w:type="page"/>
      </w:r>
    </w:p>
    <w:p w14:paraId="68DC9329" w14:textId="704342F4" w:rsidR="00193D08" w:rsidRPr="00EB4F0C" w:rsidRDefault="00193D08" w:rsidP="00193D08">
      <w:pPr>
        <w:pStyle w:val="Title"/>
      </w:pPr>
      <w:r w:rsidRPr="00EB4F0C">
        <w:lastRenderedPageBreak/>
        <w:t>Acronyms</w:t>
      </w:r>
      <w:r w:rsidR="008158F0">
        <w:t xml:space="preserve"> </w:t>
      </w:r>
    </w:p>
    <w:p w14:paraId="710668A7" w14:textId="77777777" w:rsidR="003B7D18" w:rsidRDefault="003B7D18" w:rsidP="00193D08">
      <w:pPr>
        <w:rPr>
          <w:sz w:val="22"/>
        </w:rPr>
      </w:pPr>
    </w:p>
    <w:p w14:paraId="1DE9C9ED" w14:textId="77777777" w:rsidR="003B7D18" w:rsidRDefault="003B7D18" w:rsidP="00193D08">
      <w:pPr>
        <w:rPr>
          <w:sz w:val="22"/>
        </w:rPr>
      </w:pPr>
      <w:r>
        <w:rPr>
          <w:sz w:val="22"/>
        </w:rPr>
        <w:t>ANC</w:t>
      </w:r>
      <w:r>
        <w:rPr>
          <w:sz w:val="22"/>
        </w:rPr>
        <w:tab/>
      </w:r>
      <w:r>
        <w:rPr>
          <w:sz w:val="22"/>
        </w:rPr>
        <w:tab/>
      </w:r>
      <w:r>
        <w:rPr>
          <w:sz w:val="22"/>
        </w:rPr>
        <w:tab/>
        <w:t>Ante Natal Care</w:t>
      </w:r>
    </w:p>
    <w:p w14:paraId="7D336A53" w14:textId="3882DC2D" w:rsidR="009E2160" w:rsidRDefault="009E2160" w:rsidP="00193D08">
      <w:pPr>
        <w:rPr>
          <w:sz w:val="22"/>
        </w:rPr>
      </w:pPr>
      <w:proofErr w:type="spellStart"/>
      <w:r>
        <w:rPr>
          <w:sz w:val="22"/>
        </w:rPr>
        <w:t>BoT</w:t>
      </w:r>
      <w:proofErr w:type="spellEnd"/>
      <w:r>
        <w:rPr>
          <w:sz w:val="22"/>
        </w:rPr>
        <w:tab/>
      </w:r>
      <w:r>
        <w:rPr>
          <w:sz w:val="22"/>
        </w:rPr>
        <w:tab/>
      </w:r>
      <w:r>
        <w:rPr>
          <w:sz w:val="22"/>
        </w:rPr>
        <w:tab/>
        <w:t>Bank of Tanzania</w:t>
      </w:r>
    </w:p>
    <w:p w14:paraId="2CF45B4C" w14:textId="77777777" w:rsidR="00E00498" w:rsidRDefault="00E00498" w:rsidP="00193D08">
      <w:pPr>
        <w:rPr>
          <w:sz w:val="22"/>
        </w:rPr>
      </w:pPr>
      <w:r>
        <w:rPr>
          <w:sz w:val="22"/>
        </w:rPr>
        <w:t>CAG</w:t>
      </w:r>
      <w:r>
        <w:rPr>
          <w:sz w:val="22"/>
        </w:rPr>
        <w:tab/>
      </w:r>
      <w:r>
        <w:rPr>
          <w:sz w:val="22"/>
        </w:rPr>
        <w:tab/>
      </w:r>
      <w:r>
        <w:rPr>
          <w:sz w:val="22"/>
        </w:rPr>
        <w:tab/>
        <w:t>Central Auditor General</w:t>
      </w:r>
    </w:p>
    <w:p w14:paraId="355F300D" w14:textId="77777777" w:rsidR="00193D08" w:rsidRPr="00193D08" w:rsidRDefault="00193D08" w:rsidP="00193D08">
      <w:pPr>
        <w:rPr>
          <w:sz w:val="22"/>
        </w:rPr>
      </w:pPr>
      <w:r w:rsidRPr="00193D08">
        <w:rPr>
          <w:sz w:val="22"/>
        </w:rPr>
        <w:t>CBHI</w:t>
      </w:r>
      <w:r w:rsidRPr="00193D08">
        <w:rPr>
          <w:sz w:val="22"/>
        </w:rPr>
        <w:tab/>
      </w:r>
      <w:r w:rsidRPr="00193D08">
        <w:rPr>
          <w:sz w:val="22"/>
        </w:rPr>
        <w:tab/>
      </w:r>
      <w:r w:rsidRPr="00193D08">
        <w:rPr>
          <w:sz w:val="22"/>
        </w:rPr>
        <w:tab/>
        <w:t>Community-based health insurance</w:t>
      </w:r>
    </w:p>
    <w:p w14:paraId="1FC33A77" w14:textId="77777777" w:rsidR="000F236E" w:rsidRDefault="000F236E" w:rsidP="00193D08">
      <w:pPr>
        <w:rPr>
          <w:sz w:val="22"/>
        </w:rPr>
      </w:pPr>
      <w:r>
        <w:rPr>
          <w:sz w:val="22"/>
        </w:rPr>
        <w:t>CCHP</w:t>
      </w:r>
      <w:r>
        <w:rPr>
          <w:sz w:val="22"/>
        </w:rPr>
        <w:tab/>
      </w:r>
      <w:r>
        <w:rPr>
          <w:sz w:val="22"/>
        </w:rPr>
        <w:tab/>
      </w:r>
      <w:r>
        <w:rPr>
          <w:sz w:val="22"/>
        </w:rPr>
        <w:tab/>
        <w:t>Comprehensive Council Health Plan</w:t>
      </w:r>
    </w:p>
    <w:p w14:paraId="1FA6B59C" w14:textId="77777777" w:rsidR="00436504" w:rsidRDefault="00436504" w:rsidP="00193D08">
      <w:pPr>
        <w:rPr>
          <w:sz w:val="22"/>
        </w:rPr>
      </w:pPr>
      <w:r>
        <w:rPr>
          <w:sz w:val="22"/>
        </w:rPr>
        <w:t>CCT</w:t>
      </w:r>
      <w:r>
        <w:rPr>
          <w:sz w:val="22"/>
        </w:rPr>
        <w:tab/>
      </w:r>
      <w:r>
        <w:rPr>
          <w:sz w:val="22"/>
        </w:rPr>
        <w:tab/>
      </w:r>
      <w:r>
        <w:rPr>
          <w:sz w:val="22"/>
        </w:rPr>
        <w:tab/>
        <w:t>Conditional Cash Transfer</w:t>
      </w:r>
    </w:p>
    <w:p w14:paraId="5991D4FF" w14:textId="77777777" w:rsidR="00107DB9" w:rsidRDefault="00107DB9" w:rsidP="00193D08">
      <w:pPr>
        <w:rPr>
          <w:sz w:val="22"/>
        </w:rPr>
      </w:pPr>
      <w:r>
        <w:rPr>
          <w:sz w:val="22"/>
        </w:rPr>
        <w:t>CFS</w:t>
      </w:r>
      <w:r>
        <w:rPr>
          <w:sz w:val="22"/>
        </w:rPr>
        <w:tab/>
      </w:r>
      <w:r>
        <w:rPr>
          <w:sz w:val="22"/>
        </w:rPr>
        <w:tab/>
      </w:r>
      <w:r>
        <w:rPr>
          <w:sz w:val="22"/>
        </w:rPr>
        <w:tab/>
        <w:t>Consolidated Fund Services</w:t>
      </w:r>
    </w:p>
    <w:p w14:paraId="4AA524BC" w14:textId="77777777" w:rsidR="00193D08" w:rsidRDefault="00193D08" w:rsidP="00193D08">
      <w:pPr>
        <w:rPr>
          <w:sz w:val="22"/>
        </w:rPr>
      </w:pPr>
      <w:r w:rsidRPr="00193D08">
        <w:rPr>
          <w:sz w:val="22"/>
        </w:rPr>
        <w:t>CHF</w:t>
      </w:r>
      <w:r w:rsidRPr="00193D08">
        <w:rPr>
          <w:sz w:val="22"/>
        </w:rPr>
        <w:tab/>
      </w:r>
      <w:r w:rsidRPr="00193D08">
        <w:rPr>
          <w:sz w:val="22"/>
        </w:rPr>
        <w:tab/>
      </w:r>
      <w:r w:rsidRPr="00193D08">
        <w:rPr>
          <w:sz w:val="22"/>
        </w:rPr>
        <w:tab/>
        <w:t>Community Health Fund</w:t>
      </w:r>
    </w:p>
    <w:p w14:paraId="3C7F21EE" w14:textId="77777777" w:rsidR="00E00498" w:rsidRDefault="00BC291C" w:rsidP="00193D08">
      <w:pPr>
        <w:rPr>
          <w:sz w:val="22"/>
        </w:rPr>
      </w:pPr>
      <w:r>
        <w:rPr>
          <w:sz w:val="22"/>
        </w:rPr>
        <w:t>CHMT</w:t>
      </w:r>
      <w:r>
        <w:rPr>
          <w:sz w:val="22"/>
        </w:rPr>
        <w:tab/>
      </w:r>
      <w:r>
        <w:rPr>
          <w:sz w:val="22"/>
        </w:rPr>
        <w:tab/>
      </w:r>
      <w:r>
        <w:rPr>
          <w:sz w:val="22"/>
        </w:rPr>
        <w:tab/>
        <w:t>Council Health Management Team</w:t>
      </w:r>
    </w:p>
    <w:p w14:paraId="744574EF" w14:textId="77777777" w:rsidR="007D0A3F" w:rsidRDefault="007D0A3F" w:rsidP="00193D08">
      <w:pPr>
        <w:rPr>
          <w:sz w:val="22"/>
        </w:rPr>
      </w:pPr>
      <w:r>
        <w:rPr>
          <w:sz w:val="22"/>
        </w:rPr>
        <w:t>D-by-D</w:t>
      </w:r>
      <w:r>
        <w:rPr>
          <w:sz w:val="22"/>
        </w:rPr>
        <w:tab/>
      </w:r>
      <w:r>
        <w:rPr>
          <w:sz w:val="22"/>
        </w:rPr>
        <w:tab/>
      </w:r>
      <w:r>
        <w:rPr>
          <w:sz w:val="22"/>
        </w:rPr>
        <w:tab/>
        <w:t>Decentralization by Devolution</w:t>
      </w:r>
    </w:p>
    <w:p w14:paraId="27A3EDFC" w14:textId="77777777" w:rsidR="00E00498" w:rsidRPr="00193D08" w:rsidRDefault="00E00498" w:rsidP="00193D08">
      <w:pPr>
        <w:rPr>
          <w:sz w:val="22"/>
        </w:rPr>
      </w:pPr>
      <w:r>
        <w:rPr>
          <w:sz w:val="22"/>
        </w:rPr>
        <w:t>DED</w:t>
      </w:r>
      <w:r>
        <w:rPr>
          <w:sz w:val="22"/>
        </w:rPr>
        <w:tab/>
      </w:r>
      <w:r>
        <w:rPr>
          <w:sz w:val="22"/>
        </w:rPr>
        <w:tab/>
      </w:r>
      <w:r>
        <w:rPr>
          <w:sz w:val="22"/>
        </w:rPr>
        <w:tab/>
        <w:t>District Executive Director</w:t>
      </w:r>
    </w:p>
    <w:p w14:paraId="56EDAB72" w14:textId="77777777" w:rsidR="00193D08" w:rsidRDefault="00193D08" w:rsidP="00193D08">
      <w:pPr>
        <w:rPr>
          <w:sz w:val="22"/>
        </w:rPr>
      </w:pPr>
      <w:r w:rsidRPr="00193D08">
        <w:rPr>
          <w:sz w:val="22"/>
        </w:rPr>
        <w:t>DHIS</w:t>
      </w:r>
      <w:r w:rsidRPr="00193D08">
        <w:rPr>
          <w:sz w:val="22"/>
        </w:rPr>
        <w:tab/>
      </w:r>
      <w:r w:rsidRPr="00193D08">
        <w:rPr>
          <w:sz w:val="22"/>
        </w:rPr>
        <w:tab/>
      </w:r>
      <w:r w:rsidRPr="00193D08">
        <w:rPr>
          <w:sz w:val="22"/>
        </w:rPr>
        <w:tab/>
        <w:t>District Health Information System</w:t>
      </w:r>
    </w:p>
    <w:p w14:paraId="76D71884" w14:textId="5F6C8BF7" w:rsidR="00267347" w:rsidRDefault="00267347" w:rsidP="00193D08">
      <w:pPr>
        <w:rPr>
          <w:sz w:val="22"/>
        </w:rPr>
      </w:pPr>
      <w:r>
        <w:rPr>
          <w:sz w:val="22"/>
        </w:rPr>
        <w:t>DP</w:t>
      </w:r>
      <w:r>
        <w:rPr>
          <w:sz w:val="22"/>
        </w:rPr>
        <w:tab/>
      </w:r>
      <w:r>
        <w:rPr>
          <w:sz w:val="22"/>
        </w:rPr>
        <w:tab/>
      </w:r>
      <w:r>
        <w:rPr>
          <w:sz w:val="22"/>
        </w:rPr>
        <w:tab/>
        <w:t xml:space="preserve">Development </w:t>
      </w:r>
      <w:r w:rsidR="007D0A3F">
        <w:rPr>
          <w:sz w:val="22"/>
        </w:rPr>
        <w:t>P</w:t>
      </w:r>
      <w:r>
        <w:rPr>
          <w:sz w:val="22"/>
        </w:rPr>
        <w:t>artner(s)</w:t>
      </w:r>
    </w:p>
    <w:p w14:paraId="34D47392" w14:textId="77777777" w:rsidR="005E5054" w:rsidRDefault="005E5054" w:rsidP="00193D08">
      <w:pPr>
        <w:rPr>
          <w:sz w:val="22"/>
        </w:rPr>
      </w:pPr>
      <w:r>
        <w:rPr>
          <w:sz w:val="22"/>
        </w:rPr>
        <w:t>FBO</w:t>
      </w:r>
      <w:r w:rsidR="00AB407A">
        <w:rPr>
          <w:sz w:val="22"/>
        </w:rPr>
        <w:tab/>
      </w:r>
      <w:r w:rsidR="00AB407A">
        <w:rPr>
          <w:sz w:val="22"/>
        </w:rPr>
        <w:tab/>
      </w:r>
      <w:r w:rsidR="00AB407A">
        <w:rPr>
          <w:sz w:val="22"/>
        </w:rPr>
        <w:tab/>
        <w:t xml:space="preserve">Faith-Based </w:t>
      </w:r>
      <w:proofErr w:type="spellStart"/>
      <w:r w:rsidR="00AB407A">
        <w:rPr>
          <w:sz w:val="22"/>
        </w:rPr>
        <w:t>Org</w:t>
      </w:r>
      <w:r w:rsidR="0091602A">
        <w:rPr>
          <w:sz w:val="22"/>
        </w:rPr>
        <w:t>a</w:t>
      </w:r>
      <w:r w:rsidR="00AB407A">
        <w:rPr>
          <w:sz w:val="22"/>
        </w:rPr>
        <w:t>nisation</w:t>
      </w:r>
      <w:proofErr w:type="spellEnd"/>
      <w:r w:rsidR="00112E3E">
        <w:rPr>
          <w:sz w:val="22"/>
        </w:rPr>
        <w:t>(</w:t>
      </w:r>
      <w:r w:rsidR="00AB407A">
        <w:rPr>
          <w:sz w:val="22"/>
        </w:rPr>
        <w:t>s</w:t>
      </w:r>
      <w:r w:rsidR="00112E3E">
        <w:rPr>
          <w:sz w:val="22"/>
        </w:rPr>
        <w:t>)</w:t>
      </w:r>
    </w:p>
    <w:p w14:paraId="55626601" w14:textId="77777777" w:rsidR="00107DB9" w:rsidRDefault="00107DB9" w:rsidP="00193D08">
      <w:pPr>
        <w:rPr>
          <w:sz w:val="22"/>
        </w:rPr>
      </w:pPr>
      <w:r>
        <w:rPr>
          <w:sz w:val="22"/>
        </w:rPr>
        <w:t>FY</w:t>
      </w:r>
      <w:r>
        <w:rPr>
          <w:sz w:val="22"/>
        </w:rPr>
        <w:tab/>
      </w:r>
      <w:r>
        <w:rPr>
          <w:sz w:val="22"/>
        </w:rPr>
        <w:tab/>
      </w:r>
      <w:r>
        <w:rPr>
          <w:sz w:val="22"/>
        </w:rPr>
        <w:tab/>
        <w:t>Financial Year</w:t>
      </w:r>
    </w:p>
    <w:p w14:paraId="3AF01685" w14:textId="77777777" w:rsidR="00FD7171" w:rsidRPr="00193D08" w:rsidRDefault="00FD7171" w:rsidP="00193D08">
      <w:pPr>
        <w:rPr>
          <w:sz w:val="22"/>
        </w:rPr>
      </w:pPr>
      <w:r>
        <w:rPr>
          <w:sz w:val="22"/>
        </w:rPr>
        <w:t>GBS</w:t>
      </w:r>
      <w:r>
        <w:rPr>
          <w:sz w:val="22"/>
        </w:rPr>
        <w:tab/>
      </w:r>
      <w:r>
        <w:rPr>
          <w:sz w:val="22"/>
        </w:rPr>
        <w:tab/>
      </w:r>
      <w:r>
        <w:rPr>
          <w:sz w:val="22"/>
        </w:rPr>
        <w:tab/>
        <w:t>General Budget Support</w:t>
      </w:r>
    </w:p>
    <w:p w14:paraId="279CC436" w14:textId="77777777" w:rsidR="00193D08" w:rsidRPr="00193D08" w:rsidRDefault="00193D08" w:rsidP="00193D08">
      <w:pPr>
        <w:rPr>
          <w:sz w:val="22"/>
        </w:rPr>
      </w:pPr>
      <w:r w:rsidRPr="00193D08">
        <w:rPr>
          <w:sz w:val="22"/>
        </w:rPr>
        <w:t>GDP</w:t>
      </w:r>
      <w:r w:rsidRPr="00193D08">
        <w:rPr>
          <w:sz w:val="22"/>
        </w:rPr>
        <w:tab/>
      </w:r>
      <w:r w:rsidRPr="00193D08">
        <w:rPr>
          <w:sz w:val="22"/>
        </w:rPr>
        <w:tab/>
      </w:r>
      <w:r w:rsidRPr="00193D08">
        <w:rPr>
          <w:sz w:val="22"/>
        </w:rPr>
        <w:tab/>
        <w:t>Gross Domestic Product</w:t>
      </w:r>
    </w:p>
    <w:p w14:paraId="44200191" w14:textId="77777777" w:rsidR="00193D08" w:rsidRPr="00193D08" w:rsidRDefault="00193D08" w:rsidP="00193D08">
      <w:pPr>
        <w:rPr>
          <w:sz w:val="22"/>
        </w:rPr>
      </w:pPr>
      <w:r w:rsidRPr="00193D08">
        <w:rPr>
          <w:sz w:val="22"/>
        </w:rPr>
        <w:t>GOT</w:t>
      </w:r>
      <w:r w:rsidRPr="00193D08">
        <w:rPr>
          <w:sz w:val="22"/>
        </w:rPr>
        <w:tab/>
      </w:r>
      <w:r w:rsidRPr="00193D08">
        <w:rPr>
          <w:sz w:val="22"/>
        </w:rPr>
        <w:tab/>
      </w:r>
      <w:r w:rsidRPr="00193D08">
        <w:rPr>
          <w:sz w:val="22"/>
        </w:rPr>
        <w:tab/>
        <w:t>Government of Tanzania</w:t>
      </w:r>
    </w:p>
    <w:p w14:paraId="1AE8E920" w14:textId="77777777" w:rsidR="00193D08" w:rsidRDefault="00193D08" w:rsidP="00193D08">
      <w:pPr>
        <w:rPr>
          <w:sz w:val="22"/>
        </w:rPr>
      </w:pPr>
      <w:r w:rsidRPr="00193D08">
        <w:rPr>
          <w:sz w:val="22"/>
        </w:rPr>
        <w:t>HBF</w:t>
      </w:r>
      <w:r w:rsidRPr="00193D08">
        <w:rPr>
          <w:sz w:val="22"/>
        </w:rPr>
        <w:tab/>
      </w:r>
      <w:r w:rsidRPr="00193D08">
        <w:rPr>
          <w:sz w:val="22"/>
        </w:rPr>
        <w:tab/>
      </w:r>
      <w:r w:rsidRPr="00193D08">
        <w:rPr>
          <w:sz w:val="22"/>
        </w:rPr>
        <w:tab/>
        <w:t>Health Basket Fund</w:t>
      </w:r>
    </w:p>
    <w:p w14:paraId="7444351B" w14:textId="77777777" w:rsidR="009A4848" w:rsidRDefault="009A4848" w:rsidP="00193D08">
      <w:pPr>
        <w:rPr>
          <w:sz w:val="22"/>
        </w:rPr>
      </w:pPr>
      <w:r>
        <w:rPr>
          <w:sz w:val="22"/>
        </w:rPr>
        <w:t>HC</w:t>
      </w:r>
      <w:r>
        <w:rPr>
          <w:sz w:val="22"/>
        </w:rPr>
        <w:tab/>
      </w:r>
      <w:r>
        <w:rPr>
          <w:sz w:val="22"/>
        </w:rPr>
        <w:tab/>
      </w:r>
      <w:r>
        <w:rPr>
          <w:sz w:val="22"/>
        </w:rPr>
        <w:tab/>
        <w:t>Health Centre</w:t>
      </w:r>
    </w:p>
    <w:p w14:paraId="77B64DC2" w14:textId="77777777" w:rsidR="00BC291C" w:rsidRPr="00193D08" w:rsidRDefault="00BC291C" w:rsidP="00193D08">
      <w:pPr>
        <w:rPr>
          <w:sz w:val="22"/>
        </w:rPr>
      </w:pPr>
      <w:r>
        <w:rPr>
          <w:sz w:val="22"/>
        </w:rPr>
        <w:t>HDI</w:t>
      </w:r>
      <w:r>
        <w:rPr>
          <w:sz w:val="22"/>
        </w:rPr>
        <w:tab/>
      </w:r>
      <w:r>
        <w:rPr>
          <w:sz w:val="22"/>
        </w:rPr>
        <w:tab/>
      </w:r>
      <w:r>
        <w:rPr>
          <w:sz w:val="22"/>
        </w:rPr>
        <w:tab/>
        <w:t>Human Development Index</w:t>
      </w:r>
    </w:p>
    <w:p w14:paraId="27D1FC8C" w14:textId="77777777" w:rsidR="00193D08" w:rsidRPr="00193D08" w:rsidRDefault="00193D08" w:rsidP="00193D08">
      <w:pPr>
        <w:rPr>
          <w:sz w:val="22"/>
        </w:rPr>
      </w:pPr>
      <w:r w:rsidRPr="00193D08">
        <w:rPr>
          <w:sz w:val="22"/>
        </w:rPr>
        <w:t>HFS</w:t>
      </w:r>
      <w:r w:rsidRPr="00193D08">
        <w:rPr>
          <w:sz w:val="22"/>
        </w:rPr>
        <w:tab/>
      </w:r>
      <w:r w:rsidRPr="00193D08">
        <w:rPr>
          <w:sz w:val="22"/>
        </w:rPr>
        <w:tab/>
      </w:r>
      <w:r w:rsidRPr="00193D08">
        <w:rPr>
          <w:sz w:val="22"/>
        </w:rPr>
        <w:tab/>
        <w:t>Health Financing Strategy</w:t>
      </w:r>
    </w:p>
    <w:p w14:paraId="3DD23E15" w14:textId="77777777" w:rsidR="00193D08" w:rsidRPr="00193D08" w:rsidRDefault="00193D08" w:rsidP="00193D08">
      <w:pPr>
        <w:rPr>
          <w:sz w:val="22"/>
        </w:rPr>
      </w:pPr>
      <w:r w:rsidRPr="00193D08">
        <w:rPr>
          <w:sz w:val="22"/>
        </w:rPr>
        <w:t>HMIS</w:t>
      </w:r>
      <w:r w:rsidRPr="00193D08">
        <w:rPr>
          <w:sz w:val="22"/>
        </w:rPr>
        <w:tab/>
      </w:r>
      <w:r w:rsidRPr="00193D08">
        <w:rPr>
          <w:sz w:val="22"/>
        </w:rPr>
        <w:tab/>
      </w:r>
      <w:r w:rsidRPr="00193D08">
        <w:rPr>
          <w:sz w:val="22"/>
        </w:rPr>
        <w:tab/>
        <w:t>Health Management information System</w:t>
      </w:r>
    </w:p>
    <w:p w14:paraId="45A48073" w14:textId="77777777" w:rsidR="00193D08" w:rsidRPr="00193D08" w:rsidRDefault="00193D08" w:rsidP="00193D08">
      <w:pPr>
        <w:rPr>
          <w:sz w:val="22"/>
        </w:rPr>
      </w:pPr>
      <w:r w:rsidRPr="00193D08">
        <w:rPr>
          <w:sz w:val="22"/>
        </w:rPr>
        <w:t>HSSP III</w:t>
      </w:r>
      <w:r w:rsidRPr="00193D08">
        <w:rPr>
          <w:sz w:val="22"/>
        </w:rPr>
        <w:tab/>
      </w:r>
      <w:r w:rsidRPr="00193D08">
        <w:rPr>
          <w:sz w:val="22"/>
        </w:rPr>
        <w:tab/>
        <w:t>Health Sector Strategic Plan III (2009-2015)</w:t>
      </w:r>
    </w:p>
    <w:p w14:paraId="52E086EE" w14:textId="77777777" w:rsidR="00193D08" w:rsidRDefault="00193D08" w:rsidP="00193D08">
      <w:pPr>
        <w:rPr>
          <w:sz w:val="22"/>
        </w:rPr>
      </w:pPr>
      <w:r w:rsidRPr="00193D08">
        <w:rPr>
          <w:sz w:val="22"/>
        </w:rPr>
        <w:t>ISC</w:t>
      </w:r>
      <w:r w:rsidRPr="00193D08">
        <w:rPr>
          <w:sz w:val="22"/>
        </w:rPr>
        <w:tab/>
      </w:r>
      <w:r w:rsidRPr="00193D08">
        <w:rPr>
          <w:sz w:val="22"/>
        </w:rPr>
        <w:tab/>
      </w:r>
      <w:r w:rsidRPr="00193D08">
        <w:rPr>
          <w:sz w:val="22"/>
        </w:rPr>
        <w:tab/>
        <w:t>Inter-ministerial Steering Committee</w:t>
      </w:r>
    </w:p>
    <w:p w14:paraId="0AA5396C" w14:textId="77777777" w:rsidR="008158F0" w:rsidRDefault="008158F0" w:rsidP="00193D08">
      <w:pPr>
        <w:rPr>
          <w:sz w:val="22"/>
        </w:rPr>
      </w:pPr>
      <w:r>
        <w:rPr>
          <w:sz w:val="22"/>
        </w:rPr>
        <w:t>LGA</w:t>
      </w:r>
      <w:r>
        <w:rPr>
          <w:sz w:val="22"/>
        </w:rPr>
        <w:tab/>
      </w:r>
      <w:r>
        <w:rPr>
          <w:sz w:val="22"/>
        </w:rPr>
        <w:tab/>
      </w:r>
      <w:r>
        <w:rPr>
          <w:sz w:val="22"/>
        </w:rPr>
        <w:tab/>
        <w:t xml:space="preserve">Local Government </w:t>
      </w:r>
      <w:proofErr w:type="gramStart"/>
      <w:r>
        <w:rPr>
          <w:sz w:val="22"/>
        </w:rPr>
        <w:t>Authority(</w:t>
      </w:r>
      <w:proofErr w:type="spellStart"/>
      <w:proofErr w:type="gramEnd"/>
      <w:r>
        <w:rPr>
          <w:sz w:val="22"/>
        </w:rPr>
        <w:t>ies</w:t>
      </w:r>
      <w:proofErr w:type="spellEnd"/>
      <w:r>
        <w:rPr>
          <w:sz w:val="22"/>
        </w:rPr>
        <w:t>)</w:t>
      </w:r>
    </w:p>
    <w:p w14:paraId="7F98995B" w14:textId="3850207F" w:rsidR="003B7D18" w:rsidRPr="008610C4" w:rsidRDefault="003B7D18" w:rsidP="00193D08">
      <w:pPr>
        <w:rPr>
          <w:sz w:val="22"/>
          <w:lang w:val="es-ES"/>
        </w:rPr>
      </w:pPr>
      <w:r w:rsidRPr="008610C4">
        <w:rPr>
          <w:sz w:val="22"/>
          <w:lang w:val="es-ES"/>
        </w:rPr>
        <w:t>MMAM</w:t>
      </w:r>
      <w:r w:rsidR="00A23F00" w:rsidRPr="008610C4">
        <w:rPr>
          <w:sz w:val="22"/>
          <w:lang w:val="es-ES"/>
        </w:rPr>
        <w:tab/>
      </w:r>
      <w:r w:rsidR="00A23F00" w:rsidRPr="008610C4">
        <w:rPr>
          <w:sz w:val="22"/>
          <w:lang w:val="es-ES"/>
        </w:rPr>
        <w:tab/>
      </w:r>
      <w:r w:rsidR="00A23F00" w:rsidRPr="008610C4">
        <w:rPr>
          <w:sz w:val="22"/>
          <w:lang w:val="es-ES"/>
        </w:rPr>
        <w:tab/>
      </w:r>
      <w:proofErr w:type="spellStart"/>
      <w:r w:rsidR="00A23F00" w:rsidRPr="008610C4">
        <w:rPr>
          <w:sz w:val="22"/>
          <w:lang w:val="es-ES"/>
        </w:rPr>
        <w:t>Mpango</w:t>
      </w:r>
      <w:proofErr w:type="spellEnd"/>
      <w:r w:rsidR="00A23F00" w:rsidRPr="008610C4">
        <w:rPr>
          <w:sz w:val="22"/>
          <w:lang w:val="es-ES"/>
        </w:rPr>
        <w:t xml:space="preserve"> </w:t>
      </w:r>
      <w:proofErr w:type="spellStart"/>
      <w:r w:rsidR="00A23F00" w:rsidRPr="008610C4">
        <w:rPr>
          <w:sz w:val="22"/>
          <w:lang w:val="es-ES"/>
        </w:rPr>
        <w:t>wa</w:t>
      </w:r>
      <w:proofErr w:type="spellEnd"/>
      <w:r w:rsidR="00A23F00" w:rsidRPr="008610C4">
        <w:rPr>
          <w:sz w:val="22"/>
          <w:lang w:val="es-ES"/>
        </w:rPr>
        <w:t xml:space="preserve"> </w:t>
      </w:r>
      <w:proofErr w:type="spellStart"/>
      <w:r w:rsidR="00A23F00" w:rsidRPr="008610C4">
        <w:rPr>
          <w:sz w:val="22"/>
          <w:lang w:val="es-ES"/>
        </w:rPr>
        <w:t>Maendeleo</w:t>
      </w:r>
      <w:proofErr w:type="spellEnd"/>
      <w:r w:rsidR="00A23F00" w:rsidRPr="008610C4">
        <w:rPr>
          <w:sz w:val="22"/>
          <w:lang w:val="es-ES"/>
        </w:rPr>
        <w:t xml:space="preserve"> ya </w:t>
      </w:r>
      <w:proofErr w:type="spellStart"/>
      <w:r w:rsidR="00A23F00" w:rsidRPr="008610C4">
        <w:rPr>
          <w:sz w:val="22"/>
          <w:lang w:val="es-ES"/>
        </w:rPr>
        <w:t>Afya</w:t>
      </w:r>
      <w:proofErr w:type="spellEnd"/>
      <w:r w:rsidR="00A23F00" w:rsidRPr="008610C4">
        <w:rPr>
          <w:sz w:val="22"/>
          <w:lang w:val="es-ES"/>
        </w:rPr>
        <w:t xml:space="preserve"> ya </w:t>
      </w:r>
      <w:proofErr w:type="spellStart"/>
      <w:r w:rsidR="00A23F00" w:rsidRPr="008610C4">
        <w:rPr>
          <w:sz w:val="22"/>
          <w:lang w:val="es-ES"/>
        </w:rPr>
        <w:t>Msingi</w:t>
      </w:r>
      <w:proofErr w:type="spellEnd"/>
    </w:p>
    <w:p w14:paraId="1C402FF2" w14:textId="77777777" w:rsidR="00193D08" w:rsidRDefault="00193D08" w:rsidP="00193D08">
      <w:pPr>
        <w:rPr>
          <w:sz w:val="22"/>
        </w:rPr>
      </w:pPr>
      <w:r w:rsidRPr="00193D08">
        <w:rPr>
          <w:sz w:val="22"/>
        </w:rPr>
        <w:t>MBP</w:t>
      </w:r>
      <w:r w:rsidRPr="00193D08">
        <w:rPr>
          <w:sz w:val="22"/>
        </w:rPr>
        <w:tab/>
      </w:r>
      <w:r w:rsidRPr="00193D08">
        <w:rPr>
          <w:sz w:val="22"/>
        </w:rPr>
        <w:tab/>
      </w:r>
      <w:r w:rsidRPr="00193D08">
        <w:rPr>
          <w:sz w:val="22"/>
        </w:rPr>
        <w:tab/>
        <w:t>Minimum Benefit Package</w:t>
      </w:r>
    </w:p>
    <w:p w14:paraId="657C225D" w14:textId="77777777" w:rsidR="00BC291C" w:rsidRPr="00193D08" w:rsidRDefault="00BC291C" w:rsidP="00193D08">
      <w:pPr>
        <w:rPr>
          <w:sz w:val="22"/>
        </w:rPr>
      </w:pPr>
      <w:r>
        <w:rPr>
          <w:sz w:val="22"/>
        </w:rPr>
        <w:t>MDA</w:t>
      </w:r>
      <w:r>
        <w:rPr>
          <w:sz w:val="22"/>
        </w:rPr>
        <w:tab/>
      </w:r>
      <w:r>
        <w:rPr>
          <w:sz w:val="22"/>
        </w:rPr>
        <w:tab/>
      </w:r>
      <w:r>
        <w:rPr>
          <w:sz w:val="22"/>
        </w:rPr>
        <w:tab/>
        <w:t>Ministries, departments and Agencies</w:t>
      </w:r>
    </w:p>
    <w:p w14:paraId="663F469D" w14:textId="77777777" w:rsidR="00193D08" w:rsidRPr="00193D08" w:rsidRDefault="00193D08" w:rsidP="00193D08">
      <w:pPr>
        <w:rPr>
          <w:sz w:val="22"/>
        </w:rPr>
      </w:pPr>
      <w:r w:rsidRPr="00193D08">
        <w:rPr>
          <w:sz w:val="22"/>
        </w:rPr>
        <w:t>MHIS</w:t>
      </w:r>
      <w:r w:rsidRPr="00193D08">
        <w:rPr>
          <w:sz w:val="22"/>
        </w:rPr>
        <w:tab/>
      </w:r>
      <w:r w:rsidRPr="00193D08">
        <w:rPr>
          <w:sz w:val="22"/>
        </w:rPr>
        <w:tab/>
      </w:r>
      <w:r w:rsidRPr="00193D08">
        <w:rPr>
          <w:sz w:val="22"/>
        </w:rPr>
        <w:tab/>
        <w:t>Mutual Health Insurance Scheme</w:t>
      </w:r>
    </w:p>
    <w:p w14:paraId="2484E667" w14:textId="77777777" w:rsidR="00193D08" w:rsidRPr="00193D08" w:rsidRDefault="00193D08" w:rsidP="00193D08">
      <w:pPr>
        <w:rPr>
          <w:sz w:val="22"/>
        </w:rPr>
      </w:pPr>
      <w:r w:rsidRPr="00193D08">
        <w:rPr>
          <w:sz w:val="22"/>
        </w:rPr>
        <w:t>MOF</w:t>
      </w:r>
      <w:r w:rsidRPr="00193D08">
        <w:rPr>
          <w:sz w:val="22"/>
        </w:rPr>
        <w:tab/>
      </w:r>
      <w:r w:rsidRPr="00193D08">
        <w:rPr>
          <w:sz w:val="22"/>
        </w:rPr>
        <w:tab/>
      </w:r>
      <w:r w:rsidRPr="00193D08">
        <w:rPr>
          <w:sz w:val="22"/>
        </w:rPr>
        <w:tab/>
        <w:t>Ministry of Finance</w:t>
      </w:r>
    </w:p>
    <w:p w14:paraId="1987D071" w14:textId="77777777" w:rsidR="00193D08" w:rsidRDefault="00193D08" w:rsidP="00193D08">
      <w:pPr>
        <w:rPr>
          <w:sz w:val="22"/>
        </w:rPr>
      </w:pPr>
      <w:r w:rsidRPr="00193D08">
        <w:rPr>
          <w:sz w:val="22"/>
        </w:rPr>
        <w:t>MOHSW</w:t>
      </w:r>
      <w:r w:rsidRPr="00193D08">
        <w:rPr>
          <w:sz w:val="22"/>
        </w:rPr>
        <w:tab/>
      </w:r>
      <w:r w:rsidRPr="00193D08">
        <w:rPr>
          <w:sz w:val="22"/>
        </w:rPr>
        <w:tab/>
        <w:t>Ministry of Health &amp; Social Welfare</w:t>
      </w:r>
    </w:p>
    <w:p w14:paraId="0A543C6C" w14:textId="77777777" w:rsidR="00E00498" w:rsidRDefault="00E00498" w:rsidP="00193D08">
      <w:pPr>
        <w:rPr>
          <w:sz w:val="22"/>
        </w:rPr>
      </w:pPr>
      <w:r>
        <w:rPr>
          <w:sz w:val="22"/>
        </w:rPr>
        <w:t>MOL</w:t>
      </w:r>
      <w:r>
        <w:rPr>
          <w:sz w:val="22"/>
        </w:rPr>
        <w:tab/>
      </w:r>
      <w:r>
        <w:rPr>
          <w:sz w:val="22"/>
        </w:rPr>
        <w:tab/>
      </w:r>
      <w:r>
        <w:rPr>
          <w:sz w:val="22"/>
        </w:rPr>
        <w:tab/>
        <w:t>Ministry of Labor</w:t>
      </w:r>
    </w:p>
    <w:p w14:paraId="5C9EA5A4" w14:textId="6618D231" w:rsidR="00FD7171" w:rsidRDefault="00047E6A" w:rsidP="00193D08">
      <w:pPr>
        <w:rPr>
          <w:sz w:val="22"/>
        </w:rPr>
      </w:pPr>
      <w:r>
        <w:rPr>
          <w:sz w:val="22"/>
        </w:rPr>
        <w:t>MTR</w:t>
      </w:r>
      <w:r>
        <w:rPr>
          <w:sz w:val="22"/>
        </w:rPr>
        <w:tab/>
      </w:r>
      <w:r>
        <w:rPr>
          <w:sz w:val="22"/>
        </w:rPr>
        <w:tab/>
      </w:r>
      <w:r>
        <w:rPr>
          <w:sz w:val="22"/>
        </w:rPr>
        <w:tab/>
        <w:t>Mid-</w:t>
      </w:r>
      <w:r w:rsidR="00FD7171">
        <w:rPr>
          <w:sz w:val="22"/>
        </w:rPr>
        <w:t>Term Review of HSSP III (2013)</w:t>
      </w:r>
    </w:p>
    <w:p w14:paraId="4D457D70" w14:textId="77777777" w:rsidR="00107DB9" w:rsidRPr="00193D08" w:rsidRDefault="00107DB9" w:rsidP="00193D08">
      <w:pPr>
        <w:rPr>
          <w:sz w:val="22"/>
        </w:rPr>
      </w:pPr>
      <w:r>
        <w:rPr>
          <w:sz w:val="22"/>
        </w:rPr>
        <w:t>MOU</w:t>
      </w:r>
      <w:r>
        <w:rPr>
          <w:sz w:val="22"/>
        </w:rPr>
        <w:tab/>
      </w:r>
      <w:r>
        <w:rPr>
          <w:sz w:val="22"/>
        </w:rPr>
        <w:tab/>
      </w:r>
      <w:r>
        <w:rPr>
          <w:sz w:val="22"/>
        </w:rPr>
        <w:tab/>
        <w:t>Memorandum of Understanding</w:t>
      </w:r>
    </w:p>
    <w:p w14:paraId="7DEA0B00" w14:textId="3A50FCA5" w:rsidR="00193D08" w:rsidRDefault="00440401" w:rsidP="00193D08">
      <w:pPr>
        <w:rPr>
          <w:sz w:val="22"/>
        </w:rPr>
      </w:pPr>
      <w:r w:rsidRPr="00047E6A">
        <w:rPr>
          <w:sz w:val="22"/>
        </w:rPr>
        <w:t>NB</w:t>
      </w:r>
      <w:r w:rsidR="00193D08" w:rsidRPr="00047E6A">
        <w:rPr>
          <w:sz w:val="22"/>
        </w:rPr>
        <w:t>S</w:t>
      </w:r>
      <w:r w:rsidR="00193D08" w:rsidRPr="00193D08">
        <w:rPr>
          <w:sz w:val="22"/>
        </w:rPr>
        <w:tab/>
      </w:r>
      <w:r w:rsidR="00193D08" w:rsidRPr="00193D08">
        <w:rPr>
          <w:sz w:val="22"/>
        </w:rPr>
        <w:tab/>
      </w:r>
      <w:r w:rsidR="00193D08" w:rsidRPr="00193D08">
        <w:rPr>
          <w:sz w:val="22"/>
        </w:rPr>
        <w:tab/>
        <w:t>National Bureau of Statistics</w:t>
      </w:r>
    </w:p>
    <w:p w14:paraId="16B4EC9F" w14:textId="77777777" w:rsidR="003E2EB1" w:rsidRDefault="003E2EB1" w:rsidP="00193D08">
      <w:pPr>
        <w:rPr>
          <w:sz w:val="22"/>
        </w:rPr>
      </w:pPr>
      <w:r>
        <w:rPr>
          <w:sz w:val="22"/>
        </w:rPr>
        <w:t>NGO</w:t>
      </w:r>
      <w:r>
        <w:rPr>
          <w:sz w:val="22"/>
        </w:rPr>
        <w:tab/>
      </w:r>
      <w:r>
        <w:rPr>
          <w:sz w:val="22"/>
        </w:rPr>
        <w:tab/>
      </w:r>
      <w:r>
        <w:rPr>
          <w:sz w:val="22"/>
        </w:rPr>
        <w:tab/>
        <w:t>Non-Government Organization</w:t>
      </w:r>
    </w:p>
    <w:p w14:paraId="35E65FB6" w14:textId="77777777" w:rsidR="00BC291C" w:rsidRPr="00193D08" w:rsidRDefault="00BC291C" w:rsidP="00193D08">
      <w:pPr>
        <w:rPr>
          <w:sz w:val="22"/>
        </w:rPr>
      </w:pPr>
      <w:r>
        <w:rPr>
          <w:sz w:val="22"/>
        </w:rPr>
        <w:t>NHA</w:t>
      </w:r>
      <w:r>
        <w:rPr>
          <w:sz w:val="22"/>
        </w:rPr>
        <w:tab/>
      </w:r>
      <w:r>
        <w:rPr>
          <w:sz w:val="22"/>
        </w:rPr>
        <w:tab/>
      </w:r>
      <w:r>
        <w:rPr>
          <w:sz w:val="22"/>
        </w:rPr>
        <w:tab/>
        <w:t>National Health Accounts</w:t>
      </w:r>
    </w:p>
    <w:p w14:paraId="61F29BB0" w14:textId="77777777" w:rsidR="00193D08" w:rsidRDefault="00193D08" w:rsidP="00193D08">
      <w:pPr>
        <w:rPr>
          <w:sz w:val="22"/>
        </w:rPr>
      </w:pPr>
      <w:r w:rsidRPr="00193D08">
        <w:rPr>
          <w:sz w:val="22"/>
        </w:rPr>
        <w:t>NHIF</w:t>
      </w:r>
      <w:r w:rsidRPr="00193D08">
        <w:rPr>
          <w:sz w:val="22"/>
        </w:rPr>
        <w:tab/>
      </w:r>
      <w:r w:rsidRPr="00193D08">
        <w:rPr>
          <w:sz w:val="22"/>
        </w:rPr>
        <w:tab/>
      </w:r>
      <w:r w:rsidRPr="00193D08">
        <w:rPr>
          <w:sz w:val="22"/>
        </w:rPr>
        <w:tab/>
        <w:t>National Health Insurance Fund</w:t>
      </w:r>
    </w:p>
    <w:p w14:paraId="334B8F39" w14:textId="77777777" w:rsidR="00267347" w:rsidRDefault="00267347" w:rsidP="00193D08">
      <w:pPr>
        <w:rPr>
          <w:sz w:val="22"/>
        </w:rPr>
      </w:pPr>
      <w:r>
        <w:rPr>
          <w:sz w:val="22"/>
        </w:rPr>
        <w:t>NIDA</w:t>
      </w:r>
      <w:r w:rsidR="00AB407A">
        <w:rPr>
          <w:sz w:val="22"/>
        </w:rPr>
        <w:tab/>
      </w:r>
      <w:r w:rsidR="00AB407A">
        <w:rPr>
          <w:sz w:val="22"/>
        </w:rPr>
        <w:tab/>
      </w:r>
      <w:r w:rsidR="00AB407A">
        <w:rPr>
          <w:sz w:val="22"/>
        </w:rPr>
        <w:tab/>
        <w:t>National Identification Authority</w:t>
      </w:r>
    </w:p>
    <w:p w14:paraId="74C240D7" w14:textId="77777777" w:rsidR="00107DB9" w:rsidRDefault="00107DB9" w:rsidP="00193D08">
      <w:pPr>
        <w:rPr>
          <w:sz w:val="22"/>
        </w:rPr>
      </w:pPr>
      <w:r>
        <w:rPr>
          <w:sz w:val="22"/>
        </w:rPr>
        <w:t>NSSF</w:t>
      </w:r>
      <w:r>
        <w:rPr>
          <w:sz w:val="22"/>
        </w:rPr>
        <w:tab/>
      </w:r>
      <w:r>
        <w:rPr>
          <w:sz w:val="22"/>
        </w:rPr>
        <w:tab/>
      </w:r>
      <w:r>
        <w:rPr>
          <w:sz w:val="22"/>
        </w:rPr>
        <w:tab/>
        <w:t>National Social Security Fund</w:t>
      </w:r>
    </w:p>
    <w:p w14:paraId="5B3E6EB7" w14:textId="77777777" w:rsidR="003B7D18" w:rsidRDefault="003B7D18" w:rsidP="00193D08">
      <w:pPr>
        <w:rPr>
          <w:sz w:val="22"/>
        </w:rPr>
      </w:pPr>
      <w:r>
        <w:rPr>
          <w:sz w:val="22"/>
        </w:rPr>
        <w:lastRenderedPageBreak/>
        <w:t>OC</w:t>
      </w:r>
      <w:r>
        <w:rPr>
          <w:sz w:val="22"/>
        </w:rPr>
        <w:tab/>
      </w:r>
      <w:r>
        <w:rPr>
          <w:sz w:val="22"/>
        </w:rPr>
        <w:tab/>
      </w:r>
      <w:r>
        <w:rPr>
          <w:sz w:val="22"/>
        </w:rPr>
        <w:tab/>
        <w:t>Other charges</w:t>
      </w:r>
    </w:p>
    <w:p w14:paraId="052A5101" w14:textId="77777777" w:rsidR="00E00498" w:rsidRDefault="00E00498" w:rsidP="00193D08">
      <w:pPr>
        <w:rPr>
          <w:sz w:val="22"/>
        </w:rPr>
      </w:pPr>
      <w:r>
        <w:rPr>
          <w:sz w:val="22"/>
        </w:rPr>
        <w:t>OOP</w:t>
      </w:r>
      <w:r>
        <w:rPr>
          <w:sz w:val="22"/>
        </w:rPr>
        <w:tab/>
      </w:r>
      <w:r>
        <w:rPr>
          <w:sz w:val="22"/>
        </w:rPr>
        <w:tab/>
      </w:r>
      <w:r>
        <w:rPr>
          <w:sz w:val="22"/>
        </w:rPr>
        <w:tab/>
        <w:t xml:space="preserve">Out of Pocket </w:t>
      </w:r>
    </w:p>
    <w:p w14:paraId="437243C4" w14:textId="77777777" w:rsidR="00107DB9" w:rsidRDefault="00107DB9" w:rsidP="00193D08">
      <w:pPr>
        <w:rPr>
          <w:sz w:val="22"/>
        </w:rPr>
      </w:pPr>
      <w:r>
        <w:rPr>
          <w:sz w:val="22"/>
        </w:rPr>
        <w:t>PER</w:t>
      </w:r>
      <w:r>
        <w:rPr>
          <w:sz w:val="22"/>
        </w:rPr>
        <w:tab/>
      </w:r>
      <w:r>
        <w:rPr>
          <w:sz w:val="22"/>
        </w:rPr>
        <w:tab/>
      </w:r>
      <w:r>
        <w:rPr>
          <w:sz w:val="22"/>
        </w:rPr>
        <w:tab/>
        <w:t>Public Expenditure Review</w:t>
      </w:r>
    </w:p>
    <w:p w14:paraId="119E9D15" w14:textId="77777777" w:rsidR="003B7D18" w:rsidRDefault="003B7D18" w:rsidP="00193D08">
      <w:pPr>
        <w:rPr>
          <w:sz w:val="22"/>
        </w:rPr>
      </w:pPr>
      <w:r>
        <w:rPr>
          <w:sz w:val="22"/>
        </w:rPr>
        <w:t>PFM</w:t>
      </w:r>
      <w:r>
        <w:rPr>
          <w:sz w:val="22"/>
        </w:rPr>
        <w:tab/>
      </w:r>
      <w:r>
        <w:rPr>
          <w:sz w:val="22"/>
        </w:rPr>
        <w:tab/>
      </w:r>
      <w:r>
        <w:rPr>
          <w:sz w:val="22"/>
        </w:rPr>
        <w:tab/>
        <w:t>Public Financial Management</w:t>
      </w:r>
    </w:p>
    <w:p w14:paraId="0CFCF12B" w14:textId="77777777" w:rsidR="00231797" w:rsidRPr="00193D08" w:rsidRDefault="00231797" w:rsidP="00193D08">
      <w:pPr>
        <w:rPr>
          <w:sz w:val="22"/>
        </w:rPr>
      </w:pPr>
      <w:r>
        <w:rPr>
          <w:sz w:val="22"/>
        </w:rPr>
        <w:t>PHI</w:t>
      </w:r>
      <w:r>
        <w:rPr>
          <w:sz w:val="22"/>
        </w:rPr>
        <w:tab/>
      </w:r>
      <w:r>
        <w:rPr>
          <w:sz w:val="22"/>
        </w:rPr>
        <w:tab/>
      </w:r>
      <w:r>
        <w:rPr>
          <w:sz w:val="22"/>
        </w:rPr>
        <w:tab/>
        <w:t>Private health insurance</w:t>
      </w:r>
    </w:p>
    <w:p w14:paraId="5EBCBD7C" w14:textId="77777777" w:rsidR="00193D08" w:rsidRPr="00193D08" w:rsidRDefault="00193D08" w:rsidP="00193D08">
      <w:pPr>
        <w:rPr>
          <w:sz w:val="22"/>
        </w:rPr>
      </w:pPr>
      <w:r w:rsidRPr="00193D08">
        <w:rPr>
          <w:sz w:val="22"/>
        </w:rPr>
        <w:t>PMO-RALG</w:t>
      </w:r>
      <w:r w:rsidRPr="00193D08">
        <w:rPr>
          <w:sz w:val="22"/>
        </w:rPr>
        <w:tab/>
      </w:r>
      <w:r w:rsidRPr="00193D08">
        <w:rPr>
          <w:sz w:val="22"/>
        </w:rPr>
        <w:tab/>
        <w:t>Prime Minister’s Office – Regional Administration &amp; Local Government</w:t>
      </w:r>
      <w:r w:rsidRPr="00193D08">
        <w:rPr>
          <w:sz w:val="22"/>
        </w:rPr>
        <w:tab/>
      </w:r>
    </w:p>
    <w:p w14:paraId="09BE271A" w14:textId="77777777" w:rsidR="00193D08" w:rsidRDefault="00193D08" w:rsidP="00193D08">
      <w:pPr>
        <w:rPr>
          <w:sz w:val="22"/>
        </w:rPr>
      </w:pPr>
      <w:r w:rsidRPr="00193D08">
        <w:rPr>
          <w:sz w:val="22"/>
        </w:rPr>
        <w:t>PO-PSM</w:t>
      </w:r>
      <w:r w:rsidRPr="00193D08">
        <w:rPr>
          <w:sz w:val="22"/>
        </w:rPr>
        <w:tab/>
      </w:r>
      <w:r w:rsidRPr="00193D08">
        <w:rPr>
          <w:sz w:val="22"/>
        </w:rPr>
        <w:tab/>
        <w:t>President’s office – Public Service Management</w:t>
      </w:r>
    </w:p>
    <w:p w14:paraId="5EEEB6E2" w14:textId="77777777" w:rsidR="00436504" w:rsidRDefault="00436504" w:rsidP="00193D08">
      <w:pPr>
        <w:rPr>
          <w:sz w:val="22"/>
        </w:rPr>
      </w:pPr>
      <w:r>
        <w:rPr>
          <w:sz w:val="22"/>
        </w:rPr>
        <w:t>PMT</w:t>
      </w:r>
      <w:r>
        <w:rPr>
          <w:sz w:val="22"/>
        </w:rPr>
        <w:tab/>
      </w:r>
      <w:r>
        <w:rPr>
          <w:sz w:val="22"/>
        </w:rPr>
        <w:tab/>
      </w:r>
      <w:r>
        <w:rPr>
          <w:sz w:val="22"/>
        </w:rPr>
        <w:tab/>
        <w:t>Proxy-Means Testing</w:t>
      </w:r>
    </w:p>
    <w:p w14:paraId="06EADCEA" w14:textId="77777777" w:rsidR="008158F0" w:rsidRDefault="008158F0" w:rsidP="00193D08">
      <w:pPr>
        <w:rPr>
          <w:sz w:val="22"/>
        </w:rPr>
      </w:pPr>
      <w:r>
        <w:rPr>
          <w:sz w:val="22"/>
        </w:rPr>
        <w:t>RAS</w:t>
      </w:r>
      <w:r>
        <w:rPr>
          <w:sz w:val="22"/>
        </w:rPr>
        <w:tab/>
      </w:r>
      <w:r>
        <w:rPr>
          <w:sz w:val="22"/>
        </w:rPr>
        <w:tab/>
      </w:r>
      <w:r>
        <w:rPr>
          <w:sz w:val="22"/>
        </w:rPr>
        <w:tab/>
        <w:t>Regional Administrative Secretariat(s)</w:t>
      </w:r>
    </w:p>
    <w:p w14:paraId="7B29A431" w14:textId="77777777" w:rsidR="00E00498" w:rsidRDefault="00E00498" w:rsidP="00193D08">
      <w:pPr>
        <w:rPr>
          <w:sz w:val="22"/>
        </w:rPr>
      </w:pPr>
      <w:r>
        <w:rPr>
          <w:sz w:val="22"/>
        </w:rPr>
        <w:t>RBF</w:t>
      </w:r>
      <w:r>
        <w:rPr>
          <w:sz w:val="22"/>
        </w:rPr>
        <w:tab/>
      </w:r>
      <w:r>
        <w:rPr>
          <w:sz w:val="22"/>
        </w:rPr>
        <w:tab/>
      </w:r>
      <w:r>
        <w:rPr>
          <w:sz w:val="22"/>
        </w:rPr>
        <w:tab/>
        <w:t>Results Based Financing</w:t>
      </w:r>
    </w:p>
    <w:p w14:paraId="078CEBEF" w14:textId="77777777" w:rsidR="00BC291C" w:rsidRDefault="00BC291C" w:rsidP="00193D08">
      <w:pPr>
        <w:rPr>
          <w:sz w:val="22"/>
        </w:rPr>
      </w:pPr>
      <w:r>
        <w:rPr>
          <w:sz w:val="22"/>
        </w:rPr>
        <w:t>RHMT</w:t>
      </w:r>
      <w:r>
        <w:rPr>
          <w:sz w:val="22"/>
        </w:rPr>
        <w:tab/>
      </w:r>
      <w:r>
        <w:rPr>
          <w:sz w:val="22"/>
        </w:rPr>
        <w:tab/>
      </w:r>
      <w:r>
        <w:rPr>
          <w:sz w:val="22"/>
        </w:rPr>
        <w:tab/>
        <w:t>Regional Health Management Team</w:t>
      </w:r>
    </w:p>
    <w:p w14:paraId="4443D450" w14:textId="77777777" w:rsidR="00267347" w:rsidRDefault="00267347" w:rsidP="00193D08">
      <w:pPr>
        <w:rPr>
          <w:sz w:val="22"/>
        </w:rPr>
      </w:pPr>
      <w:r>
        <w:rPr>
          <w:sz w:val="22"/>
        </w:rPr>
        <w:t>RITA</w:t>
      </w:r>
      <w:r w:rsidR="00AB407A">
        <w:rPr>
          <w:sz w:val="22"/>
        </w:rPr>
        <w:tab/>
      </w:r>
      <w:r w:rsidR="00AB407A">
        <w:rPr>
          <w:sz w:val="22"/>
        </w:rPr>
        <w:tab/>
      </w:r>
      <w:r w:rsidR="00AB407A">
        <w:rPr>
          <w:sz w:val="22"/>
        </w:rPr>
        <w:tab/>
      </w:r>
      <w:r w:rsidR="00796DD0">
        <w:rPr>
          <w:sz w:val="22"/>
        </w:rPr>
        <w:t>Registration, Insolvency, and Trusteeship Agency</w:t>
      </w:r>
    </w:p>
    <w:p w14:paraId="7934EC82" w14:textId="77777777" w:rsidR="00267347" w:rsidRDefault="00267347" w:rsidP="00193D08">
      <w:pPr>
        <w:rPr>
          <w:sz w:val="22"/>
        </w:rPr>
      </w:pPr>
      <w:r>
        <w:rPr>
          <w:sz w:val="22"/>
        </w:rPr>
        <w:t>SHI</w:t>
      </w:r>
      <w:r>
        <w:rPr>
          <w:sz w:val="22"/>
        </w:rPr>
        <w:tab/>
      </w:r>
      <w:r>
        <w:rPr>
          <w:sz w:val="22"/>
        </w:rPr>
        <w:tab/>
      </w:r>
      <w:r>
        <w:rPr>
          <w:sz w:val="22"/>
        </w:rPr>
        <w:tab/>
        <w:t>Social Health Insurance</w:t>
      </w:r>
    </w:p>
    <w:p w14:paraId="7E622332" w14:textId="77777777" w:rsidR="00301D9C" w:rsidRDefault="00301D9C" w:rsidP="00193D08">
      <w:pPr>
        <w:rPr>
          <w:sz w:val="22"/>
        </w:rPr>
      </w:pPr>
      <w:r>
        <w:rPr>
          <w:sz w:val="22"/>
        </w:rPr>
        <w:t>SHIB</w:t>
      </w:r>
      <w:r>
        <w:rPr>
          <w:sz w:val="22"/>
        </w:rPr>
        <w:tab/>
      </w:r>
      <w:r>
        <w:rPr>
          <w:sz w:val="22"/>
        </w:rPr>
        <w:tab/>
      </w:r>
      <w:r>
        <w:rPr>
          <w:sz w:val="22"/>
        </w:rPr>
        <w:tab/>
        <w:t>Social Health Insurance Benefit</w:t>
      </w:r>
    </w:p>
    <w:p w14:paraId="15ED2BA1" w14:textId="77777777" w:rsidR="00280943" w:rsidRDefault="00280943" w:rsidP="00193D08">
      <w:pPr>
        <w:rPr>
          <w:sz w:val="22"/>
        </w:rPr>
      </w:pPr>
      <w:r>
        <w:rPr>
          <w:sz w:val="22"/>
        </w:rPr>
        <w:t>SHP</w:t>
      </w:r>
      <w:r>
        <w:rPr>
          <w:sz w:val="22"/>
        </w:rPr>
        <w:tab/>
      </w:r>
      <w:r>
        <w:rPr>
          <w:sz w:val="22"/>
        </w:rPr>
        <w:tab/>
      </w:r>
      <w:r>
        <w:rPr>
          <w:sz w:val="22"/>
        </w:rPr>
        <w:tab/>
        <w:t>Social Health Protection</w:t>
      </w:r>
    </w:p>
    <w:p w14:paraId="46AF79B5" w14:textId="77777777" w:rsidR="00267347" w:rsidRDefault="00267347" w:rsidP="00193D08">
      <w:pPr>
        <w:rPr>
          <w:sz w:val="22"/>
        </w:rPr>
      </w:pPr>
      <w:r>
        <w:rPr>
          <w:sz w:val="22"/>
        </w:rPr>
        <w:t>SNHI</w:t>
      </w:r>
      <w:r>
        <w:rPr>
          <w:sz w:val="22"/>
        </w:rPr>
        <w:tab/>
      </w:r>
      <w:r>
        <w:rPr>
          <w:sz w:val="22"/>
        </w:rPr>
        <w:tab/>
      </w:r>
      <w:r>
        <w:rPr>
          <w:sz w:val="22"/>
        </w:rPr>
        <w:tab/>
        <w:t>Single National Health Insurance</w:t>
      </w:r>
    </w:p>
    <w:p w14:paraId="54DCF3C3" w14:textId="77777777" w:rsidR="005E5054" w:rsidRDefault="005E5054" w:rsidP="00193D08">
      <w:pPr>
        <w:rPr>
          <w:sz w:val="22"/>
        </w:rPr>
      </w:pPr>
      <w:r>
        <w:rPr>
          <w:sz w:val="22"/>
        </w:rPr>
        <w:t>SSRA</w:t>
      </w:r>
      <w:r w:rsidR="00AB407A">
        <w:rPr>
          <w:sz w:val="22"/>
        </w:rPr>
        <w:tab/>
      </w:r>
      <w:r w:rsidR="00AB407A">
        <w:rPr>
          <w:sz w:val="22"/>
        </w:rPr>
        <w:tab/>
      </w:r>
      <w:r w:rsidR="00AB407A">
        <w:rPr>
          <w:sz w:val="22"/>
        </w:rPr>
        <w:tab/>
        <w:t>Social Security Regulatory Authority</w:t>
      </w:r>
    </w:p>
    <w:p w14:paraId="3B8065F8" w14:textId="77777777" w:rsidR="00BC291C" w:rsidRDefault="00BC291C" w:rsidP="00193D08">
      <w:pPr>
        <w:rPr>
          <w:sz w:val="22"/>
        </w:rPr>
      </w:pPr>
      <w:proofErr w:type="spellStart"/>
      <w:r>
        <w:rPr>
          <w:sz w:val="22"/>
        </w:rPr>
        <w:t>SWAp</w:t>
      </w:r>
      <w:proofErr w:type="spellEnd"/>
      <w:r>
        <w:rPr>
          <w:sz w:val="22"/>
        </w:rPr>
        <w:tab/>
      </w:r>
      <w:r>
        <w:rPr>
          <w:sz w:val="22"/>
        </w:rPr>
        <w:tab/>
      </w:r>
      <w:r>
        <w:rPr>
          <w:sz w:val="22"/>
        </w:rPr>
        <w:tab/>
        <w:t>Sector Wide Approach</w:t>
      </w:r>
    </w:p>
    <w:p w14:paraId="47D4A4AC" w14:textId="77777777" w:rsidR="00BC291C" w:rsidRDefault="00BC291C" w:rsidP="00193D08">
      <w:pPr>
        <w:rPr>
          <w:sz w:val="22"/>
        </w:rPr>
      </w:pPr>
      <w:r>
        <w:rPr>
          <w:sz w:val="22"/>
        </w:rPr>
        <w:t>TACAIDS</w:t>
      </w:r>
      <w:r>
        <w:rPr>
          <w:sz w:val="22"/>
        </w:rPr>
        <w:tab/>
      </w:r>
      <w:r>
        <w:rPr>
          <w:sz w:val="22"/>
        </w:rPr>
        <w:tab/>
        <w:t>Tanzanian Commission for AIDS</w:t>
      </w:r>
    </w:p>
    <w:p w14:paraId="43BE428F" w14:textId="77777777" w:rsidR="00436504" w:rsidRDefault="00436504" w:rsidP="00193D08">
      <w:pPr>
        <w:rPr>
          <w:sz w:val="22"/>
        </w:rPr>
      </w:pPr>
      <w:r>
        <w:rPr>
          <w:sz w:val="22"/>
        </w:rPr>
        <w:t>TASAF</w:t>
      </w:r>
      <w:r>
        <w:rPr>
          <w:sz w:val="22"/>
        </w:rPr>
        <w:tab/>
      </w:r>
      <w:r>
        <w:rPr>
          <w:sz w:val="22"/>
        </w:rPr>
        <w:tab/>
      </w:r>
      <w:r>
        <w:rPr>
          <w:sz w:val="22"/>
        </w:rPr>
        <w:tab/>
        <w:t>Tanzanian Social Action Fund</w:t>
      </w:r>
    </w:p>
    <w:p w14:paraId="750C4D40" w14:textId="77777777" w:rsidR="003B7D18" w:rsidRDefault="003B7D18" w:rsidP="00193D08">
      <w:pPr>
        <w:rPr>
          <w:sz w:val="22"/>
        </w:rPr>
      </w:pPr>
      <w:r>
        <w:rPr>
          <w:sz w:val="22"/>
        </w:rPr>
        <w:t>THE</w:t>
      </w:r>
      <w:r>
        <w:rPr>
          <w:sz w:val="22"/>
        </w:rPr>
        <w:tab/>
      </w:r>
      <w:r>
        <w:rPr>
          <w:sz w:val="22"/>
        </w:rPr>
        <w:tab/>
      </w:r>
      <w:r>
        <w:rPr>
          <w:sz w:val="22"/>
        </w:rPr>
        <w:tab/>
        <w:t>Total Health Expenditure</w:t>
      </w:r>
    </w:p>
    <w:p w14:paraId="73FC8044" w14:textId="77777777" w:rsidR="000F236E" w:rsidRDefault="000F236E" w:rsidP="00193D08">
      <w:pPr>
        <w:rPr>
          <w:sz w:val="22"/>
        </w:rPr>
      </w:pPr>
      <w:r>
        <w:rPr>
          <w:sz w:val="22"/>
        </w:rPr>
        <w:t>TIKA</w:t>
      </w:r>
      <w:r>
        <w:rPr>
          <w:sz w:val="22"/>
        </w:rPr>
        <w:tab/>
      </w:r>
      <w:r>
        <w:rPr>
          <w:sz w:val="22"/>
        </w:rPr>
        <w:tab/>
      </w:r>
      <w:r>
        <w:rPr>
          <w:sz w:val="22"/>
        </w:rPr>
        <w:tab/>
        <w:t>[</w:t>
      </w:r>
      <w:proofErr w:type="spellStart"/>
      <w:r>
        <w:rPr>
          <w:sz w:val="22"/>
        </w:rPr>
        <w:t>Tiba</w:t>
      </w:r>
      <w:proofErr w:type="spellEnd"/>
      <w:r>
        <w:rPr>
          <w:sz w:val="22"/>
        </w:rPr>
        <w:t xml:space="preserve"> </w:t>
      </w:r>
      <w:proofErr w:type="spellStart"/>
      <w:proofErr w:type="gramStart"/>
      <w:r>
        <w:rPr>
          <w:sz w:val="22"/>
        </w:rPr>
        <w:t>kwa</w:t>
      </w:r>
      <w:proofErr w:type="spellEnd"/>
      <w:proofErr w:type="gramEnd"/>
      <w:r>
        <w:rPr>
          <w:sz w:val="22"/>
        </w:rPr>
        <w:t xml:space="preserve"> </w:t>
      </w:r>
      <w:proofErr w:type="spellStart"/>
      <w:r>
        <w:rPr>
          <w:sz w:val="22"/>
        </w:rPr>
        <w:t>Kadi</w:t>
      </w:r>
      <w:proofErr w:type="spellEnd"/>
      <w:r>
        <w:rPr>
          <w:sz w:val="22"/>
        </w:rPr>
        <w:t>] - urban, informal sector health insurance</w:t>
      </w:r>
    </w:p>
    <w:p w14:paraId="38D19FD3" w14:textId="77777777" w:rsidR="00BB6A74" w:rsidRDefault="00BB6A74" w:rsidP="00193D08">
      <w:pPr>
        <w:rPr>
          <w:sz w:val="22"/>
        </w:rPr>
      </w:pPr>
      <w:r>
        <w:rPr>
          <w:sz w:val="22"/>
        </w:rPr>
        <w:t>TNCHF</w:t>
      </w:r>
      <w:r>
        <w:rPr>
          <w:sz w:val="22"/>
        </w:rPr>
        <w:tab/>
      </w:r>
      <w:r>
        <w:rPr>
          <w:sz w:val="22"/>
        </w:rPr>
        <w:tab/>
        <w:t>Tanzanian Network for Community Health Funds</w:t>
      </w:r>
    </w:p>
    <w:p w14:paraId="5CED2383" w14:textId="77777777" w:rsidR="005E5054" w:rsidRPr="00193D08" w:rsidRDefault="005E5054" w:rsidP="00193D08">
      <w:pPr>
        <w:rPr>
          <w:sz w:val="22"/>
        </w:rPr>
      </w:pPr>
      <w:r>
        <w:rPr>
          <w:sz w:val="22"/>
        </w:rPr>
        <w:t>TIRA</w:t>
      </w:r>
      <w:r w:rsidR="00AB407A">
        <w:rPr>
          <w:sz w:val="22"/>
        </w:rPr>
        <w:tab/>
      </w:r>
      <w:r w:rsidR="00AB407A">
        <w:rPr>
          <w:sz w:val="22"/>
        </w:rPr>
        <w:tab/>
      </w:r>
      <w:r w:rsidR="00AB407A">
        <w:rPr>
          <w:sz w:val="22"/>
        </w:rPr>
        <w:tab/>
        <w:t>Tanzania Insurance Regulatory Authority</w:t>
      </w:r>
    </w:p>
    <w:p w14:paraId="10784BD5" w14:textId="77777777" w:rsidR="0061117D" w:rsidRDefault="00193D08" w:rsidP="00193D08">
      <w:pPr>
        <w:rPr>
          <w:sz w:val="22"/>
        </w:rPr>
      </w:pPr>
      <w:r w:rsidRPr="00193D08">
        <w:rPr>
          <w:sz w:val="22"/>
        </w:rPr>
        <w:t>UHC</w:t>
      </w:r>
      <w:r w:rsidRPr="00193D08">
        <w:rPr>
          <w:sz w:val="22"/>
        </w:rPr>
        <w:tab/>
      </w:r>
      <w:r w:rsidRPr="00193D08">
        <w:rPr>
          <w:sz w:val="22"/>
        </w:rPr>
        <w:tab/>
      </w:r>
      <w:r w:rsidRPr="00193D08">
        <w:rPr>
          <w:sz w:val="22"/>
        </w:rPr>
        <w:tab/>
        <w:t>Universal Health Coverage</w:t>
      </w:r>
    </w:p>
    <w:p w14:paraId="7201EBCA" w14:textId="77777777" w:rsidR="007D0A3F" w:rsidRDefault="007D0A3F" w:rsidP="00193D08">
      <w:pPr>
        <w:rPr>
          <w:sz w:val="22"/>
        </w:rPr>
      </w:pPr>
      <w:r>
        <w:rPr>
          <w:sz w:val="22"/>
        </w:rPr>
        <w:t>UN</w:t>
      </w:r>
      <w:r>
        <w:rPr>
          <w:sz w:val="22"/>
        </w:rPr>
        <w:tab/>
      </w:r>
      <w:r>
        <w:rPr>
          <w:sz w:val="22"/>
        </w:rPr>
        <w:tab/>
      </w:r>
      <w:r>
        <w:rPr>
          <w:sz w:val="22"/>
        </w:rPr>
        <w:tab/>
        <w:t>United Nations</w:t>
      </w:r>
    </w:p>
    <w:p w14:paraId="0D782C85" w14:textId="5650A5A9" w:rsidR="0055607D" w:rsidRDefault="0055607D" w:rsidP="00193D08">
      <w:pPr>
        <w:rPr>
          <w:sz w:val="22"/>
        </w:rPr>
      </w:pPr>
      <w:r>
        <w:rPr>
          <w:sz w:val="22"/>
        </w:rPr>
        <w:t>UNDP</w:t>
      </w:r>
      <w:r>
        <w:rPr>
          <w:sz w:val="22"/>
        </w:rPr>
        <w:tab/>
      </w:r>
      <w:r>
        <w:rPr>
          <w:sz w:val="22"/>
        </w:rPr>
        <w:tab/>
      </w:r>
      <w:r>
        <w:rPr>
          <w:sz w:val="22"/>
        </w:rPr>
        <w:tab/>
        <w:t>United Nations Development Program</w:t>
      </w:r>
    </w:p>
    <w:p w14:paraId="4EBF942D" w14:textId="77777777" w:rsidR="0061117D" w:rsidRDefault="0061117D">
      <w:pPr>
        <w:spacing w:after="200"/>
        <w:jc w:val="left"/>
        <w:rPr>
          <w:sz w:val="22"/>
        </w:rPr>
      </w:pPr>
      <w:r>
        <w:rPr>
          <w:sz w:val="22"/>
        </w:rPr>
        <w:br w:type="page"/>
      </w:r>
    </w:p>
    <w:p w14:paraId="26A45C7D" w14:textId="2E507541" w:rsidR="00193D08" w:rsidRDefault="0061117D" w:rsidP="0061117D">
      <w:pPr>
        <w:pStyle w:val="Title"/>
      </w:pPr>
      <w:r>
        <w:lastRenderedPageBreak/>
        <w:t>Glossary</w:t>
      </w:r>
      <w:r w:rsidR="00AF1E4F">
        <w:t xml:space="preserve"> </w:t>
      </w:r>
    </w:p>
    <w:p w14:paraId="0A7CEE98" w14:textId="77777777" w:rsidR="0061117D" w:rsidRPr="0061117D" w:rsidRDefault="0061117D" w:rsidP="0061117D"/>
    <w:tbl>
      <w:tblPr>
        <w:tblStyle w:val="TableGrid5"/>
        <w:tblW w:w="92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622"/>
        <w:gridCol w:w="236"/>
      </w:tblGrid>
      <w:tr w:rsidR="0061117D" w:rsidRPr="00112E3E" w14:paraId="0E0A098E" w14:textId="77777777" w:rsidTr="00F74CCE">
        <w:tc>
          <w:tcPr>
            <w:tcW w:w="2376" w:type="dxa"/>
          </w:tcPr>
          <w:p w14:paraId="4829C959" w14:textId="77777777" w:rsidR="0077145B" w:rsidRDefault="0061117D" w:rsidP="0061117D">
            <w:pPr>
              <w:spacing w:after="120"/>
              <w:jc w:val="left"/>
              <w:rPr>
                <w:rFonts w:cs="Arial"/>
              </w:rPr>
            </w:pPr>
            <w:r w:rsidRPr="00112E3E">
              <w:rPr>
                <w:rFonts w:cs="Arial"/>
              </w:rPr>
              <w:t>Capitation</w:t>
            </w:r>
            <w:r w:rsidR="00F45CC5">
              <w:rPr>
                <w:rFonts w:cs="Arial"/>
              </w:rPr>
              <w:t xml:space="preserve"> </w:t>
            </w:r>
          </w:p>
          <w:p w14:paraId="061E3F5D" w14:textId="77777777" w:rsidR="0061117D" w:rsidRPr="00112E3E" w:rsidRDefault="0061117D" w:rsidP="0061117D">
            <w:pPr>
              <w:spacing w:after="120"/>
              <w:jc w:val="left"/>
              <w:rPr>
                <w:rFonts w:cs="Arial"/>
              </w:rPr>
            </w:pPr>
          </w:p>
        </w:tc>
        <w:tc>
          <w:tcPr>
            <w:tcW w:w="6858" w:type="dxa"/>
            <w:gridSpan w:val="2"/>
          </w:tcPr>
          <w:p w14:paraId="51719911" w14:textId="1D86EBE4" w:rsidR="00C01A1A" w:rsidRDefault="00696E2A" w:rsidP="00F74CCE">
            <w:pPr>
              <w:ind w:left="24"/>
              <w:jc w:val="left"/>
              <w:rPr>
                <w:rFonts w:cs="Arial"/>
              </w:rPr>
            </w:pPr>
            <w:r>
              <w:rPr>
                <w:rFonts w:cs="Arial"/>
              </w:rPr>
              <w:t>A</w:t>
            </w:r>
            <w:r w:rsidR="00F92C67">
              <w:rPr>
                <w:rFonts w:cs="Arial"/>
              </w:rPr>
              <w:t xml:space="preserve"> mechanism</w:t>
            </w:r>
            <w:r w:rsidR="0077145B" w:rsidRPr="0077145B">
              <w:rPr>
                <w:rFonts w:cs="Arial"/>
              </w:rPr>
              <w:t xml:space="preserve"> to pay a provider.  Under capitation the unit of payment is defined on a per-person-basis fixed for all services that a person may use in a period of time.</w:t>
            </w:r>
            <w:r>
              <w:rPr>
                <w:rFonts w:cs="Arial"/>
              </w:rPr>
              <w:br/>
            </w:r>
          </w:p>
        </w:tc>
      </w:tr>
      <w:tr w:rsidR="0061117D" w:rsidRPr="00112E3E" w14:paraId="683376EB" w14:textId="77777777" w:rsidTr="00F74CCE">
        <w:tc>
          <w:tcPr>
            <w:tcW w:w="2376" w:type="dxa"/>
          </w:tcPr>
          <w:p w14:paraId="2754D5CE" w14:textId="2FCD21F9" w:rsidR="0077145B" w:rsidRPr="00915C9E" w:rsidRDefault="0061117D" w:rsidP="0061117D">
            <w:pPr>
              <w:spacing w:after="120"/>
              <w:jc w:val="left"/>
              <w:rPr>
                <w:rFonts w:cs="Arial"/>
              </w:rPr>
            </w:pPr>
            <w:r w:rsidRPr="00915C9E">
              <w:rPr>
                <w:rFonts w:cs="Arial"/>
              </w:rPr>
              <w:t>Case-based payment</w:t>
            </w:r>
            <w:r w:rsidR="00696E2A" w:rsidRPr="00915C9E">
              <w:rPr>
                <w:rFonts w:cs="Arial"/>
              </w:rPr>
              <w:br/>
            </w:r>
          </w:p>
          <w:p w14:paraId="72C03273" w14:textId="77777777" w:rsidR="00DA3356" w:rsidRPr="00915C9E" w:rsidRDefault="008E28A1" w:rsidP="0061117D">
            <w:pPr>
              <w:spacing w:after="120"/>
              <w:jc w:val="left"/>
              <w:rPr>
                <w:rFonts w:cs="Arial"/>
              </w:rPr>
            </w:pPr>
            <w:r w:rsidRPr="00915C9E">
              <w:rPr>
                <w:rFonts w:cs="Arial"/>
              </w:rPr>
              <w:t>Efficiency gains</w:t>
            </w:r>
            <w:r w:rsidR="003A7BAA" w:rsidRPr="00915C9E">
              <w:rPr>
                <w:rFonts w:cs="Arial"/>
              </w:rPr>
              <w:t xml:space="preserve">    </w:t>
            </w:r>
          </w:p>
          <w:p w14:paraId="3B401CB2" w14:textId="77777777" w:rsidR="00DA3356" w:rsidRPr="00915C9E" w:rsidRDefault="00DA3356" w:rsidP="0061117D">
            <w:pPr>
              <w:spacing w:after="120"/>
              <w:jc w:val="left"/>
              <w:rPr>
                <w:rFonts w:cs="Arial"/>
              </w:rPr>
            </w:pPr>
          </w:p>
          <w:p w14:paraId="7C9B0A03" w14:textId="771AAF8D" w:rsidR="008E28A1" w:rsidRPr="00915C9E" w:rsidRDefault="00DA3356" w:rsidP="00DA3356">
            <w:pPr>
              <w:spacing w:after="120"/>
              <w:jc w:val="left"/>
              <w:rPr>
                <w:rFonts w:cs="Arial"/>
              </w:rPr>
            </w:pPr>
            <w:r w:rsidRPr="00915C9E">
              <w:rPr>
                <w:rFonts w:cs="Arial"/>
              </w:rPr>
              <w:t>Gatekeeping</w:t>
            </w:r>
          </w:p>
        </w:tc>
        <w:tc>
          <w:tcPr>
            <w:tcW w:w="6858" w:type="dxa"/>
            <w:gridSpan w:val="2"/>
          </w:tcPr>
          <w:p w14:paraId="62DC0E8C" w14:textId="77777777" w:rsidR="0061117D" w:rsidRPr="00915C9E" w:rsidRDefault="0077145B" w:rsidP="0061117D">
            <w:pPr>
              <w:jc w:val="left"/>
              <w:rPr>
                <w:rFonts w:cs="Arial"/>
              </w:rPr>
            </w:pPr>
            <w:r w:rsidRPr="00915C9E">
              <w:rPr>
                <w:rFonts w:cs="Arial"/>
              </w:rPr>
              <w:t>This form of payment pays the providers a lump sum for a classified case of illness and its associated treatment cost</w:t>
            </w:r>
          </w:p>
          <w:p w14:paraId="2F26FBA2" w14:textId="77777777" w:rsidR="0077145B" w:rsidRPr="00915C9E" w:rsidRDefault="0077145B" w:rsidP="0061117D">
            <w:pPr>
              <w:jc w:val="left"/>
              <w:rPr>
                <w:rFonts w:cs="Arial"/>
              </w:rPr>
            </w:pPr>
          </w:p>
          <w:p w14:paraId="140E744A" w14:textId="77777777" w:rsidR="003A7BAA" w:rsidRPr="00915C9E" w:rsidRDefault="003A7BAA" w:rsidP="00696E2A">
            <w:pPr>
              <w:jc w:val="left"/>
              <w:rPr>
                <w:rFonts w:cs="Arial"/>
              </w:rPr>
            </w:pPr>
            <w:r w:rsidRPr="00915C9E">
              <w:rPr>
                <w:rFonts w:cs="Arial"/>
              </w:rPr>
              <w:t xml:space="preserve">The experience of financial gain or savings through introduction of more efficient processes </w:t>
            </w:r>
            <w:r w:rsidR="00696E2A" w:rsidRPr="00915C9E">
              <w:rPr>
                <w:rFonts w:cs="Arial"/>
              </w:rPr>
              <w:br/>
            </w:r>
          </w:p>
          <w:p w14:paraId="0B5F75B6" w14:textId="6DDB3A5D" w:rsidR="00DA3356" w:rsidRPr="00112E3E" w:rsidRDefault="00DA3356" w:rsidP="00696E2A">
            <w:pPr>
              <w:jc w:val="left"/>
              <w:rPr>
                <w:rFonts w:cs="Arial"/>
              </w:rPr>
            </w:pPr>
            <w:r w:rsidRPr="00915C9E">
              <w:rPr>
                <w:rFonts w:cs="Arial"/>
              </w:rPr>
              <w:t>Is a mechanism to rationalize</w:t>
            </w:r>
            <w:r w:rsidR="000A1264">
              <w:rPr>
                <w:rFonts w:cs="Arial"/>
              </w:rPr>
              <w:t xml:space="preserve"> health </w:t>
            </w:r>
            <w:proofErr w:type="gramStart"/>
            <w:r w:rsidR="00C57C33">
              <w:rPr>
                <w:rFonts w:cs="Arial"/>
              </w:rPr>
              <w:t>expenditure.</w:t>
            </w:r>
            <w:proofErr w:type="gramEnd"/>
            <w:r w:rsidR="00915C9E">
              <w:rPr>
                <w:rFonts w:cs="Arial"/>
              </w:rPr>
              <w:t xml:space="preserve"> </w:t>
            </w:r>
            <w:r w:rsidR="00E12D5D" w:rsidRPr="00915C9E">
              <w:rPr>
                <w:rFonts w:cs="Arial"/>
              </w:rPr>
              <w:t xml:space="preserve">A </w:t>
            </w:r>
            <w:r w:rsidR="00E12D5D" w:rsidRPr="00915C9E">
              <w:rPr>
                <w:bCs/>
              </w:rPr>
              <w:t>Gatekeeper is</w:t>
            </w:r>
            <w:r w:rsidR="00E12D5D" w:rsidRPr="00915C9E">
              <w:t xml:space="preserve"> a health care provider at the first contact level who has responsibilities for the provision of primary care as well as for the coordination of specialized care and referral</w:t>
            </w:r>
          </w:p>
        </w:tc>
      </w:tr>
      <w:tr w:rsidR="0061117D" w:rsidRPr="00696E2A" w14:paraId="6E9475FA" w14:textId="77777777" w:rsidTr="00F74CCE">
        <w:tc>
          <w:tcPr>
            <w:tcW w:w="2376" w:type="dxa"/>
          </w:tcPr>
          <w:p w14:paraId="347A159E" w14:textId="77777777" w:rsidR="00DA3356" w:rsidRDefault="00DA3356" w:rsidP="0061117D">
            <w:pPr>
              <w:spacing w:after="120"/>
              <w:jc w:val="left"/>
              <w:rPr>
                <w:rFonts w:cs="Arial"/>
              </w:rPr>
            </w:pPr>
          </w:p>
          <w:p w14:paraId="1966113B" w14:textId="043C3B6B" w:rsidR="00616C00" w:rsidRDefault="00616C00" w:rsidP="0061117D">
            <w:pPr>
              <w:spacing w:after="120"/>
              <w:jc w:val="left"/>
              <w:rPr>
                <w:rFonts w:cs="Arial"/>
              </w:rPr>
            </w:pPr>
            <w:r>
              <w:rPr>
                <w:rFonts w:cs="Arial"/>
              </w:rPr>
              <w:t>General Budget Support</w:t>
            </w:r>
          </w:p>
          <w:p w14:paraId="78AB941F" w14:textId="77777777" w:rsidR="0061117D" w:rsidRDefault="00696E2A" w:rsidP="0061117D">
            <w:pPr>
              <w:spacing w:after="120"/>
              <w:jc w:val="left"/>
              <w:rPr>
                <w:rFonts w:cs="Arial"/>
              </w:rPr>
            </w:pPr>
            <w:r>
              <w:rPr>
                <w:rFonts w:cs="Arial"/>
              </w:rPr>
              <w:br/>
              <w:t>F</w:t>
            </w:r>
            <w:r w:rsidR="0061117D" w:rsidRPr="00112E3E">
              <w:rPr>
                <w:rFonts w:cs="Arial"/>
              </w:rPr>
              <w:t>ee For Service</w:t>
            </w:r>
          </w:p>
          <w:p w14:paraId="695E6EDB" w14:textId="77777777" w:rsidR="00696E2A" w:rsidRDefault="00696E2A" w:rsidP="0061117D">
            <w:pPr>
              <w:spacing w:after="120"/>
              <w:jc w:val="left"/>
              <w:rPr>
                <w:rFonts w:cs="Arial"/>
              </w:rPr>
            </w:pPr>
          </w:p>
          <w:p w14:paraId="4B6BDE4E" w14:textId="02A1BC21" w:rsidR="00696E2A" w:rsidRDefault="00696E2A" w:rsidP="0061117D">
            <w:pPr>
              <w:spacing w:after="120"/>
              <w:jc w:val="left"/>
              <w:rPr>
                <w:rFonts w:cs="Arial"/>
              </w:rPr>
            </w:pPr>
            <w:r>
              <w:rPr>
                <w:rFonts w:cs="Arial"/>
              </w:rPr>
              <w:br/>
              <w:t>Fragmentation</w:t>
            </w:r>
          </w:p>
          <w:p w14:paraId="15C02CA0" w14:textId="77777777" w:rsidR="00696E2A" w:rsidRDefault="00696E2A" w:rsidP="0061117D">
            <w:pPr>
              <w:spacing w:after="120"/>
              <w:jc w:val="left"/>
              <w:rPr>
                <w:rFonts w:cs="Arial"/>
              </w:rPr>
            </w:pPr>
          </w:p>
          <w:p w14:paraId="7EBD6A7D" w14:textId="77777777" w:rsidR="00696E2A" w:rsidRDefault="00696E2A" w:rsidP="0061117D">
            <w:pPr>
              <w:spacing w:after="120"/>
              <w:jc w:val="left"/>
              <w:rPr>
                <w:rFonts w:cs="Arial"/>
              </w:rPr>
            </w:pPr>
            <w:r>
              <w:rPr>
                <w:rFonts w:cs="Arial"/>
              </w:rPr>
              <w:t>Minimum Benefit Package</w:t>
            </w:r>
          </w:p>
          <w:p w14:paraId="43AB47E1" w14:textId="77777777" w:rsidR="00696E2A" w:rsidRDefault="00696E2A" w:rsidP="0061117D">
            <w:pPr>
              <w:spacing w:after="120"/>
              <w:jc w:val="left"/>
              <w:rPr>
                <w:rFonts w:cs="Arial"/>
              </w:rPr>
            </w:pPr>
          </w:p>
          <w:p w14:paraId="153CFDE3" w14:textId="77777777" w:rsidR="00012C43" w:rsidRDefault="00696E2A" w:rsidP="00012C43">
            <w:pPr>
              <w:tabs>
                <w:tab w:val="right" w:pos="2160"/>
              </w:tabs>
              <w:spacing w:after="120"/>
              <w:jc w:val="left"/>
              <w:rPr>
                <w:rFonts w:cs="Arial"/>
              </w:rPr>
            </w:pPr>
            <w:r>
              <w:rPr>
                <w:rFonts w:cs="Arial"/>
              </w:rPr>
              <w:t>Purchaser</w:t>
            </w:r>
          </w:p>
          <w:p w14:paraId="63A85092" w14:textId="77777777" w:rsidR="00012C43" w:rsidRDefault="00012C43" w:rsidP="00012C43">
            <w:pPr>
              <w:tabs>
                <w:tab w:val="right" w:pos="2160"/>
              </w:tabs>
              <w:spacing w:after="120"/>
              <w:jc w:val="left"/>
              <w:rPr>
                <w:rFonts w:cs="Arial"/>
              </w:rPr>
            </w:pPr>
          </w:p>
          <w:p w14:paraId="143F7C7E" w14:textId="77777777" w:rsidR="00012C43" w:rsidRDefault="00012C43" w:rsidP="00012C43">
            <w:pPr>
              <w:tabs>
                <w:tab w:val="right" w:pos="2160"/>
              </w:tabs>
              <w:spacing w:after="120"/>
              <w:jc w:val="left"/>
              <w:rPr>
                <w:rFonts w:cs="Arial"/>
              </w:rPr>
            </w:pPr>
          </w:p>
          <w:p w14:paraId="65D59755" w14:textId="4E1B7E75" w:rsidR="00696E2A" w:rsidRPr="00012C43" w:rsidRDefault="00012C43" w:rsidP="00012C43">
            <w:pPr>
              <w:tabs>
                <w:tab w:val="right" w:pos="2160"/>
              </w:tabs>
              <w:spacing w:after="120"/>
              <w:jc w:val="left"/>
              <w:rPr>
                <w:rFonts w:cs="Arial"/>
              </w:rPr>
            </w:pPr>
            <w:r>
              <w:rPr>
                <w:rFonts w:cs="Arial"/>
              </w:rPr>
              <w:t>Purchaser-Provider Split</w:t>
            </w:r>
            <w:r>
              <w:rPr>
                <w:rFonts w:cs="Arial"/>
              </w:rPr>
              <w:tab/>
            </w:r>
          </w:p>
        </w:tc>
        <w:tc>
          <w:tcPr>
            <w:tcW w:w="6858" w:type="dxa"/>
            <w:gridSpan w:val="2"/>
          </w:tcPr>
          <w:p w14:paraId="4A9C1F8C" w14:textId="77777777" w:rsidR="00DA3356" w:rsidRDefault="00DA3356" w:rsidP="00112E3E">
            <w:pPr>
              <w:jc w:val="left"/>
              <w:rPr>
                <w:rFonts w:cs="Arial"/>
              </w:rPr>
            </w:pPr>
          </w:p>
          <w:p w14:paraId="62730CD5" w14:textId="77777777" w:rsidR="00DA3356" w:rsidRDefault="00DA3356" w:rsidP="00112E3E">
            <w:pPr>
              <w:jc w:val="left"/>
              <w:rPr>
                <w:rFonts w:cs="Arial"/>
              </w:rPr>
            </w:pPr>
          </w:p>
          <w:p w14:paraId="5CBB236A" w14:textId="3DD43941" w:rsidR="003A7BAA" w:rsidRPr="00012C43" w:rsidRDefault="003A7BAA" w:rsidP="00112E3E">
            <w:pPr>
              <w:jc w:val="left"/>
              <w:rPr>
                <w:rFonts w:cs="Arial"/>
              </w:rPr>
            </w:pPr>
            <w:r w:rsidRPr="00012C43">
              <w:rPr>
                <w:rFonts w:cs="Arial"/>
              </w:rPr>
              <w:t xml:space="preserve">External funds directly contributed </w:t>
            </w:r>
            <w:r w:rsidR="00696E2A" w:rsidRPr="00012C43">
              <w:rPr>
                <w:rFonts w:cs="Arial"/>
              </w:rPr>
              <w:t xml:space="preserve">to </w:t>
            </w:r>
            <w:r w:rsidRPr="00012C43">
              <w:rPr>
                <w:rFonts w:cs="Arial"/>
              </w:rPr>
              <w:t>the general government budget (not sector specific)</w:t>
            </w:r>
          </w:p>
          <w:p w14:paraId="124A71DA" w14:textId="77777777" w:rsidR="003A7BAA" w:rsidRPr="00012C43" w:rsidRDefault="003A7BAA" w:rsidP="00112E3E">
            <w:pPr>
              <w:jc w:val="left"/>
              <w:rPr>
                <w:rFonts w:cs="Arial"/>
              </w:rPr>
            </w:pPr>
          </w:p>
          <w:p w14:paraId="58588CF0" w14:textId="77777777" w:rsidR="00616C00" w:rsidRPr="00012C43" w:rsidRDefault="0061117D" w:rsidP="00112E3E">
            <w:pPr>
              <w:jc w:val="left"/>
              <w:rPr>
                <w:rFonts w:cs="Arial"/>
              </w:rPr>
            </w:pPr>
            <w:r w:rsidRPr="00012C43">
              <w:rPr>
                <w:rFonts w:cs="Arial"/>
              </w:rPr>
              <w:t>Out of pocket payment mechanism, where a fee is charged for a service at the time of use.  Currently used by NHIF for reimbursement to providers</w:t>
            </w:r>
          </w:p>
          <w:p w14:paraId="37F2091E" w14:textId="77777777" w:rsidR="00696E2A" w:rsidRPr="00012C43" w:rsidRDefault="00696E2A" w:rsidP="00112E3E">
            <w:pPr>
              <w:jc w:val="left"/>
              <w:rPr>
                <w:rFonts w:cs="Arial"/>
              </w:rPr>
            </w:pPr>
          </w:p>
          <w:p w14:paraId="6189A5D4" w14:textId="77777777" w:rsidR="00696E2A" w:rsidRPr="00012C43" w:rsidRDefault="00696E2A" w:rsidP="00696E2A">
            <w:pPr>
              <w:spacing w:after="120"/>
              <w:jc w:val="left"/>
              <w:rPr>
                <w:rFonts w:cs="Arial"/>
              </w:rPr>
            </w:pPr>
            <w:r w:rsidRPr="00012C43">
              <w:rPr>
                <w:rFonts w:cs="Arial"/>
              </w:rPr>
              <w:t>refers to the existence of multiple financial and risk pools</w:t>
            </w:r>
          </w:p>
          <w:p w14:paraId="5D1126C5" w14:textId="77777777" w:rsidR="00696E2A" w:rsidRPr="00012C43" w:rsidRDefault="00696E2A" w:rsidP="00696E2A">
            <w:pPr>
              <w:spacing w:after="120"/>
              <w:jc w:val="left"/>
              <w:rPr>
                <w:rFonts w:cs="Arial"/>
              </w:rPr>
            </w:pPr>
          </w:p>
          <w:p w14:paraId="5BA6835A" w14:textId="5282C887" w:rsidR="00696E2A" w:rsidRPr="00012C43" w:rsidRDefault="00696E2A" w:rsidP="00696E2A">
            <w:pPr>
              <w:jc w:val="left"/>
              <w:rPr>
                <w:rFonts w:cs="Arial"/>
              </w:rPr>
            </w:pPr>
            <w:r w:rsidRPr="00012C43">
              <w:rPr>
                <w:rFonts w:cs="Arial"/>
              </w:rPr>
              <w:t>Is a minimum package of health services offered within a health protection scheme</w:t>
            </w:r>
          </w:p>
          <w:p w14:paraId="70968129" w14:textId="77777777" w:rsidR="00696E2A" w:rsidRPr="00012C43" w:rsidRDefault="00696E2A" w:rsidP="00696E2A">
            <w:pPr>
              <w:jc w:val="left"/>
              <w:rPr>
                <w:rFonts w:cs="Arial"/>
              </w:rPr>
            </w:pPr>
          </w:p>
          <w:p w14:paraId="58E60372" w14:textId="77777777" w:rsidR="00696E2A" w:rsidRPr="00012C43" w:rsidRDefault="00696E2A" w:rsidP="00696E2A">
            <w:pPr>
              <w:jc w:val="left"/>
              <w:rPr>
                <w:rFonts w:cs="Arial"/>
              </w:rPr>
            </w:pPr>
          </w:p>
          <w:p w14:paraId="0B1F0881" w14:textId="21BBE30D" w:rsidR="00696E2A" w:rsidRPr="00012C43" w:rsidRDefault="00696E2A" w:rsidP="00696E2A">
            <w:pPr>
              <w:jc w:val="left"/>
              <w:rPr>
                <w:rFonts w:cs="Arial"/>
              </w:rPr>
            </w:pPr>
            <w:r w:rsidRPr="00012C43">
              <w:rPr>
                <w:rFonts w:cs="Arial"/>
              </w:rPr>
              <w:t>“Buys” health or management services, of a specified quality, according to agreement with the service provider. The purchaser is a recipient of services provided under a contract of service</w:t>
            </w:r>
          </w:p>
          <w:p w14:paraId="3EA67E13" w14:textId="77777777" w:rsidR="00012C43" w:rsidRPr="00012C43" w:rsidRDefault="00012C43" w:rsidP="00696E2A">
            <w:pPr>
              <w:jc w:val="left"/>
              <w:rPr>
                <w:rFonts w:cs="Arial"/>
              </w:rPr>
            </w:pPr>
          </w:p>
          <w:p w14:paraId="589A9DD9" w14:textId="77777777" w:rsidR="00012C43" w:rsidRPr="00012C43" w:rsidRDefault="00012C43" w:rsidP="00012C43">
            <w:pPr>
              <w:spacing w:after="120"/>
              <w:jc w:val="left"/>
              <w:rPr>
                <w:rFonts w:cs="Arial"/>
              </w:rPr>
            </w:pPr>
            <w:r w:rsidRPr="00012C43">
              <w:rPr>
                <w:rFonts w:cs="Arial"/>
              </w:rPr>
              <w:t>Separation of provider and purchaser functions</w:t>
            </w:r>
          </w:p>
          <w:p w14:paraId="5823C048" w14:textId="77777777" w:rsidR="00616C00" w:rsidRPr="00012C43" w:rsidRDefault="00616C00" w:rsidP="00112E3E">
            <w:pPr>
              <w:jc w:val="left"/>
              <w:rPr>
                <w:rFonts w:cs="Arial"/>
              </w:rPr>
            </w:pPr>
          </w:p>
        </w:tc>
      </w:tr>
      <w:tr w:rsidR="0061117D" w:rsidRPr="00112E3E" w14:paraId="22717E91" w14:textId="77777777" w:rsidTr="00F74CCE">
        <w:tc>
          <w:tcPr>
            <w:tcW w:w="8998" w:type="dxa"/>
            <w:gridSpan w:val="2"/>
          </w:tcPr>
          <w:p w14:paraId="4A3ECEDC" w14:textId="294C32A6" w:rsidR="00F45CC5" w:rsidRPr="00F74CCE" w:rsidRDefault="00F45CC5" w:rsidP="00012C43">
            <w:pPr>
              <w:tabs>
                <w:tab w:val="left" w:pos="2805"/>
              </w:tabs>
              <w:jc w:val="left"/>
              <w:rPr>
                <w:rFonts w:cs="Arial"/>
                <w:i/>
                <w:sz w:val="22"/>
              </w:rPr>
            </w:pPr>
          </w:p>
        </w:tc>
        <w:tc>
          <w:tcPr>
            <w:tcW w:w="236" w:type="dxa"/>
          </w:tcPr>
          <w:p w14:paraId="6692A284" w14:textId="1C1908B6" w:rsidR="0061117D" w:rsidRPr="00F74CCE" w:rsidRDefault="00696E2A" w:rsidP="0061117D">
            <w:pPr>
              <w:spacing w:line="276" w:lineRule="auto"/>
              <w:jc w:val="left"/>
              <w:rPr>
                <w:rFonts w:cs="Arial"/>
                <w:i/>
                <w:sz w:val="22"/>
              </w:rPr>
            </w:pPr>
            <w:r>
              <w:rPr>
                <w:rFonts w:cs="Arial"/>
                <w:i/>
                <w:sz w:val="22"/>
              </w:rPr>
              <w:t xml:space="preserve">      </w:t>
            </w:r>
          </w:p>
        </w:tc>
      </w:tr>
      <w:tr w:rsidR="0061117D" w:rsidRPr="00112E3E" w14:paraId="43EDECE6" w14:textId="77777777" w:rsidTr="00F74CCE">
        <w:tc>
          <w:tcPr>
            <w:tcW w:w="2376" w:type="dxa"/>
          </w:tcPr>
          <w:p w14:paraId="771147A1" w14:textId="77777777" w:rsidR="0061117D" w:rsidRPr="00112E3E" w:rsidRDefault="0061117D" w:rsidP="00C027CD">
            <w:pPr>
              <w:spacing w:after="120"/>
              <w:jc w:val="left"/>
              <w:rPr>
                <w:rFonts w:cs="Arial"/>
              </w:rPr>
            </w:pPr>
            <w:r w:rsidRPr="00112E3E">
              <w:rPr>
                <w:rFonts w:cs="Arial"/>
              </w:rPr>
              <w:t>Results-Based Financing</w:t>
            </w:r>
          </w:p>
        </w:tc>
        <w:tc>
          <w:tcPr>
            <w:tcW w:w="6858" w:type="dxa"/>
            <w:gridSpan w:val="2"/>
          </w:tcPr>
          <w:p w14:paraId="6CF5EC36" w14:textId="77777777" w:rsidR="0061117D" w:rsidRDefault="0045250C" w:rsidP="0061117D">
            <w:pPr>
              <w:jc w:val="left"/>
              <w:rPr>
                <w:rFonts w:cs="Arial"/>
              </w:rPr>
            </w:pPr>
            <w:r>
              <w:rPr>
                <w:rFonts w:cs="Arial"/>
              </w:rPr>
              <w:t>R</w:t>
            </w:r>
            <w:r w:rsidRPr="0045250C">
              <w:rPr>
                <w:rFonts w:cs="Arial"/>
              </w:rPr>
              <w:t xml:space="preserve">efers to any system that transfers financial or non-financial incentives either to a patient when they take health-related actions (demand side), or to health care providers when they achieve pre-agreed results (supply side).  RBF can also be </w:t>
            </w:r>
            <w:r w:rsidRPr="0045250C">
              <w:rPr>
                <w:rFonts w:cs="Arial"/>
              </w:rPr>
              <w:lastRenderedPageBreak/>
              <w:t>define</w:t>
            </w:r>
            <w:r>
              <w:rPr>
                <w:rFonts w:cs="Arial"/>
              </w:rPr>
              <w:t xml:space="preserve">d as an approach to develop </w:t>
            </w:r>
            <w:r w:rsidRPr="0045250C">
              <w:rPr>
                <w:rFonts w:cs="Arial"/>
              </w:rPr>
              <w:t>financing based on payments made after results have been delivered and independently verified. A well-designed RBF mechanism motivates staff to deliver quality services and assists them to access the resources needed</w:t>
            </w:r>
          </w:p>
          <w:p w14:paraId="3173D638" w14:textId="77777777" w:rsidR="0045250C" w:rsidRPr="00112E3E" w:rsidRDefault="0045250C" w:rsidP="0061117D">
            <w:pPr>
              <w:jc w:val="left"/>
              <w:rPr>
                <w:rFonts w:cs="Arial"/>
              </w:rPr>
            </w:pPr>
          </w:p>
        </w:tc>
      </w:tr>
      <w:tr w:rsidR="0061117D" w:rsidRPr="00112E3E" w14:paraId="66CDE739" w14:textId="77777777" w:rsidTr="00F74CCE">
        <w:tc>
          <w:tcPr>
            <w:tcW w:w="2376" w:type="dxa"/>
          </w:tcPr>
          <w:p w14:paraId="19A60322" w14:textId="77777777" w:rsidR="00616C00" w:rsidRDefault="00616C00" w:rsidP="00C027CD">
            <w:pPr>
              <w:spacing w:after="120"/>
              <w:jc w:val="left"/>
              <w:rPr>
                <w:rFonts w:cs="Arial"/>
              </w:rPr>
            </w:pPr>
            <w:r>
              <w:rPr>
                <w:rFonts w:cs="Arial"/>
              </w:rPr>
              <w:lastRenderedPageBreak/>
              <w:t>Risk Pool</w:t>
            </w:r>
            <w:r w:rsidR="008E28A1">
              <w:rPr>
                <w:rFonts w:cs="Arial"/>
              </w:rPr>
              <w:t>ing</w:t>
            </w:r>
          </w:p>
          <w:p w14:paraId="10D2DF16" w14:textId="77777777" w:rsidR="008E28A1" w:rsidRDefault="008E28A1" w:rsidP="00C027CD">
            <w:pPr>
              <w:spacing w:after="120"/>
              <w:jc w:val="left"/>
              <w:rPr>
                <w:rFonts w:cs="Arial"/>
              </w:rPr>
            </w:pPr>
          </w:p>
          <w:p w14:paraId="04C4F728" w14:textId="77777777" w:rsidR="008E28A1" w:rsidRDefault="008E28A1" w:rsidP="00C027CD">
            <w:pPr>
              <w:spacing w:after="120"/>
              <w:jc w:val="left"/>
              <w:rPr>
                <w:rFonts w:cs="Arial"/>
              </w:rPr>
            </w:pPr>
          </w:p>
          <w:p w14:paraId="134A7ACC" w14:textId="77777777" w:rsidR="008E28A1" w:rsidRDefault="008E28A1" w:rsidP="00C027CD">
            <w:pPr>
              <w:spacing w:after="120"/>
              <w:jc w:val="left"/>
              <w:rPr>
                <w:rFonts w:cs="Arial"/>
              </w:rPr>
            </w:pPr>
          </w:p>
          <w:p w14:paraId="2B559F9B" w14:textId="77777777" w:rsidR="0061117D" w:rsidRPr="00112E3E" w:rsidRDefault="0061117D" w:rsidP="00C027CD">
            <w:pPr>
              <w:spacing w:after="120"/>
              <w:jc w:val="left"/>
              <w:rPr>
                <w:rFonts w:cs="Arial"/>
              </w:rPr>
            </w:pPr>
            <w:r w:rsidRPr="00112E3E">
              <w:rPr>
                <w:rFonts w:cs="Arial"/>
              </w:rPr>
              <w:t>Social Health Insurance</w:t>
            </w:r>
          </w:p>
        </w:tc>
        <w:tc>
          <w:tcPr>
            <w:tcW w:w="6858" w:type="dxa"/>
            <w:gridSpan w:val="2"/>
          </w:tcPr>
          <w:p w14:paraId="0ED8B954" w14:textId="2765016C" w:rsidR="0061117D" w:rsidRDefault="0045250C" w:rsidP="0061117D">
            <w:pPr>
              <w:jc w:val="left"/>
              <w:rPr>
                <w:rFonts w:cs="Arial"/>
              </w:rPr>
            </w:pPr>
            <w:r>
              <w:rPr>
                <w:rFonts w:cs="Arial"/>
              </w:rPr>
              <w:t>I</w:t>
            </w:r>
            <w:r w:rsidR="008E28A1" w:rsidRPr="008E28A1">
              <w:rPr>
                <w:rFonts w:cs="Arial"/>
              </w:rPr>
              <w:t xml:space="preserve">ndividuals and households share the financing of total healthcare costs. </w:t>
            </w:r>
            <w:r w:rsidR="005252FD">
              <w:rPr>
                <w:rFonts w:cs="Arial"/>
              </w:rPr>
              <w:t>Risks are pooled both between and worse health among beneficiaries, and of higher and lower income groups.</w:t>
            </w:r>
            <w:r w:rsidR="00F03209">
              <w:rPr>
                <w:rFonts w:cs="Arial"/>
              </w:rPr>
              <w:t xml:space="preserve"> </w:t>
            </w:r>
            <w:r w:rsidR="008E28A1" w:rsidRPr="008E28A1">
              <w:rPr>
                <w:rFonts w:cs="Arial"/>
              </w:rPr>
              <w:t>The larger the degree of risk pooling in a health financing system, the less people will have to bear the financial consequences of their own health risks, and the more they are likely to have access to the care they need</w:t>
            </w:r>
          </w:p>
          <w:p w14:paraId="09463D7A" w14:textId="77777777" w:rsidR="008E28A1" w:rsidRDefault="00012C43" w:rsidP="00012C43">
            <w:pPr>
              <w:tabs>
                <w:tab w:val="left" w:pos="5520"/>
              </w:tabs>
              <w:jc w:val="left"/>
              <w:rPr>
                <w:rFonts w:cs="Arial"/>
              </w:rPr>
            </w:pPr>
            <w:r>
              <w:rPr>
                <w:rFonts w:cs="Arial"/>
              </w:rPr>
              <w:tab/>
            </w:r>
          </w:p>
          <w:p w14:paraId="2B4A91F3" w14:textId="5CD12C97" w:rsidR="00012C43" w:rsidRPr="00112E3E" w:rsidRDefault="00012C43" w:rsidP="00012C43">
            <w:pPr>
              <w:tabs>
                <w:tab w:val="left" w:pos="5520"/>
              </w:tabs>
              <w:jc w:val="left"/>
              <w:rPr>
                <w:rFonts w:cs="Arial"/>
              </w:rPr>
            </w:pPr>
            <w:r>
              <w:rPr>
                <w:rFonts w:cs="Arial"/>
              </w:rPr>
              <w:t xml:space="preserve">A publicly subsidized health insurance scheme which operates under the principles of solidarity, equity and risk pooling </w:t>
            </w:r>
            <w:r>
              <w:rPr>
                <w:rFonts w:cs="Arial"/>
              </w:rPr>
              <w:br/>
            </w:r>
          </w:p>
        </w:tc>
      </w:tr>
      <w:tr w:rsidR="0061117D" w:rsidRPr="00112E3E" w14:paraId="024A2D7D" w14:textId="77777777" w:rsidTr="00F74CCE">
        <w:tc>
          <w:tcPr>
            <w:tcW w:w="2376" w:type="dxa"/>
          </w:tcPr>
          <w:p w14:paraId="042C6EA5" w14:textId="77777777" w:rsidR="0061117D" w:rsidRPr="00112E3E" w:rsidRDefault="0061117D" w:rsidP="00C027CD">
            <w:pPr>
              <w:spacing w:after="120"/>
              <w:jc w:val="left"/>
              <w:rPr>
                <w:rFonts w:cs="Arial"/>
              </w:rPr>
            </w:pPr>
            <w:r w:rsidRPr="00112E3E">
              <w:rPr>
                <w:rFonts w:cs="Arial"/>
              </w:rPr>
              <w:t>Social Health Protection</w:t>
            </w:r>
          </w:p>
        </w:tc>
        <w:tc>
          <w:tcPr>
            <w:tcW w:w="6858" w:type="dxa"/>
            <w:gridSpan w:val="2"/>
          </w:tcPr>
          <w:p w14:paraId="379D69DD" w14:textId="0BF2E799" w:rsidR="0061117D" w:rsidRDefault="008E28A1" w:rsidP="0061117D">
            <w:pPr>
              <w:jc w:val="left"/>
              <w:rPr>
                <w:rFonts w:cs="Arial"/>
              </w:rPr>
            </w:pPr>
            <w:r>
              <w:rPr>
                <w:rFonts w:cs="Arial"/>
              </w:rPr>
              <w:t>A series of public measures against social distress and economic loss</w:t>
            </w:r>
            <w:r w:rsidR="00012C43">
              <w:rPr>
                <w:rFonts w:cs="Arial"/>
              </w:rPr>
              <w:t xml:space="preserve"> </w:t>
            </w:r>
            <w:r>
              <w:rPr>
                <w:rFonts w:cs="Arial"/>
              </w:rPr>
              <w:t>caused by reduction of productivity, stoppage or reduction of earning, or the cost of necessary treatment</w:t>
            </w:r>
            <w:r w:rsidR="00012C43">
              <w:rPr>
                <w:rFonts w:cs="Arial"/>
              </w:rPr>
              <w:t xml:space="preserve"> </w:t>
            </w:r>
            <w:r>
              <w:rPr>
                <w:rFonts w:cs="Arial"/>
              </w:rPr>
              <w:t>that can result from ill health (ILO)</w:t>
            </w:r>
          </w:p>
          <w:p w14:paraId="2CF3066C" w14:textId="77777777" w:rsidR="00D92843" w:rsidRPr="00112E3E" w:rsidRDefault="00D92843" w:rsidP="0061117D">
            <w:pPr>
              <w:jc w:val="left"/>
              <w:rPr>
                <w:rFonts w:cs="Arial"/>
              </w:rPr>
            </w:pPr>
          </w:p>
        </w:tc>
      </w:tr>
      <w:tr w:rsidR="0061117D" w:rsidRPr="00112E3E" w14:paraId="41FAB346" w14:textId="77777777" w:rsidTr="00F74CCE">
        <w:tc>
          <w:tcPr>
            <w:tcW w:w="2376" w:type="dxa"/>
          </w:tcPr>
          <w:p w14:paraId="72BFB620" w14:textId="77777777" w:rsidR="0061117D" w:rsidRDefault="0061117D" w:rsidP="00C027CD">
            <w:pPr>
              <w:spacing w:after="120"/>
              <w:jc w:val="left"/>
              <w:rPr>
                <w:rFonts w:cs="Arial"/>
              </w:rPr>
            </w:pPr>
            <w:r w:rsidRPr="00112E3E">
              <w:rPr>
                <w:rFonts w:cs="Arial"/>
              </w:rPr>
              <w:t>Single National Health Insurance</w:t>
            </w:r>
          </w:p>
          <w:p w14:paraId="3FBADFCA" w14:textId="77777777" w:rsidR="00616C00" w:rsidRPr="00112E3E" w:rsidRDefault="00616C00" w:rsidP="00C027CD">
            <w:pPr>
              <w:spacing w:after="120"/>
              <w:jc w:val="left"/>
              <w:rPr>
                <w:rFonts w:cs="Arial"/>
              </w:rPr>
            </w:pPr>
          </w:p>
        </w:tc>
        <w:tc>
          <w:tcPr>
            <w:tcW w:w="6858" w:type="dxa"/>
            <w:gridSpan w:val="2"/>
          </w:tcPr>
          <w:p w14:paraId="7F282404" w14:textId="2FB77C46" w:rsidR="0061117D" w:rsidRPr="00112E3E" w:rsidRDefault="00D92843" w:rsidP="000521EC">
            <w:pPr>
              <w:jc w:val="left"/>
              <w:rPr>
                <w:rFonts w:cs="Arial"/>
              </w:rPr>
            </w:pPr>
            <w:r>
              <w:rPr>
                <w:rFonts w:cs="Arial"/>
              </w:rPr>
              <w:t xml:space="preserve">One single </w:t>
            </w:r>
            <w:r w:rsidR="000521EC">
              <w:rPr>
                <w:rFonts w:cs="Arial"/>
              </w:rPr>
              <w:t xml:space="preserve">social </w:t>
            </w:r>
            <w:r>
              <w:rPr>
                <w:rFonts w:cs="Arial"/>
              </w:rPr>
              <w:t xml:space="preserve">health insurance scheme </w:t>
            </w:r>
          </w:p>
        </w:tc>
      </w:tr>
      <w:tr w:rsidR="0061117D" w:rsidRPr="00112E3E" w14:paraId="4D1E32DF" w14:textId="77777777" w:rsidTr="00F74CCE">
        <w:tc>
          <w:tcPr>
            <w:tcW w:w="2376" w:type="dxa"/>
          </w:tcPr>
          <w:p w14:paraId="49BC6E27" w14:textId="77777777" w:rsidR="0061117D" w:rsidRPr="00112E3E" w:rsidRDefault="0061117D" w:rsidP="00C027CD">
            <w:pPr>
              <w:spacing w:after="120"/>
              <w:jc w:val="left"/>
              <w:rPr>
                <w:rFonts w:cs="Arial"/>
              </w:rPr>
            </w:pPr>
            <w:r w:rsidRPr="00112E3E">
              <w:rPr>
                <w:rFonts w:cs="Arial"/>
              </w:rPr>
              <w:t>Universal Health Coverage</w:t>
            </w:r>
          </w:p>
        </w:tc>
        <w:tc>
          <w:tcPr>
            <w:tcW w:w="6858" w:type="dxa"/>
            <w:gridSpan w:val="2"/>
          </w:tcPr>
          <w:p w14:paraId="5CDAB352" w14:textId="24D3CFFC" w:rsidR="0061117D" w:rsidRPr="00112E3E" w:rsidRDefault="008E28A1" w:rsidP="0061117D">
            <w:pPr>
              <w:jc w:val="left"/>
              <w:rPr>
                <w:rFonts w:cs="Arial"/>
              </w:rPr>
            </w:pPr>
            <w:r>
              <w:rPr>
                <w:rFonts w:cs="Arial"/>
              </w:rPr>
              <w:t>All People in Tanzania can use promotive, preventive, curative and rehabilitative health services they need, of sufficient quality to be effective without suffering any financial loss (WHO)</w:t>
            </w:r>
          </w:p>
        </w:tc>
      </w:tr>
    </w:tbl>
    <w:p w14:paraId="1A9265F0" w14:textId="77777777" w:rsidR="0061117D" w:rsidRPr="0061117D" w:rsidRDefault="0061117D" w:rsidP="0061117D"/>
    <w:p w14:paraId="7D5D6241" w14:textId="77777777" w:rsidR="00193D08" w:rsidRPr="002E07C5" w:rsidRDefault="00193D08" w:rsidP="00193D08"/>
    <w:p w14:paraId="028F4F0E" w14:textId="77777777" w:rsidR="00023995" w:rsidRPr="00EB4F0C" w:rsidRDefault="00023995" w:rsidP="002E07C5">
      <w:pPr>
        <w:rPr>
          <w:rFonts w:cs="Arial"/>
          <w:szCs w:val="24"/>
        </w:rPr>
      </w:pPr>
    </w:p>
    <w:p w14:paraId="00F630EA" w14:textId="77777777" w:rsidR="008F2630" w:rsidRDefault="008F2630">
      <w:pPr>
        <w:spacing w:after="200"/>
        <w:jc w:val="left"/>
      </w:pPr>
      <w:r>
        <w:br w:type="page"/>
      </w:r>
    </w:p>
    <w:p w14:paraId="50EA9B9C" w14:textId="67224E61" w:rsidR="008F2630" w:rsidRDefault="008F2630" w:rsidP="008F2630">
      <w:pPr>
        <w:pStyle w:val="Title"/>
      </w:pPr>
      <w:r>
        <w:lastRenderedPageBreak/>
        <w:t>Executive Summary</w:t>
      </w:r>
    </w:p>
    <w:p w14:paraId="3334A07A" w14:textId="77777777" w:rsidR="00F03209" w:rsidRPr="0043113C" w:rsidRDefault="00F03209" w:rsidP="00F03209">
      <w:pPr>
        <w:spacing w:after="200"/>
        <w:jc w:val="left"/>
        <w:rPr>
          <w:i/>
        </w:rPr>
      </w:pPr>
      <w:r w:rsidRPr="0043113C">
        <w:rPr>
          <w:i/>
        </w:rPr>
        <w:t>Introduction</w:t>
      </w:r>
    </w:p>
    <w:p w14:paraId="04FD3E91" w14:textId="77777777" w:rsidR="00F03209" w:rsidRDefault="00F03209" w:rsidP="00F03209">
      <w:pPr>
        <w:spacing w:after="200"/>
      </w:pPr>
      <w:r>
        <w:t>This Health Financing Strategy (HFS) describes the strategic direction of the health sector relating to health financing for the period 2015-2025.  The specific implementation steps under the HFS are described in the HFS implementation plan.  This document provides a guideline for strategic implementation of national and sub-national health financing reforms and for annual planning in this area.</w:t>
      </w:r>
    </w:p>
    <w:p w14:paraId="0255F6C7" w14:textId="77777777" w:rsidR="00F03209" w:rsidRDefault="00F03209" w:rsidP="00F03209">
      <w:pPr>
        <w:spacing w:after="200"/>
        <w:jc w:val="left"/>
        <w:rPr>
          <w:i/>
        </w:rPr>
      </w:pPr>
      <w:r>
        <w:rPr>
          <w:i/>
        </w:rPr>
        <w:t xml:space="preserve">Policy Rationale </w:t>
      </w:r>
    </w:p>
    <w:p w14:paraId="36E8E950" w14:textId="26A2A219" w:rsidR="00F03209" w:rsidRPr="00B13BEE" w:rsidRDefault="00F03209" w:rsidP="00F03209">
      <w:pPr>
        <w:spacing w:after="200"/>
      </w:pPr>
      <w:r w:rsidRPr="00B13BEE">
        <w:t xml:space="preserve">In 2007, the Government of Tanzania (GOT) adopted a Health Policy with the policy vision “to improve the health and well-being of all Tanzanians with a focus on those most at risk […]”. This vision remains valid and the GOT is committed to moving towards Universal Health Coverage (UHC) by making sure that everybody has access to </w:t>
      </w:r>
      <w:r>
        <w:t xml:space="preserve">required </w:t>
      </w:r>
      <w:r w:rsidRPr="00B13BEE">
        <w:t xml:space="preserve">health services of high quality and is protected against financial risks that could arise as a result of paying of health care. As part of the Health Sector Strategic Plan III (2009-2015) (HSSP III), </w:t>
      </w:r>
      <w:r>
        <w:t>the</w:t>
      </w:r>
      <w:r w:rsidRPr="00B13BEE">
        <w:t xml:space="preserve"> decision was taken to develop a Health Financing Strategy to ensure that this vision is realized.</w:t>
      </w:r>
    </w:p>
    <w:p w14:paraId="204B84AC" w14:textId="77777777" w:rsidR="00F03209" w:rsidRPr="0043113C" w:rsidRDefault="00F03209" w:rsidP="00F03209">
      <w:pPr>
        <w:spacing w:after="200"/>
        <w:jc w:val="left"/>
        <w:rPr>
          <w:i/>
        </w:rPr>
      </w:pPr>
      <w:r>
        <w:rPr>
          <w:i/>
        </w:rPr>
        <w:t>Health Financing Strategy</w:t>
      </w:r>
      <w:r w:rsidRPr="0043113C">
        <w:rPr>
          <w:i/>
        </w:rPr>
        <w:t xml:space="preserve"> Framework</w:t>
      </w:r>
    </w:p>
    <w:p w14:paraId="0C2D8677" w14:textId="483155A0" w:rsidR="00F03209" w:rsidRDefault="00F03209" w:rsidP="00F03209">
      <w:pPr>
        <w:spacing w:after="200"/>
        <w:jc w:val="left"/>
      </w:pPr>
      <w:r>
        <w:t>The HFS is organized into the 4 pillars of health financing: governance, revenue collection, pooling of funds and purchasing. Ten strategies have been developed according to the principles of equity, solidarity, transparency, accountability, sustainability, acceptability, efficiency and gender sensitivity and are found across the four health financing pillars.</w:t>
      </w:r>
    </w:p>
    <w:p w14:paraId="498C3DC0" w14:textId="77777777" w:rsidR="00F03209" w:rsidRDefault="00F03209" w:rsidP="00F03209">
      <w:pPr>
        <w:spacing w:after="200"/>
        <w:jc w:val="left"/>
      </w:pPr>
      <w:r>
        <w:t>The Health Financing Strategies:</w:t>
      </w:r>
    </w:p>
    <w:p w14:paraId="2429C345" w14:textId="77777777" w:rsidR="00F03209" w:rsidRPr="00F03209" w:rsidRDefault="00F03209" w:rsidP="00F03209">
      <w:pPr>
        <w:spacing w:after="200"/>
        <w:jc w:val="left"/>
      </w:pPr>
      <w:r w:rsidRPr="00F03209">
        <w:t>Pillar 1: Governance</w:t>
      </w:r>
    </w:p>
    <w:p w14:paraId="713503B5" w14:textId="77777777" w:rsidR="00F03209" w:rsidRDefault="00F03209" w:rsidP="00F03209">
      <w:pPr>
        <w:spacing w:after="200"/>
        <w:jc w:val="left"/>
      </w:pPr>
      <w:r>
        <w:t xml:space="preserve">1. </w:t>
      </w:r>
      <w:r w:rsidRPr="007243E7">
        <w:rPr>
          <w:b/>
        </w:rPr>
        <w:t>Establish Single National Health Insurance (SNHI) Legal and Regulatory Framework</w:t>
      </w:r>
      <w:r>
        <w:t>, with the objective to develop or adapt a clear and executable legal and regulatory framework that clarifies and streamlines health financing policies, ensures stakeholder participation, strengthens accountability and provides clear direction for SNHI implementation.</w:t>
      </w:r>
    </w:p>
    <w:p w14:paraId="19DC2833" w14:textId="042AB5C9" w:rsidR="00F03209" w:rsidRDefault="00F03209" w:rsidP="00F03209">
      <w:pPr>
        <w:spacing w:after="200"/>
        <w:jc w:val="left"/>
      </w:pPr>
      <w:r>
        <w:t xml:space="preserve">2. </w:t>
      </w:r>
      <w:r w:rsidRPr="007243E7">
        <w:rPr>
          <w:b/>
        </w:rPr>
        <w:t>Establish and operate the SNHI institutional structure, roles and relationships</w:t>
      </w:r>
      <w:r>
        <w:t xml:space="preserve"> which reflect the voice of the community/ user of the health system and moves reforms towards mandatory SNHI.  This strategy relates to the physical set-up of the health </w:t>
      </w:r>
      <w:r>
        <w:lastRenderedPageBreak/>
        <w:t xml:space="preserve">purchaser institution, which will be clearly split from the functions of the provider of health services.  </w:t>
      </w:r>
    </w:p>
    <w:p w14:paraId="2DFEE04E" w14:textId="77777777" w:rsidR="00F03209" w:rsidRDefault="00F03209" w:rsidP="00F03209">
      <w:pPr>
        <w:spacing w:after="200"/>
        <w:jc w:val="left"/>
      </w:pPr>
      <w:r>
        <w:t>Pillar 2: Revenue Collection</w:t>
      </w:r>
    </w:p>
    <w:p w14:paraId="25EFD785" w14:textId="77777777" w:rsidR="00F03209" w:rsidRDefault="00F03209" w:rsidP="00F03209">
      <w:pPr>
        <w:tabs>
          <w:tab w:val="left" w:pos="1650"/>
        </w:tabs>
        <w:spacing w:after="200"/>
        <w:jc w:val="left"/>
      </w:pPr>
      <w:r>
        <w:t xml:space="preserve">3. </w:t>
      </w:r>
      <w:r w:rsidRPr="005C37C9">
        <w:rPr>
          <w:b/>
        </w:rPr>
        <w:t>Increase Government and Private Contributions to the Health Sector</w:t>
      </w:r>
      <w:r>
        <w:rPr>
          <w:b/>
        </w:rPr>
        <w:t xml:space="preserve"> </w:t>
      </w:r>
      <w:r w:rsidRPr="005C37C9">
        <w:t>with the</w:t>
      </w:r>
      <w:r>
        <w:rPr>
          <w:b/>
        </w:rPr>
        <w:t xml:space="preserve"> </w:t>
      </w:r>
      <w:r w:rsidRPr="005C37C9">
        <w:t xml:space="preserve">objective </w:t>
      </w:r>
      <w:r>
        <w:t>to strengthen revenue collection and mobilization of resources for the health sector.  The strategy suggests a rechanneling and increase of government resources to health, next to the insurance contributions that will be collected from the population. Specific government levies are suggested to be earmarked to the SNHI as well as other private sources of contributions to the pool sought a part from efficiency gains in the improvement of services delivery aspects.</w:t>
      </w:r>
    </w:p>
    <w:p w14:paraId="7D2BD238" w14:textId="49C7242B" w:rsidR="00F03209" w:rsidRPr="008F34B8" w:rsidRDefault="00F03209" w:rsidP="00F03209">
      <w:pPr>
        <w:spacing w:after="200"/>
        <w:jc w:val="left"/>
      </w:pPr>
      <w:r>
        <w:t xml:space="preserve">4. </w:t>
      </w:r>
      <w:r w:rsidRPr="008F34B8">
        <w:rPr>
          <w:b/>
        </w:rPr>
        <w:t>Make H</w:t>
      </w:r>
      <w:r>
        <w:rPr>
          <w:b/>
        </w:rPr>
        <w:t>ealth Insurance M</w:t>
      </w:r>
      <w:r w:rsidRPr="008F34B8">
        <w:rPr>
          <w:b/>
        </w:rPr>
        <w:t xml:space="preserve">andatory </w:t>
      </w:r>
      <w:r>
        <w:rPr>
          <w:b/>
        </w:rPr>
        <w:t>for</w:t>
      </w:r>
      <w:r w:rsidRPr="008F34B8">
        <w:rPr>
          <w:b/>
        </w:rPr>
        <w:t xml:space="preserve"> All</w:t>
      </w:r>
      <w:r>
        <w:rPr>
          <w:b/>
        </w:rPr>
        <w:t xml:space="preserve"> </w:t>
      </w:r>
      <w:r>
        <w:t>in order to reduce financial access barriers to health services to the whole population of Tanzania.  All residents will either contribute to or receive subsidies (those classified as poor) for the SNHI without the possibility to opt out of the system.</w:t>
      </w:r>
    </w:p>
    <w:p w14:paraId="152CA46F" w14:textId="77777777" w:rsidR="00F03209" w:rsidRDefault="00F03209" w:rsidP="00F03209">
      <w:pPr>
        <w:spacing w:after="200"/>
        <w:jc w:val="left"/>
      </w:pPr>
      <w:r>
        <w:t>Pillar 3: Pooling of Funds</w:t>
      </w:r>
    </w:p>
    <w:p w14:paraId="6CACF3FD" w14:textId="77C358F0" w:rsidR="00F03209" w:rsidRPr="00A40FD3" w:rsidRDefault="00F03209" w:rsidP="00F03209">
      <w:pPr>
        <w:spacing w:after="200"/>
        <w:jc w:val="left"/>
      </w:pPr>
      <w:r>
        <w:t xml:space="preserve">5. </w:t>
      </w:r>
      <w:r w:rsidRPr="008F34B8">
        <w:rPr>
          <w:b/>
        </w:rPr>
        <w:t>Create one National Financial and Risk Pool for Health</w:t>
      </w:r>
      <w:r>
        <w:rPr>
          <w:b/>
        </w:rPr>
        <w:t xml:space="preserve"> </w:t>
      </w:r>
      <w:r>
        <w:t xml:space="preserve">in order to improve financial and risk pooling mechanisms within the health sector. This will imply merging, over time, existing finance pools such as NHIF, NSSF-SHIB, CHF, </w:t>
      </w:r>
      <w:proofErr w:type="spellStart"/>
      <w:r>
        <w:t>GoT</w:t>
      </w:r>
      <w:proofErr w:type="spellEnd"/>
      <w:r>
        <w:t xml:space="preserve"> subsidies for the poor, general revenue budget, parallel funding flows and other funds into the SNHI pool, in order to purchase a standard Minimum Benefit Package for the whole population.</w:t>
      </w:r>
    </w:p>
    <w:p w14:paraId="42191D8E" w14:textId="71F086A4" w:rsidR="00F03209" w:rsidRDefault="00F03209" w:rsidP="00F03209">
      <w:pPr>
        <w:spacing w:after="200"/>
        <w:jc w:val="left"/>
        <w:rPr>
          <w:b/>
        </w:rPr>
      </w:pPr>
      <w:r>
        <w:t xml:space="preserve">6. </w:t>
      </w:r>
      <w:r>
        <w:rPr>
          <w:b/>
        </w:rPr>
        <w:t>Guarantee Health In</w:t>
      </w:r>
      <w:r w:rsidRPr="00946F77">
        <w:rPr>
          <w:b/>
        </w:rPr>
        <w:t>surance Coverage for the Poor and Vulnerable</w:t>
      </w:r>
      <w:r>
        <w:rPr>
          <w:b/>
        </w:rPr>
        <w:t xml:space="preserve">, </w:t>
      </w:r>
      <w:r>
        <w:t xml:space="preserve">through </w:t>
      </w:r>
      <w:r w:rsidRPr="00946F77">
        <w:t>ensuring effective identification and inclusion mechanisms</w:t>
      </w:r>
      <w:r>
        <w:t xml:space="preserve">, in order to create </w:t>
      </w:r>
      <w:r w:rsidRPr="00946F77">
        <w:t>a health financing system which is responsive to the needs of the poor</w:t>
      </w:r>
      <w:r>
        <w:t xml:space="preserve"> and vulnerable, and which leaves no person behind.</w:t>
      </w:r>
    </w:p>
    <w:p w14:paraId="588FB91C" w14:textId="77777777" w:rsidR="00F03209" w:rsidRPr="00F03209" w:rsidRDefault="00F03209" w:rsidP="00F03209">
      <w:pPr>
        <w:spacing w:after="200"/>
        <w:jc w:val="left"/>
      </w:pPr>
      <w:r w:rsidRPr="00F03209">
        <w:t>Pillar 4: Health Care Purchasing</w:t>
      </w:r>
    </w:p>
    <w:p w14:paraId="1CBD4FED" w14:textId="75CD2F21" w:rsidR="00F03209" w:rsidRPr="00C53CC0" w:rsidRDefault="00F03209" w:rsidP="00F03209">
      <w:pPr>
        <w:spacing w:after="200"/>
        <w:jc w:val="left"/>
      </w:pPr>
      <w:r>
        <w:t xml:space="preserve">7. </w:t>
      </w:r>
      <w:r w:rsidRPr="00C53CC0">
        <w:rPr>
          <w:b/>
        </w:rPr>
        <w:t>Establishment of a Standard Minimum Benefit Package</w:t>
      </w:r>
      <w:r>
        <w:rPr>
          <w:b/>
        </w:rPr>
        <w:t xml:space="preserve"> </w:t>
      </w:r>
      <w:r>
        <w:t xml:space="preserve">as legal entitlement to the whole population.  This package would evolve over time as available funding increases, and the health system is strengthened. </w:t>
      </w:r>
    </w:p>
    <w:p w14:paraId="25AFE807" w14:textId="5E7EEAC1" w:rsidR="00F03209" w:rsidRPr="00C53CC0" w:rsidRDefault="00F03209" w:rsidP="00F03209">
      <w:pPr>
        <w:spacing w:after="200"/>
      </w:pPr>
      <w:r>
        <w:t xml:space="preserve">8. </w:t>
      </w:r>
      <w:r>
        <w:rPr>
          <w:b/>
        </w:rPr>
        <w:t xml:space="preserve">Allocate Health Sector Resources Strategically </w:t>
      </w:r>
      <w:r>
        <w:t>with the intention of continuously adapting and shaping the purchasing structure within the health system, placing particular focus on improving incentives for improved services delivery (</w:t>
      </w:r>
      <w:proofErr w:type="spellStart"/>
      <w:r>
        <w:t>eg</w:t>
      </w:r>
      <w:proofErr w:type="spellEnd"/>
      <w:r>
        <w:t xml:space="preserve"> through results-based financing).  This strategy aims at developing effective provider payment methods throughout the country with integrated performance structures. </w:t>
      </w:r>
    </w:p>
    <w:p w14:paraId="68651F78" w14:textId="53B5AA5A" w:rsidR="00F03209" w:rsidRDefault="00F03209" w:rsidP="00F03209">
      <w:pPr>
        <w:spacing w:after="200"/>
      </w:pPr>
      <w:r>
        <w:lastRenderedPageBreak/>
        <w:t xml:space="preserve">9. </w:t>
      </w:r>
      <w:r>
        <w:rPr>
          <w:b/>
        </w:rPr>
        <w:t xml:space="preserve">Strengthen the Public Financial Management system in the Health Sector, </w:t>
      </w:r>
      <w:r w:rsidRPr="00F03209">
        <w:t>given</w:t>
      </w:r>
      <w:r>
        <w:rPr>
          <w:b/>
        </w:rPr>
        <w:t xml:space="preserve"> </w:t>
      </w:r>
      <w:r>
        <w:t>the SNHI’s need of strong financial management staff, systems and procedures in order to successfully manage the identification and collection of revenue from multiple sources, multiple provider contracts and output-based provider payment systems at all levels, and increasingly manage revenues and expenditures at the health facility level.</w:t>
      </w:r>
    </w:p>
    <w:p w14:paraId="0A753103" w14:textId="7B552592" w:rsidR="00F03209" w:rsidRDefault="00F03209" w:rsidP="00F03209">
      <w:pPr>
        <w:spacing w:after="200"/>
      </w:pPr>
      <w:r>
        <w:t xml:space="preserve">10. </w:t>
      </w:r>
      <w:r w:rsidRPr="0014245C">
        <w:rPr>
          <w:b/>
        </w:rPr>
        <w:t>Develop a Strong Health Information and Data Management System</w:t>
      </w:r>
      <w:r>
        <w:rPr>
          <w:b/>
        </w:rPr>
        <w:t xml:space="preserve"> </w:t>
      </w:r>
      <w:r w:rsidRPr="00E14EB9">
        <w:t xml:space="preserve">for the SNHI </w:t>
      </w:r>
      <w:r>
        <w:t>which is interlinked with the health management information system (HMIS) and with vital national databases. This strategy also aims to ensure evidence-based policy making through the generation of supportive research in the area of health financing and social health protection.</w:t>
      </w:r>
    </w:p>
    <w:p w14:paraId="4CE60194" w14:textId="77777777" w:rsidR="00F03209" w:rsidRDefault="00F03209" w:rsidP="00F03209">
      <w:pPr>
        <w:spacing w:after="200"/>
        <w:jc w:val="left"/>
        <w:rPr>
          <w:i/>
        </w:rPr>
      </w:pPr>
      <w:r w:rsidRPr="00E14EB9">
        <w:rPr>
          <w:i/>
        </w:rPr>
        <w:t>Implementation Strategy and Sequencing</w:t>
      </w:r>
    </w:p>
    <w:p w14:paraId="2ED75B2A" w14:textId="1A518318" w:rsidR="00F03209" w:rsidRDefault="00F03209" w:rsidP="00F03209">
      <w:pPr>
        <w:rPr>
          <w:rFonts w:cs="Arial"/>
        </w:rPr>
      </w:pPr>
      <w:r>
        <w:t xml:space="preserve">Key to HFS implementation success is the articulation of a critical path which </w:t>
      </w:r>
      <w:r w:rsidRPr="00BE34A5">
        <w:rPr>
          <w:rFonts w:cs="Arial"/>
        </w:rPr>
        <w:t>ensure</w:t>
      </w:r>
      <w:r>
        <w:rPr>
          <w:rFonts w:cs="Arial"/>
        </w:rPr>
        <w:t>s</w:t>
      </w:r>
      <w:r w:rsidRPr="00BE34A5">
        <w:rPr>
          <w:rFonts w:cs="Arial"/>
        </w:rPr>
        <w:t xml:space="preserve"> </w:t>
      </w:r>
      <w:r>
        <w:rPr>
          <w:rFonts w:cs="Arial"/>
        </w:rPr>
        <w:t xml:space="preserve">that </w:t>
      </w:r>
      <w:r w:rsidRPr="00BE34A5">
        <w:rPr>
          <w:rFonts w:cs="Arial"/>
        </w:rPr>
        <w:t xml:space="preserve">the many and varied tasks </w:t>
      </w:r>
      <w:r>
        <w:rPr>
          <w:rFonts w:cs="Arial"/>
        </w:rPr>
        <w:t xml:space="preserve">ultimately result in </w:t>
      </w:r>
      <w:r w:rsidRPr="00BE34A5">
        <w:rPr>
          <w:rFonts w:cs="Arial"/>
        </w:rPr>
        <w:t xml:space="preserve">a cohesive </w:t>
      </w:r>
      <w:r>
        <w:rPr>
          <w:rFonts w:cs="Arial"/>
        </w:rPr>
        <w:t xml:space="preserve">and </w:t>
      </w:r>
      <w:r w:rsidRPr="00BE34A5">
        <w:rPr>
          <w:rFonts w:cs="Arial"/>
        </w:rPr>
        <w:t xml:space="preserve">functioning </w:t>
      </w:r>
      <w:r>
        <w:rPr>
          <w:rFonts w:cs="Arial"/>
        </w:rPr>
        <w:t>S</w:t>
      </w:r>
      <w:r w:rsidRPr="00BE34A5">
        <w:rPr>
          <w:rFonts w:cs="Arial"/>
        </w:rPr>
        <w:t xml:space="preserve">NHI system.  </w:t>
      </w:r>
      <w:r>
        <w:rPr>
          <w:rFonts w:cs="Arial"/>
        </w:rPr>
        <w:t>I</w:t>
      </w:r>
      <w:r w:rsidRPr="00BE34A5">
        <w:rPr>
          <w:rFonts w:cs="Arial"/>
        </w:rPr>
        <w:t xml:space="preserve">mplementation </w:t>
      </w:r>
      <w:r>
        <w:rPr>
          <w:rFonts w:cs="Arial"/>
        </w:rPr>
        <w:t xml:space="preserve">will be clearly </w:t>
      </w:r>
      <w:r w:rsidRPr="00BE34A5">
        <w:rPr>
          <w:rFonts w:cs="Arial"/>
        </w:rPr>
        <w:t>sequenc</w:t>
      </w:r>
      <w:r>
        <w:rPr>
          <w:rFonts w:cs="Arial"/>
        </w:rPr>
        <w:t xml:space="preserve">ed by breaking down the overall </w:t>
      </w:r>
      <w:r w:rsidRPr="00BE34A5">
        <w:rPr>
          <w:rFonts w:cs="Arial"/>
        </w:rPr>
        <w:t>task</w:t>
      </w:r>
      <w:r>
        <w:rPr>
          <w:rFonts w:cs="Arial"/>
        </w:rPr>
        <w:t xml:space="preserve"> of SNHI implementation </w:t>
      </w:r>
      <w:r w:rsidRPr="00BE34A5">
        <w:rPr>
          <w:rFonts w:cs="Arial"/>
        </w:rPr>
        <w:t>into simple and realistic steps</w:t>
      </w:r>
      <w:r>
        <w:rPr>
          <w:rFonts w:cs="Arial"/>
        </w:rPr>
        <w:t>.  These steps will be</w:t>
      </w:r>
      <w:r w:rsidRPr="00BE34A5">
        <w:rPr>
          <w:rFonts w:cs="Arial"/>
        </w:rPr>
        <w:t xml:space="preserve"> order</w:t>
      </w:r>
      <w:r>
        <w:rPr>
          <w:rFonts w:cs="Arial"/>
        </w:rPr>
        <w:t>ed</w:t>
      </w:r>
      <w:r w:rsidRPr="00BE34A5">
        <w:rPr>
          <w:rFonts w:cs="Arial"/>
        </w:rPr>
        <w:t xml:space="preserve"> in a way that </w:t>
      </w:r>
      <w:r>
        <w:rPr>
          <w:rFonts w:cs="Arial"/>
        </w:rPr>
        <w:t xml:space="preserve">makes each next step inevitable and </w:t>
      </w:r>
      <w:r w:rsidRPr="00BE34A5">
        <w:rPr>
          <w:rFonts w:cs="Arial"/>
        </w:rPr>
        <w:t>enables implementation to progress seamlessly.</w:t>
      </w:r>
      <w:r>
        <w:rPr>
          <w:rFonts w:cs="Arial"/>
        </w:rPr>
        <w:t xml:space="preserve">  </w:t>
      </w:r>
      <w:r w:rsidRPr="00BE34A5">
        <w:rPr>
          <w:rFonts w:cs="Arial"/>
        </w:rPr>
        <w:t xml:space="preserve">  </w:t>
      </w:r>
    </w:p>
    <w:p w14:paraId="16D13047" w14:textId="77777777" w:rsidR="00F03209" w:rsidRDefault="00F03209" w:rsidP="00F03209">
      <w:pPr>
        <w:rPr>
          <w:rFonts w:cs="Arial"/>
        </w:rPr>
      </w:pPr>
    </w:p>
    <w:p w14:paraId="7235DB59" w14:textId="77777777" w:rsidR="00F03209" w:rsidRDefault="00F03209" w:rsidP="00F03209">
      <w:pPr>
        <w:rPr>
          <w:rFonts w:cs="Arial"/>
          <w:i/>
        </w:rPr>
      </w:pPr>
      <w:r w:rsidRPr="00E14EB9">
        <w:rPr>
          <w:rFonts w:cs="Arial"/>
          <w:i/>
        </w:rPr>
        <w:t>HFS Costing</w:t>
      </w:r>
    </w:p>
    <w:p w14:paraId="172CD115" w14:textId="77777777" w:rsidR="00F03209" w:rsidRDefault="00F03209" w:rsidP="00F03209">
      <w:pPr>
        <w:rPr>
          <w:rFonts w:cs="Arial"/>
          <w:i/>
        </w:rPr>
      </w:pPr>
    </w:p>
    <w:p w14:paraId="2D5DCDE6" w14:textId="74AD70E7" w:rsidR="00F03209" w:rsidRPr="00E14EB9" w:rsidRDefault="00F03209" w:rsidP="00F03209">
      <w:pPr>
        <w:spacing w:after="200"/>
      </w:pPr>
      <w:r>
        <w:t xml:space="preserve">The long-term feasibility of the SNHI will depend on ability to pool sufficient funds across sources to finance the provision of the MBP and MBP+ for different groups of citizens. A sustainable SNHI will reduce the burden of out-of-pocket payments for the poor and generate greater equity in how health care is financed at all levels. Assessment of sustainability requires comparing the projected cost of delivering the MBP or MBP+, as per the current HFS Implementation Plan, with the possible size of resources that can be pooled for SNHI. </w:t>
      </w:r>
    </w:p>
    <w:p w14:paraId="02B0BE09" w14:textId="77777777" w:rsidR="00F03209" w:rsidRDefault="00F03209" w:rsidP="00F03209">
      <w:pPr>
        <w:rPr>
          <w:rFonts w:cs="Arial"/>
        </w:rPr>
      </w:pPr>
    </w:p>
    <w:p w14:paraId="51770BB4" w14:textId="77777777" w:rsidR="00F03209" w:rsidRDefault="00F03209" w:rsidP="00F03209">
      <w:pPr>
        <w:spacing w:after="200"/>
        <w:jc w:val="left"/>
        <w:rPr>
          <w:i/>
        </w:rPr>
      </w:pPr>
      <w:r w:rsidRPr="00B13BEE">
        <w:rPr>
          <w:i/>
        </w:rPr>
        <w:t>Monitoring and Evaluation</w:t>
      </w:r>
    </w:p>
    <w:p w14:paraId="5F08C737" w14:textId="655F9A2D" w:rsidR="00F03209" w:rsidRDefault="00F03209" w:rsidP="00F03209">
      <w:pPr>
        <w:spacing w:after="200"/>
      </w:pPr>
      <w:r>
        <w:t xml:space="preserve">The overall monitoring structure is based on the UHC results chain </w:t>
      </w:r>
      <w:r w:rsidRPr="00CD3921">
        <w:t xml:space="preserve">Based on the HFS goal, a set of outcome and impact indicators and targets have been developed to allow the </w:t>
      </w:r>
      <w:proofErr w:type="spellStart"/>
      <w:r>
        <w:t>GoT</w:t>
      </w:r>
      <w:proofErr w:type="spellEnd"/>
      <w:r w:rsidRPr="00CD3921">
        <w:t xml:space="preserve"> and stakeholders to monitor and evaluate HFS success.  </w:t>
      </w:r>
      <w:r>
        <w:t xml:space="preserve"> </w:t>
      </w:r>
      <w:r w:rsidRPr="00B13BEE">
        <w:t xml:space="preserve">A system of quarterly, annual and periodic monitoring </w:t>
      </w:r>
      <w:r>
        <w:t xml:space="preserve">will use these </w:t>
      </w:r>
      <w:r w:rsidRPr="00B13BEE">
        <w:t xml:space="preserve">selected health financing indicators.  M&amp;E </w:t>
      </w:r>
      <w:r>
        <w:t xml:space="preserve">of the HFS will be undertaken </w:t>
      </w:r>
      <w:r w:rsidRPr="00B13BEE">
        <w:t>in coherence with the HSSP</w:t>
      </w:r>
      <w:r>
        <w:t xml:space="preserve"> IV</w:t>
      </w:r>
      <w:r w:rsidRPr="00B13BEE">
        <w:t xml:space="preserve"> monitoring and requirements and will ensure timely and reliable provision of progress reports </w:t>
      </w:r>
      <w:r>
        <w:t xml:space="preserve">on </w:t>
      </w:r>
      <w:r w:rsidRPr="00B13BEE">
        <w:t>implementation of the proposed strategic interventions and related activities.</w:t>
      </w:r>
    </w:p>
    <w:p w14:paraId="4ED86DE1" w14:textId="212F7A08" w:rsidR="00193D08" w:rsidRPr="00B13BEE" w:rsidRDefault="00193D08">
      <w:pPr>
        <w:spacing w:after="200"/>
        <w:jc w:val="left"/>
      </w:pPr>
      <w:r w:rsidRPr="00B13BEE">
        <w:br w:type="page"/>
      </w:r>
    </w:p>
    <w:sdt>
      <w:sdtPr>
        <w:rPr>
          <w:rFonts w:ascii="Arial" w:eastAsiaTheme="minorHAnsi" w:hAnsi="Arial" w:cstheme="minorBidi"/>
          <w:color w:val="auto"/>
          <w:spacing w:val="0"/>
          <w:kern w:val="0"/>
          <w:sz w:val="24"/>
          <w:szCs w:val="22"/>
        </w:rPr>
        <w:id w:val="-1179272916"/>
        <w:docPartObj>
          <w:docPartGallery w:val="Table of Contents"/>
          <w:docPartUnique/>
        </w:docPartObj>
      </w:sdtPr>
      <w:sdtEndPr>
        <w:rPr>
          <w:b/>
          <w:bCs/>
          <w:noProof/>
        </w:rPr>
      </w:sdtEndPr>
      <w:sdtContent>
        <w:p w14:paraId="5FFC2782" w14:textId="3B27CA2A" w:rsidR="00F45012" w:rsidRPr="008F2630" w:rsidRDefault="00CA63E4" w:rsidP="002C3E91">
          <w:pPr>
            <w:pStyle w:val="Title"/>
            <w:rPr>
              <w:rFonts w:ascii="Arial" w:eastAsiaTheme="minorHAnsi" w:hAnsi="Arial" w:cstheme="minorBidi"/>
              <w:color w:val="auto"/>
              <w:spacing w:val="0"/>
              <w:kern w:val="0"/>
              <w:sz w:val="24"/>
              <w:szCs w:val="22"/>
            </w:rPr>
          </w:pPr>
          <w:r>
            <w:t>Table of Contents</w:t>
          </w:r>
        </w:p>
        <w:p w14:paraId="3C2C2262" w14:textId="77777777" w:rsidR="008F2630" w:rsidRDefault="00C01A1A">
          <w:pPr>
            <w:pStyle w:val="TOC1"/>
            <w:tabs>
              <w:tab w:val="left" w:pos="480"/>
              <w:tab w:val="right" w:leader="dot" w:pos="9350"/>
            </w:tabs>
            <w:rPr>
              <w:rFonts w:asciiTheme="minorHAnsi" w:eastAsiaTheme="minorEastAsia" w:hAnsiTheme="minorHAnsi"/>
              <w:noProof/>
              <w:sz w:val="22"/>
              <w:lang w:val="en-GB" w:eastAsia="en-GB"/>
            </w:rPr>
          </w:pPr>
          <w:r>
            <w:fldChar w:fldCharType="begin"/>
          </w:r>
          <w:r w:rsidR="00F45012">
            <w:instrText xml:space="preserve"> TOC \o "1-3" \h \z \u </w:instrText>
          </w:r>
          <w:r>
            <w:fldChar w:fldCharType="separate"/>
          </w:r>
          <w:hyperlink w:anchor="_Toc411949908" w:history="1">
            <w:r w:rsidR="008F2630" w:rsidRPr="004F7865">
              <w:rPr>
                <w:rStyle w:val="Hyperlink"/>
                <w:noProof/>
              </w:rPr>
              <w:t>1</w:t>
            </w:r>
            <w:r w:rsidR="008F2630">
              <w:rPr>
                <w:rFonts w:asciiTheme="minorHAnsi" w:eastAsiaTheme="minorEastAsia" w:hAnsiTheme="minorHAnsi"/>
                <w:noProof/>
                <w:sz w:val="22"/>
                <w:lang w:val="en-GB" w:eastAsia="en-GB"/>
              </w:rPr>
              <w:tab/>
            </w:r>
            <w:r w:rsidR="008F2630" w:rsidRPr="004F7865">
              <w:rPr>
                <w:rStyle w:val="Hyperlink"/>
                <w:noProof/>
              </w:rPr>
              <w:t>Background</w:t>
            </w:r>
            <w:r w:rsidR="008F2630">
              <w:rPr>
                <w:noProof/>
                <w:webHidden/>
              </w:rPr>
              <w:tab/>
            </w:r>
            <w:r w:rsidR="008F2630">
              <w:rPr>
                <w:noProof/>
                <w:webHidden/>
              </w:rPr>
              <w:fldChar w:fldCharType="begin"/>
            </w:r>
            <w:r w:rsidR="008F2630">
              <w:rPr>
                <w:noProof/>
                <w:webHidden/>
              </w:rPr>
              <w:instrText xml:space="preserve"> PAGEREF _Toc411949908 \h </w:instrText>
            </w:r>
            <w:r w:rsidR="008F2630">
              <w:rPr>
                <w:noProof/>
                <w:webHidden/>
              </w:rPr>
            </w:r>
            <w:r w:rsidR="008F2630">
              <w:rPr>
                <w:noProof/>
                <w:webHidden/>
              </w:rPr>
              <w:fldChar w:fldCharType="separate"/>
            </w:r>
            <w:r w:rsidR="008F2630">
              <w:rPr>
                <w:noProof/>
                <w:webHidden/>
              </w:rPr>
              <w:t>12</w:t>
            </w:r>
            <w:r w:rsidR="008F2630">
              <w:rPr>
                <w:noProof/>
                <w:webHidden/>
              </w:rPr>
              <w:fldChar w:fldCharType="end"/>
            </w:r>
          </w:hyperlink>
        </w:p>
        <w:p w14:paraId="042FCD6A" w14:textId="77777777" w:rsidR="008F2630" w:rsidRDefault="00C92C73">
          <w:pPr>
            <w:pStyle w:val="TOC2"/>
            <w:tabs>
              <w:tab w:val="left" w:pos="880"/>
              <w:tab w:val="right" w:leader="dot" w:pos="9350"/>
            </w:tabs>
            <w:rPr>
              <w:rFonts w:asciiTheme="minorHAnsi" w:eastAsiaTheme="minorEastAsia" w:hAnsiTheme="minorHAnsi"/>
              <w:noProof/>
              <w:sz w:val="22"/>
              <w:lang w:val="en-GB" w:eastAsia="en-GB"/>
            </w:rPr>
          </w:pPr>
          <w:hyperlink w:anchor="_Toc411949909" w:history="1">
            <w:r w:rsidR="008F2630" w:rsidRPr="004F7865">
              <w:rPr>
                <w:rStyle w:val="Hyperlink"/>
                <w:rFonts w:eastAsia="Calibri"/>
                <w:noProof/>
              </w:rPr>
              <w:t>1.1</w:t>
            </w:r>
            <w:r w:rsidR="008F2630">
              <w:rPr>
                <w:rFonts w:asciiTheme="minorHAnsi" w:eastAsiaTheme="minorEastAsia" w:hAnsiTheme="minorHAnsi"/>
                <w:noProof/>
                <w:sz w:val="22"/>
                <w:lang w:val="en-GB" w:eastAsia="en-GB"/>
              </w:rPr>
              <w:tab/>
            </w:r>
            <w:r w:rsidR="008F2630" w:rsidRPr="004F7865">
              <w:rPr>
                <w:rStyle w:val="Hyperlink"/>
                <w:rFonts w:eastAsia="Calibri"/>
                <w:noProof/>
              </w:rPr>
              <w:t>Rationale for the Health Financing Strategy</w:t>
            </w:r>
            <w:r w:rsidR="008F2630">
              <w:rPr>
                <w:noProof/>
                <w:webHidden/>
              </w:rPr>
              <w:tab/>
            </w:r>
            <w:r w:rsidR="008F2630">
              <w:rPr>
                <w:noProof/>
                <w:webHidden/>
              </w:rPr>
              <w:fldChar w:fldCharType="begin"/>
            </w:r>
            <w:r w:rsidR="008F2630">
              <w:rPr>
                <w:noProof/>
                <w:webHidden/>
              </w:rPr>
              <w:instrText xml:space="preserve"> PAGEREF _Toc411949909 \h </w:instrText>
            </w:r>
            <w:r w:rsidR="008F2630">
              <w:rPr>
                <w:noProof/>
                <w:webHidden/>
              </w:rPr>
            </w:r>
            <w:r w:rsidR="008F2630">
              <w:rPr>
                <w:noProof/>
                <w:webHidden/>
              </w:rPr>
              <w:fldChar w:fldCharType="separate"/>
            </w:r>
            <w:r w:rsidR="008F2630">
              <w:rPr>
                <w:noProof/>
                <w:webHidden/>
              </w:rPr>
              <w:t>12</w:t>
            </w:r>
            <w:r w:rsidR="008F2630">
              <w:rPr>
                <w:noProof/>
                <w:webHidden/>
              </w:rPr>
              <w:fldChar w:fldCharType="end"/>
            </w:r>
          </w:hyperlink>
        </w:p>
        <w:p w14:paraId="38E81DBF" w14:textId="77777777" w:rsidR="008F2630" w:rsidRDefault="00C92C73">
          <w:pPr>
            <w:pStyle w:val="TOC2"/>
            <w:tabs>
              <w:tab w:val="left" w:pos="880"/>
              <w:tab w:val="right" w:leader="dot" w:pos="9350"/>
            </w:tabs>
            <w:rPr>
              <w:rFonts w:asciiTheme="minorHAnsi" w:eastAsiaTheme="minorEastAsia" w:hAnsiTheme="minorHAnsi"/>
              <w:noProof/>
              <w:sz w:val="22"/>
              <w:lang w:val="en-GB" w:eastAsia="en-GB"/>
            </w:rPr>
          </w:pPr>
          <w:hyperlink w:anchor="_Toc411949910" w:history="1">
            <w:r w:rsidR="008F2630" w:rsidRPr="004F7865">
              <w:rPr>
                <w:rStyle w:val="Hyperlink"/>
                <w:rFonts w:eastAsia="Calibri"/>
                <w:noProof/>
              </w:rPr>
              <w:t>1.2</w:t>
            </w:r>
            <w:r w:rsidR="008F2630">
              <w:rPr>
                <w:rFonts w:asciiTheme="minorHAnsi" w:eastAsiaTheme="minorEastAsia" w:hAnsiTheme="minorHAnsi"/>
                <w:noProof/>
                <w:sz w:val="22"/>
                <w:lang w:val="en-GB" w:eastAsia="en-GB"/>
              </w:rPr>
              <w:tab/>
            </w:r>
            <w:r w:rsidR="008F2630" w:rsidRPr="004F7865">
              <w:rPr>
                <w:rStyle w:val="Hyperlink"/>
                <w:rFonts w:eastAsia="Calibri"/>
                <w:noProof/>
              </w:rPr>
              <w:t>The Process of Developing the HFS</w:t>
            </w:r>
            <w:r w:rsidR="008F2630">
              <w:rPr>
                <w:noProof/>
                <w:webHidden/>
              </w:rPr>
              <w:tab/>
            </w:r>
            <w:r w:rsidR="008F2630">
              <w:rPr>
                <w:noProof/>
                <w:webHidden/>
              </w:rPr>
              <w:fldChar w:fldCharType="begin"/>
            </w:r>
            <w:r w:rsidR="008F2630">
              <w:rPr>
                <w:noProof/>
                <w:webHidden/>
              </w:rPr>
              <w:instrText xml:space="preserve"> PAGEREF _Toc411949910 \h </w:instrText>
            </w:r>
            <w:r w:rsidR="008F2630">
              <w:rPr>
                <w:noProof/>
                <w:webHidden/>
              </w:rPr>
            </w:r>
            <w:r w:rsidR="008F2630">
              <w:rPr>
                <w:noProof/>
                <w:webHidden/>
              </w:rPr>
              <w:fldChar w:fldCharType="separate"/>
            </w:r>
            <w:r w:rsidR="008F2630">
              <w:rPr>
                <w:noProof/>
                <w:webHidden/>
              </w:rPr>
              <w:t>12</w:t>
            </w:r>
            <w:r w:rsidR="008F2630">
              <w:rPr>
                <w:noProof/>
                <w:webHidden/>
              </w:rPr>
              <w:fldChar w:fldCharType="end"/>
            </w:r>
          </w:hyperlink>
        </w:p>
        <w:p w14:paraId="3BC9F1BE" w14:textId="77777777" w:rsidR="008F2630" w:rsidRDefault="00C92C73">
          <w:pPr>
            <w:pStyle w:val="TOC2"/>
            <w:tabs>
              <w:tab w:val="left" w:pos="880"/>
              <w:tab w:val="right" w:leader="dot" w:pos="9350"/>
            </w:tabs>
            <w:rPr>
              <w:rFonts w:asciiTheme="minorHAnsi" w:eastAsiaTheme="minorEastAsia" w:hAnsiTheme="minorHAnsi"/>
              <w:noProof/>
              <w:sz w:val="22"/>
              <w:lang w:val="en-GB" w:eastAsia="en-GB"/>
            </w:rPr>
          </w:pPr>
          <w:hyperlink w:anchor="_Toc411949911" w:history="1">
            <w:r w:rsidR="008F2630" w:rsidRPr="004F7865">
              <w:rPr>
                <w:rStyle w:val="Hyperlink"/>
                <w:rFonts w:eastAsia="Times New Roman"/>
                <w:noProof/>
              </w:rPr>
              <w:t>1.3</w:t>
            </w:r>
            <w:r w:rsidR="008F2630">
              <w:rPr>
                <w:rFonts w:asciiTheme="minorHAnsi" w:eastAsiaTheme="minorEastAsia" w:hAnsiTheme="minorHAnsi"/>
                <w:noProof/>
                <w:sz w:val="22"/>
                <w:lang w:val="en-GB" w:eastAsia="en-GB"/>
              </w:rPr>
              <w:tab/>
            </w:r>
            <w:r w:rsidR="008F2630" w:rsidRPr="004F7865">
              <w:rPr>
                <w:rStyle w:val="Hyperlink"/>
                <w:rFonts w:eastAsia="Times New Roman"/>
                <w:noProof/>
              </w:rPr>
              <w:t>Demographic trends</w:t>
            </w:r>
            <w:r w:rsidR="008F2630">
              <w:rPr>
                <w:noProof/>
                <w:webHidden/>
              </w:rPr>
              <w:tab/>
            </w:r>
            <w:r w:rsidR="008F2630">
              <w:rPr>
                <w:noProof/>
                <w:webHidden/>
              </w:rPr>
              <w:fldChar w:fldCharType="begin"/>
            </w:r>
            <w:r w:rsidR="008F2630">
              <w:rPr>
                <w:noProof/>
                <w:webHidden/>
              </w:rPr>
              <w:instrText xml:space="preserve"> PAGEREF _Toc411949911 \h </w:instrText>
            </w:r>
            <w:r w:rsidR="008F2630">
              <w:rPr>
                <w:noProof/>
                <w:webHidden/>
              </w:rPr>
            </w:r>
            <w:r w:rsidR="008F2630">
              <w:rPr>
                <w:noProof/>
                <w:webHidden/>
              </w:rPr>
              <w:fldChar w:fldCharType="separate"/>
            </w:r>
            <w:r w:rsidR="008F2630">
              <w:rPr>
                <w:noProof/>
                <w:webHidden/>
              </w:rPr>
              <w:t>14</w:t>
            </w:r>
            <w:r w:rsidR="008F2630">
              <w:rPr>
                <w:noProof/>
                <w:webHidden/>
              </w:rPr>
              <w:fldChar w:fldCharType="end"/>
            </w:r>
          </w:hyperlink>
        </w:p>
        <w:p w14:paraId="4D4BD931" w14:textId="77777777" w:rsidR="008F2630" w:rsidRDefault="00C92C73">
          <w:pPr>
            <w:pStyle w:val="TOC2"/>
            <w:tabs>
              <w:tab w:val="left" w:pos="880"/>
              <w:tab w:val="right" w:leader="dot" w:pos="9350"/>
            </w:tabs>
            <w:rPr>
              <w:rFonts w:asciiTheme="minorHAnsi" w:eastAsiaTheme="minorEastAsia" w:hAnsiTheme="minorHAnsi"/>
              <w:noProof/>
              <w:sz w:val="22"/>
              <w:lang w:val="en-GB" w:eastAsia="en-GB"/>
            </w:rPr>
          </w:pPr>
          <w:hyperlink w:anchor="_Toc411949912" w:history="1">
            <w:r w:rsidR="008F2630" w:rsidRPr="004F7865">
              <w:rPr>
                <w:rStyle w:val="Hyperlink"/>
                <w:rFonts w:eastAsia="Times New Roman"/>
                <w:noProof/>
              </w:rPr>
              <w:t>1.4</w:t>
            </w:r>
            <w:r w:rsidR="008F2630">
              <w:rPr>
                <w:rFonts w:asciiTheme="minorHAnsi" w:eastAsiaTheme="minorEastAsia" w:hAnsiTheme="minorHAnsi"/>
                <w:noProof/>
                <w:sz w:val="22"/>
                <w:lang w:val="en-GB" w:eastAsia="en-GB"/>
              </w:rPr>
              <w:tab/>
            </w:r>
            <w:r w:rsidR="008F2630" w:rsidRPr="004F7865">
              <w:rPr>
                <w:rStyle w:val="Hyperlink"/>
                <w:rFonts w:eastAsia="Times New Roman"/>
                <w:noProof/>
              </w:rPr>
              <w:t>Economic Context</w:t>
            </w:r>
            <w:r w:rsidR="008F2630">
              <w:rPr>
                <w:noProof/>
                <w:webHidden/>
              </w:rPr>
              <w:tab/>
            </w:r>
            <w:r w:rsidR="008F2630">
              <w:rPr>
                <w:noProof/>
                <w:webHidden/>
              </w:rPr>
              <w:fldChar w:fldCharType="begin"/>
            </w:r>
            <w:r w:rsidR="008F2630">
              <w:rPr>
                <w:noProof/>
                <w:webHidden/>
              </w:rPr>
              <w:instrText xml:space="preserve"> PAGEREF _Toc411949912 \h </w:instrText>
            </w:r>
            <w:r w:rsidR="008F2630">
              <w:rPr>
                <w:noProof/>
                <w:webHidden/>
              </w:rPr>
            </w:r>
            <w:r w:rsidR="008F2630">
              <w:rPr>
                <w:noProof/>
                <w:webHidden/>
              </w:rPr>
              <w:fldChar w:fldCharType="separate"/>
            </w:r>
            <w:r w:rsidR="008F2630">
              <w:rPr>
                <w:noProof/>
                <w:webHidden/>
              </w:rPr>
              <w:t>14</w:t>
            </w:r>
            <w:r w:rsidR="008F2630">
              <w:rPr>
                <w:noProof/>
                <w:webHidden/>
              </w:rPr>
              <w:fldChar w:fldCharType="end"/>
            </w:r>
          </w:hyperlink>
        </w:p>
        <w:p w14:paraId="71D81E77" w14:textId="77777777" w:rsidR="008F2630" w:rsidRDefault="00C92C73">
          <w:pPr>
            <w:pStyle w:val="TOC1"/>
            <w:tabs>
              <w:tab w:val="left" w:pos="480"/>
              <w:tab w:val="right" w:leader="dot" w:pos="9350"/>
            </w:tabs>
            <w:rPr>
              <w:rFonts w:asciiTheme="minorHAnsi" w:eastAsiaTheme="minorEastAsia" w:hAnsiTheme="minorHAnsi"/>
              <w:noProof/>
              <w:sz w:val="22"/>
              <w:lang w:val="en-GB" w:eastAsia="en-GB"/>
            </w:rPr>
          </w:pPr>
          <w:hyperlink w:anchor="_Toc411949913" w:history="1">
            <w:r w:rsidR="008F2630" w:rsidRPr="004F7865">
              <w:rPr>
                <w:rStyle w:val="Hyperlink"/>
                <w:rFonts w:eastAsia="Calibri"/>
                <w:noProof/>
              </w:rPr>
              <w:t>2</w:t>
            </w:r>
            <w:r w:rsidR="008F2630">
              <w:rPr>
                <w:rFonts w:asciiTheme="minorHAnsi" w:eastAsiaTheme="minorEastAsia" w:hAnsiTheme="minorHAnsi"/>
                <w:noProof/>
                <w:sz w:val="22"/>
                <w:lang w:val="en-GB" w:eastAsia="en-GB"/>
              </w:rPr>
              <w:tab/>
            </w:r>
            <w:r w:rsidR="008F2630" w:rsidRPr="004F7865">
              <w:rPr>
                <w:rStyle w:val="Hyperlink"/>
                <w:rFonts w:eastAsia="Calibri"/>
                <w:noProof/>
              </w:rPr>
              <w:t>Health Financing Overview</w:t>
            </w:r>
            <w:r w:rsidR="008F2630">
              <w:rPr>
                <w:noProof/>
                <w:webHidden/>
              </w:rPr>
              <w:tab/>
            </w:r>
            <w:r w:rsidR="008F2630">
              <w:rPr>
                <w:noProof/>
                <w:webHidden/>
              </w:rPr>
              <w:fldChar w:fldCharType="begin"/>
            </w:r>
            <w:r w:rsidR="008F2630">
              <w:rPr>
                <w:noProof/>
                <w:webHidden/>
              </w:rPr>
              <w:instrText xml:space="preserve"> PAGEREF _Toc411949913 \h </w:instrText>
            </w:r>
            <w:r w:rsidR="008F2630">
              <w:rPr>
                <w:noProof/>
                <w:webHidden/>
              </w:rPr>
            </w:r>
            <w:r w:rsidR="008F2630">
              <w:rPr>
                <w:noProof/>
                <w:webHidden/>
              </w:rPr>
              <w:fldChar w:fldCharType="separate"/>
            </w:r>
            <w:r w:rsidR="008F2630">
              <w:rPr>
                <w:noProof/>
                <w:webHidden/>
              </w:rPr>
              <w:t>16</w:t>
            </w:r>
            <w:r w:rsidR="008F2630">
              <w:rPr>
                <w:noProof/>
                <w:webHidden/>
              </w:rPr>
              <w:fldChar w:fldCharType="end"/>
            </w:r>
          </w:hyperlink>
        </w:p>
        <w:p w14:paraId="0B15AA21" w14:textId="77777777" w:rsidR="008F2630" w:rsidRDefault="00C92C73">
          <w:pPr>
            <w:pStyle w:val="TOC2"/>
            <w:tabs>
              <w:tab w:val="left" w:pos="880"/>
              <w:tab w:val="right" w:leader="dot" w:pos="9350"/>
            </w:tabs>
            <w:rPr>
              <w:rFonts w:asciiTheme="minorHAnsi" w:eastAsiaTheme="minorEastAsia" w:hAnsiTheme="minorHAnsi"/>
              <w:noProof/>
              <w:sz w:val="22"/>
              <w:lang w:val="en-GB" w:eastAsia="en-GB"/>
            </w:rPr>
          </w:pPr>
          <w:hyperlink w:anchor="_Toc411949914" w:history="1">
            <w:r w:rsidR="008F2630" w:rsidRPr="004F7865">
              <w:rPr>
                <w:rStyle w:val="Hyperlink"/>
                <w:rFonts w:eastAsia="Calibri"/>
                <w:noProof/>
              </w:rPr>
              <w:t>2.1</w:t>
            </w:r>
            <w:r w:rsidR="008F2630">
              <w:rPr>
                <w:rFonts w:asciiTheme="minorHAnsi" w:eastAsiaTheme="minorEastAsia" w:hAnsiTheme="minorHAnsi"/>
                <w:noProof/>
                <w:sz w:val="22"/>
                <w:lang w:val="en-GB" w:eastAsia="en-GB"/>
              </w:rPr>
              <w:tab/>
            </w:r>
            <w:r w:rsidR="008F2630" w:rsidRPr="004F7865">
              <w:rPr>
                <w:rStyle w:val="Hyperlink"/>
                <w:rFonts w:eastAsia="Calibri"/>
                <w:noProof/>
              </w:rPr>
              <w:t>Governance</w:t>
            </w:r>
            <w:r w:rsidR="008F2630">
              <w:rPr>
                <w:noProof/>
                <w:webHidden/>
              </w:rPr>
              <w:tab/>
            </w:r>
            <w:r w:rsidR="008F2630">
              <w:rPr>
                <w:noProof/>
                <w:webHidden/>
              </w:rPr>
              <w:fldChar w:fldCharType="begin"/>
            </w:r>
            <w:r w:rsidR="008F2630">
              <w:rPr>
                <w:noProof/>
                <w:webHidden/>
              </w:rPr>
              <w:instrText xml:space="preserve"> PAGEREF _Toc411949914 \h </w:instrText>
            </w:r>
            <w:r w:rsidR="008F2630">
              <w:rPr>
                <w:noProof/>
                <w:webHidden/>
              </w:rPr>
            </w:r>
            <w:r w:rsidR="008F2630">
              <w:rPr>
                <w:noProof/>
                <w:webHidden/>
              </w:rPr>
              <w:fldChar w:fldCharType="separate"/>
            </w:r>
            <w:r w:rsidR="008F2630">
              <w:rPr>
                <w:noProof/>
                <w:webHidden/>
              </w:rPr>
              <w:t>16</w:t>
            </w:r>
            <w:r w:rsidR="008F2630">
              <w:rPr>
                <w:noProof/>
                <w:webHidden/>
              </w:rPr>
              <w:fldChar w:fldCharType="end"/>
            </w:r>
          </w:hyperlink>
        </w:p>
        <w:p w14:paraId="592C60DE" w14:textId="77777777" w:rsidR="008F2630" w:rsidRDefault="00C92C73">
          <w:pPr>
            <w:pStyle w:val="TOC1"/>
            <w:tabs>
              <w:tab w:val="left" w:pos="480"/>
              <w:tab w:val="right" w:leader="dot" w:pos="9350"/>
            </w:tabs>
            <w:rPr>
              <w:rFonts w:asciiTheme="minorHAnsi" w:eastAsiaTheme="minorEastAsia" w:hAnsiTheme="minorHAnsi"/>
              <w:noProof/>
              <w:sz w:val="22"/>
              <w:lang w:val="en-GB" w:eastAsia="en-GB"/>
            </w:rPr>
          </w:pPr>
          <w:hyperlink w:anchor="_Toc411949915" w:history="1">
            <w:r w:rsidR="008F2630" w:rsidRPr="004F7865">
              <w:rPr>
                <w:rStyle w:val="Hyperlink"/>
                <w:noProof/>
              </w:rPr>
              <w:t>3</w:t>
            </w:r>
            <w:r w:rsidR="008F2630">
              <w:rPr>
                <w:rFonts w:asciiTheme="minorHAnsi" w:eastAsiaTheme="minorEastAsia" w:hAnsiTheme="minorHAnsi"/>
                <w:noProof/>
                <w:sz w:val="22"/>
                <w:lang w:val="en-GB" w:eastAsia="en-GB"/>
              </w:rPr>
              <w:tab/>
            </w:r>
            <w:r w:rsidR="008F2630" w:rsidRPr="004F7865">
              <w:rPr>
                <w:rStyle w:val="Hyperlink"/>
                <w:noProof/>
              </w:rPr>
              <w:t>Health Financing System Overview and Challenges</w:t>
            </w:r>
            <w:r w:rsidR="008F2630">
              <w:rPr>
                <w:noProof/>
                <w:webHidden/>
              </w:rPr>
              <w:tab/>
            </w:r>
            <w:r w:rsidR="008F2630">
              <w:rPr>
                <w:noProof/>
                <w:webHidden/>
              </w:rPr>
              <w:fldChar w:fldCharType="begin"/>
            </w:r>
            <w:r w:rsidR="008F2630">
              <w:rPr>
                <w:noProof/>
                <w:webHidden/>
              </w:rPr>
              <w:instrText xml:space="preserve"> PAGEREF _Toc411949915 \h </w:instrText>
            </w:r>
            <w:r w:rsidR="008F2630">
              <w:rPr>
                <w:noProof/>
                <w:webHidden/>
              </w:rPr>
            </w:r>
            <w:r w:rsidR="008F2630">
              <w:rPr>
                <w:noProof/>
                <w:webHidden/>
              </w:rPr>
              <w:fldChar w:fldCharType="separate"/>
            </w:r>
            <w:r w:rsidR="008F2630">
              <w:rPr>
                <w:noProof/>
                <w:webHidden/>
              </w:rPr>
              <w:t>17</w:t>
            </w:r>
            <w:r w:rsidR="008F2630">
              <w:rPr>
                <w:noProof/>
                <w:webHidden/>
              </w:rPr>
              <w:fldChar w:fldCharType="end"/>
            </w:r>
          </w:hyperlink>
        </w:p>
        <w:p w14:paraId="168D1D49" w14:textId="77777777" w:rsidR="008F2630" w:rsidRDefault="00C92C73">
          <w:pPr>
            <w:pStyle w:val="TOC2"/>
            <w:tabs>
              <w:tab w:val="left" w:pos="880"/>
              <w:tab w:val="right" w:leader="dot" w:pos="9350"/>
            </w:tabs>
            <w:rPr>
              <w:rFonts w:asciiTheme="minorHAnsi" w:eastAsiaTheme="minorEastAsia" w:hAnsiTheme="minorHAnsi"/>
              <w:noProof/>
              <w:sz w:val="22"/>
              <w:lang w:val="en-GB" w:eastAsia="en-GB"/>
            </w:rPr>
          </w:pPr>
          <w:hyperlink w:anchor="_Toc411949916" w:history="1">
            <w:r w:rsidR="008F2630" w:rsidRPr="004F7865">
              <w:rPr>
                <w:rStyle w:val="Hyperlink"/>
                <w:noProof/>
              </w:rPr>
              <w:t>3.1</w:t>
            </w:r>
            <w:r w:rsidR="008F2630">
              <w:rPr>
                <w:rFonts w:asciiTheme="minorHAnsi" w:eastAsiaTheme="minorEastAsia" w:hAnsiTheme="minorHAnsi"/>
                <w:noProof/>
                <w:sz w:val="22"/>
                <w:lang w:val="en-GB" w:eastAsia="en-GB"/>
              </w:rPr>
              <w:tab/>
            </w:r>
            <w:r w:rsidR="008F2630" w:rsidRPr="004F7865">
              <w:rPr>
                <w:rStyle w:val="Hyperlink"/>
                <w:noProof/>
              </w:rPr>
              <w:t>Revenue collection</w:t>
            </w:r>
            <w:r w:rsidR="008F2630">
              <w:rPr>
                <w:noProof/>
                <w:webHidden/>
              </w:rPr>
              <w:tab/>
            </w:r>
            <w:r w:rsidR="008F2630">
              <w:rPr>
                <w:noProof/>
                <w:webHidden/>
              </w:rPr>
              <w:fldChar w:fldCharType="begin"/>
            </w:r>
            <w:r w:rsidR="008F2630">
              <w:rPr>
                <w:noProof/>
                <w:webHidden/>
              </w:rPr>
              <w:instrText xml:space="preserve"> PAGEREF _Toc411949916 \h </w:instrText>
            </w:r>
            <w:r w:rsidR="008F2630">
              <w:rPr>
                <w:noProof/>
                <w:webHidden/>
              </w:rPr>
            </w:r>
            <w:r w:rsidR="008F2630">
              <w:rPr>
                <w:noProof/>
                <w:webHidden/>
              </w:rPr>
              <w:fldChar w:fldCharType="separate"/>
            </w:r>
            <w:r w:rsidR="008F2630">
              <w:rPr>
                <w:noProof/>
                <w:webHidden/>
              </w:rPr>
              <w:t>17</w:t>
            </w:r>
            <w:r w:rsidR="008F2630">
              <w:rPr>
                <w:noProof/>
                <w:webHidden/>
              </w:rPr>
              <w:fldChar w:fldCharType="end"/>
            </w:r>
          </w:hyperlink>
        </w:p>
        <w:p w14:paraId="3EA93DEE" w14:textId="77777777" w:rsidR="008F2630" w:rsidRDefault="00C92C73">
          <w:pPr>
            <w:pStyle w:val="TOC3"/>
            <w:rPr>
              <w:rFonts w:asciiTheme="minorHAnsi" w:eastAsiaTheme="minorEastAsia" w:hAnsiTheme="minorHAnsi"/>
              <w:noProof/>
              <w:sz w:val="22"/>
              <w:lang w:val="en-GB" w:eastAsia="en-GB"/>
            </w:rPr>
          </w:pPr>
          <w:hyperlink w:anchor="_Toc411949917" w:history="1">
            <w:r w:rsidR="008F2630" w:rsidRPr="004F7865">
              <w:rPr>
                <w:rStyle w:val="Hyperlink"/>
                <w:noProof/>
              </w:rPr>
              <w:t>3.1.1</w:t>
            </w:r>
            <w:r w:rsidR="008F2630">
              <w:rPr>
                <w:rFonts w:asciiTheme="minorHAnsi" w:eastAsiaTheme="minorEastAsia" w:hAnsiTheme="minorHAnsi"/>
                <w:noProof/>
                <w:sz w:val="22"/>
                <w:lang w:val="en-GB" w:eastAsia="en-GB"/>
              </w:rPr>
              <w:tab/>
            </w:r>
            <w:r w:rsidR="008F2630" w:rsidRPr="004F7865">
              <w:rPr>
                <w:rStyle w:val="Hyperlink"/>
                <w:noProof/>
              </w:rPr>
              <w:t>Government funding</w:t>
            </w:r>
            <w:r w:rsidR="008F2630">
              <w:rPr>
                <w:noProof/>
                <w:webHidden/>
              </w:rPr>
              <w:tab/>
            </w:r>
            <w:r w:rsidR="008F2630">
              <w:rPr>
                <w:noProof/>
                <w:webHidden/>
              </w:rPr>
              <w:fldChar w:fldCharType="begin"/>
            </w:r>
            <w:r w:rsidR="008F2630">
              <w:rPr>
                <w:noProof/>
                <w:webHidden/>
              </w:rPr>
              <w:instrText xml:space="preserve"> PAGEREF _Toc411949917 \h </w:instrText>
            </w:r>
            <w:r w:rsidR="008F2630">
              <w:rPr>
                <w:noProof/>
                <w:webHidden/>
              </w:rPr>
            </w:r>
            <w:r w:rsidR="008F2630">
              <w:rPr>
                <w:noProof/>
                <w:webHidden/>
              </w:rPr>
              <w:fldChar w:fldCharType="separate"/>
            </w:r>
            <w:r w:rsidR="008F2630">
              <w:rPr>
                <w:noProof/>
                <w:webHidden/>
              </w:rPr>
              <w:t>17</w:t>
            </w:r>
            <w:r w:rsidR="008F2630">
              <w:rPr>
                <w:noProof/>
                <w:webHidden/>
              </w:rPr>
              <w:fldChar w:fldCharType="end"/>
            </w:r>
          </w:hyperlink>
        </w:p>
        <w:p w14:paraId="7DB9A714" w14:textId="77777777" w:rsidR="008F2630" w:rsidRDefault="00C92C73">
          <w:pPr>
            <w:pStyle w:val="TOC3"/>
            <w:rPr>
              <w:rFonts w:asciiTheme="minorHAnsi" w:eastAsiaTheme="minorEastAsia" w:hAnsiTheme="minorHAnsi"/>
              <w:noProof/>
              <w:sz w:val="22"/>
              <w:lang w:val="en-GB" w:eastAsia="en-GB"/>
            </w:rPr>
          </w:pPr>
          <w:hyperlink w:anchor="_Toc411949918" w:history="1">
            <w:r w:rsidR="008F2630" w:rsidRPr="004F7865">
              <w:rPr>
                <w:rStyle w:val="Hyperlink"/>
                <w:rFonts w:eastAsia="SimSun"/>
                <w:noProof/>
                <w:lang w:eastAsia="zh-CN"/>
              </w:rPr>
              <w:t>3.1.2</w:t>
            </w:r>
            <w:r w:rsidR="008F2630">
              <w:rPr>
                <w:rFonts w:asciiTheme="minorHAnsi" w:eastAsiaTheme="minorEastAsia" w:hAnsiTheme="minorHAnsi"/>
                <w:noProof/>
                <w:sz w:val="22"/>
                <w:lang w:val="en-GB" w:eastAsia="en-GB"/>
              </w:rPr>
              <w:tab/>
            </w:r>
            <w:r w:rsidR="008F2630" w:rsidRPr="004F7865">
              <w:rPr>
                <w:rStyle w:val="Hyperlink"/>
                <w:rFonts w:eastAsia="SimSun"/>
                <w:noProof/>
                <w:lang w:eastAsia="zh-CN"/>
              </w:rPr>
              <w:t>Prepayment schemes</w:t>
            </w:r>
            <w:r w:rsidR="008F2630">
              <w:rPr>
                <w:noProof/>
                <w:webHidden/>
              </w:rPr>
              <w:tab/>
            </w:r>
            <w:r w:rsidR="008F2630">
              <w:rPr>
                <w:noProof/>
                <w:webHidden/>
              </w:rPr>
              <w:fldChar w:fldCharType="begin"/>
            </w:r>
            <w:r w:rsidR="008F2630">
              <w:rPr>
                <w:noProof/>
                <w:webHidden/>
              </w:rPr>
              <w:instrText xml:space="preserve"> PAGEREF _Toc411949918 \h </w:instrText>
            </w:r>
            <w:r w:rsidR="008F2630">
              <w:rPr>
                <w:noProof/>
                <w:webHidden/>
              </w:rPr>
            </w:r>
            <w:r w:rsidR="008F2630">
              <w:rPr>
                <w:noProof/>
                <w:webHidden/>
              </w:rPr>
              <w:fldChar w:fldCharType="separate"/>
            </w:r>
            <w:r w:rsidR="008F2630">
              <w:rPr>
                <w:noProof/>
                <w:webHidden/>
              </w:rPr>
              <w:t>18</w:t>
            </w:r>
            <w:r w:rsidR="008F2630">
              <w:rPr>
                <w:noProof/>
                <w:webHidden/>
              </w:rPr>
              <w:fldChar w:fldCharType="end"/>
            </w:r>
          </w:hyperlink>
        </w:p>
        <w:p w14:paraId="564B9F61" w14:textId="77777777" w:rsidR="008F2630" w:rsidRDefault="00C92C73">
          <w:pPr>
            <w:pStyle w:val="TOC3"/>
            <w:rPr>
              <w:rFonts w:asciiTheme="minorHAnsi" w:eastAsiaTheme="minorEastAsia" w:hAnsiTheme="minorHAnsi"/>
              <w:noProof/>
              <w:sz w:val="22"/>
              <w:lang w:val="en-GB" w:eastAsia="en-GB"/>
            </w:rPr>
          </w:pPr>
          <w:hyperlink w:anchor="_Toc411949919" w:history="1">
            <w:r w:rsidR="008F2630" w:rsidRPr="004F7865">
              <w:rPr>
                <w:rStyle w:val="Hyperlink"/>
                <w:noProof/>
              </w:rPr>
              <w:t>3.1.3</w:t>
            </w:r>
            <w:r w:rsidR="008F2630">
              <w:rPr>
                <w:rFonts w:asciiTheme="minorHAnsi" w:eastAsiaTheme="minorEastAsia" w:hAnsiTheme="minorHAnsi"/>
                <w:noProof/>
                <w:sz w:val="22"/>
                <w:lang w:val="en-GB" w:eastAsia="en-GB"/>
              </w:rPr>
              <w:tab/>
            </w:r>
            <w:r w:rsidR="008F2630" w:rsidRPr="004F7865">
              <w:rPr>
                <w:rStyle w:val="Hyperlink"/>
                <w:noProof/>
              </w:rPr>
              <w:t>Health financing composition</w:t>
            </w:r>
            <w:r w:rsidR="008F2630">
              <w:rPr>
                <w:noProof/>
                <w:webHidden/>
              </w:rPr>
              <w:tab/>
            </w:r>
            <w:r w:rsidR="008F2630">
              <w:rPr>
                <w:noProof/>
                <w:webHidden/>
              </w:rPr>
              <w:fldChar w:fldCharType="begin"/>
            </w:r>
            <w:r w:rsidR="008F2630">
              <w:rPr>
                <w:noProof/>
                <w:webHidden/>
              </w:rPr>
              <w:instrText xml:space="preserve"> PAGEREF _Toc411949919 \h </w:instrText>
            </w:r>
            <w:r w:rsidR="008F2630">
              <w:rPr>
                <w:noProof/>
                <w:webHidden/>
              </w:rPr>
            </w:r>
            <w:r w:rsidR="008F2630">
              <w:rPr>
                <w:noProof/>
                <w:webHidden/>
              </w:rPr>
              <w:fldChar w:fldCharType="separate"/>
            </w:r>
            <w:r w:rsidR="008F2630">
              <w:rPr>
                <w:noProof/>
                <w:webHidden/>
              </w:rPr>
              <w:t>19</w:t>
            </w:r>
            <w:r w:rsidR="008F2630">
              <w:rPr>
                <w:noProof/>
                <w:webHidden/>
              </w:rPr>
              <w:fldChar w:fldCharType="end"/>
            </w:r>
          </w:hyperlink>
        </w:p>
        <w:p w14:paraId="2E2E227B" w14:textId="77777777" w:rsidR="008F2630" w:rsidRDefault="00C92C73">
          <w:pPr>
            <w:pStyle w:val="TOC2"/>
            <w:tabs>
              <w:tab w:val="left" w:pos="880"/>
              <w:tab w:val="right" w:leader="dot" w:pos="9350"/>
            </w:tabs>
            <w:rPr>
              <w:rFonts w:asciiTheme="minorHAnsi" w:eastAsiaTheme="minorEastAsia" w:hAnsiTheme="minorHAnsi"/>
              <w:noProof/>
              <w:sz w:val="22"/>
              <w:lang w:val="en-GB" w:eastAsia="en-GB"/>
            </w:rPr>
          </w:pPr>
          <w:hyperlink w:anchor="_Toc411949920" w:history="1">
            <w:r w:rsidR="008F2630" w:rsidRPr="004F7865">
              <w:rPr>
                <w:rStyle w:val="Hyperlink"/>
                <w:noProof/>
              </w:rPr>
              <w:t>3.2</w:t>
            </w:r>
            <w:r w:rsidR="008F2630">
              <w:rPr>
                <w:rFonts w:asciiTheme="minorHAnsi" w:eastAsiaTheme="minorEastAsia" w:hAnsiTheme="minorHAnsi"/>
                <w:noProof/>
                <w:sz w:val="22"/>
                <w:lang w:val="en-GB" w:eastAsia="en-GB"/>
              </w:rPr>
              <w:tab/>
            </w:r>
            <w:r w:rsidR="008F2630" w:rsidRPr="004F7865">
              <w:rPr>
                <w:rStyle w:val="Hyperlink"/>
                <w:noProof/>
              </w:rPr>
              <w:t>Pooling</w:t>
            </w:r>
            <w:r w:rsidR="008F2630">
              <w:rPr>
                <w:noProof/>
                <w:webHidden/>
              </w:rPr>
              <w:tab/>
            </w:r>
            <w:r w:rsidR="008F2630">
              <w:rPr>
                <w:noProof/>
                <w:webHidden/>
              </w:rPr>
              <w:fldChar w:fldCharType="begin"/>
            </w:r>
            <w:r w:rsidR="008F2630">
              <w:rPr>
                <w:noProof/>
                <w:webHidden/>
              </w:rPr>
              <w:instrText xml:space="preserve"> PAGEREF _Toc411949920 \h </w:instrText>
            </w:r>
            <w:r w:rsidR="008F2630">
              <w:rPr>
                <w:noProof/>
                <w:webHidden/>
              </w:rPr>
            </w:r>
            <w:r w:rsidR="008F2630">
              <w:rPr>
                <w:noProof/>
                <w:webHidden/>
              </w:rPr>
              <w:fldChar w:fldCharType="separate"/>
            </w:r>
            <w:r w:rsidR="008F2630">
              <w:rPr>
                <w:noProof/>
                <w:webHidden/>
              </w:rPr>
              <w:t>21</w:t>
            </w:r>
            <w:r w:rsidR="008F2630">
              <w:rPr>
                <w:noProof/>
                <w:webHidden/>
              </w:rPr>
              <w:fldChar w:fldCharType="end"/>
            </w:r>
          </w:hyperlink>
        </w:p>
        <w:p w14:paraId="3AEDA525" w14:textId="77777777" w:rsidR="008F2630" w:rsidRDefault="00C92C73">
          <w:pPr>
            <w:pStyle w:val="TOC2"/>
            <w:tabs>
              <w:tab w:val="left" w:pos="880"/>
              <w:tab w:val="right" w:leader="dot" w:pos="9350"/>
            </w:tabs>
            <w:rPr>
              <w:rFonts w:asciiTheme="minorHAnsi" w:eastAsiaTheme="minorEastAsia" w:hAnsiTheme="minorHAnsi"/>
              <w:noProof/>
              <w:sz w:val="22"/>
              <w:lang w:val="en-GB" w:eastAsia="en-GB"/>
            </w:rPr>
          </w:pPr>
          <w:hyperlink w:anchor="_Toc411949921" w:history="1">
            <w:r w:rsidR="008F2630" w:rsidRPr="004F7865">
              <w:rPr>
                <w:rStyle w:val="Hyperlink"/>
                <w:noProof/>
              </w:rPr>
              <w:t>3.3</w:t>
            </w:r>
            <w:r w:rsidR="008F2630">
              <w:rPr>
                <w:rFonts w:asciiTheme="minorHAnsi" w:eastAsiaTheme="minorEastAsia" w:hAnsiTheme="minorHAnsi"/>
                <w:noProof/>
                <w:sz w:val="22"/>
                <w:lang w:val="en-GB" w:eastAsia="en-GB"/>
              </w:rPr>
              <w:tab/>
            </w:r>
            <w:r w:rsidR="008F2630" w:rsidRPr="004F7865">
              <w:rPr>
                <w:rStyle w:val="Hyperlink"/>
                <w:noProof/>
              </w:rPr>
              <w:t>Purchasing, payment, and allocation of resources</w:t>
            </w:r>
            <w:r w:rsidR="008F2630">
              <w:rPr>
                <w:noProof/>
                <w:webHidden/>
              </w:rPr>
              <w:tab/>
            </w:r>
            <w:r w:rsidR="008F2630">
              <w:rPr>
                <w:noProof/>
                <w:webHidden/>
              </w:rPr>
              <w:fldChar w:fldCharType="begin"/>
            </w:r>
            <w:r w:rsidR="008F2630">
              <w:rPr>
                <w:noProof/>
                <w:webHidden/>
              </w:rPr>
              <w:instrText xml:space="preserve"> PAGEREF _Toc411949921 \h </w:instrText>
            </w:r>
            <w:r w:rsidR="008F2630">
              <w:rPr>
                <w:noProof/>
                <w:webHidden/>
              </w:rPr>
            </w:r>
            <w:r w:rsidR="008F2630">
              <w:rPr>
                <w:noProof/>
                <w:webHidden/>
              </w:rPr>
              <w:fldChar w:fldCharType="separate"/>
            </w:r>
            <w:r w:rsidR="008F2630">
              <w:rPr>
                <w:noProof/>
                <w:webHidden/>
              </w:rPr>
              <w:t>22</w:t>
            </w:r>
            <w:r w:rsidR="008F2630">
              <w:rPr>
                <w:noProof/>
                <w:webHidden/>
              </w:rPr>
              <w:fldChar w:fldCharType="end"/>
            </w:r>
          </w:hyperlink>
        </w:p>
        <w:p w14:paraId="49E55BD3" w14:textId="77777777" w:rsidR="008F2630" w:rsidRDefault="00C92C73">
          <w:pPr>
            <w:pStyle w:val="TOC3"/>
            <w:rPr>
              <w:rFonts w:asciiTheme="minorHAnsi" w:eastAsiaTheme="minorEastAsia" w:hAnsiTheme="minorHAnsi"/>
              <w:noProof/>
              <w:sz w:val="22"/>
              <w:lang w:val="en-GB" w:eastAsia="en-GB"/>
            </w:rPr>
          </w:pPr>
          <w:hyperlink w:anchor="_Toc411949922" w:history="1">
            <w:r w:rsidR="008F2630" w:rsidRPr="004F7865">
              <w:rPr>
                <w:rStyle w:val="Hyperlink"/>
                <w:noProof/>
              </w:rPr>
              <w:t>3.3.1</w:t>
            </w:r>
            <w:r w:rsidR="008F2630">
              <w:rPr>
                <w:rFonts w:asciiTheme="minorHAnsi" w:eastAsiaTheme="minorEastAsia" w:hAnsiTheme="minorHAnsi"/>
                <w:noProof/>
                <w:sz w:val="22"/>
                <w:lang w:val="en-GB" w:eastAsia="en-GB"/>
              </w:rPr>
              <w:tab/>
            </w:r>
            <w:r w:rsidR="008F2630" w:rsidRPr="004F7865">
              <w:rPr>
                <w:rStyle w:val="Hyperlink"/>
                <w:noProof/>
              </w:rPr>
              <w:t>Provider payment mechanisms</w:t>
            </w:r>
            <w:r w:rsidR="008F2630">
              <w:rPr>
                <w:noProof/>
                <w:webHidden/>
              </w:rPr>
              <w:tab/>
            </w:r>
            <w:r w:rsidR="008F2630">
              <w:rPr>
                <w:noProof/>
                <w:webHidden/>
              </w:rPr>
              <w:fldChar w:fldCharType="begin"/>
            </w:r>
            <w:r w:rsidR="008F2630">
              <w:rPr>
                <w:noProof/>
                <w:webHidden/>
              </w:rPr>
              <w:instrText xml:space="preserve"> PAGEREF _Toc411949922 \h </w:instrText>
            </w:r>
            <w:r w:rsidR="008F2630">
              <w:rPr>
                <w:noProof/>
                <w:webHidden/>
              </w:rPr>
            </w:r>
            <w:r w:rsidR="008F2630">
              <w:rPr>
                <w:noProof/>
                <w:webHidden/>
              </w:rPr>
              <w:fldChar w:fldCharType="separate"/>
            </w:r>
            <w:r w:rsidR="008F2630">
              <w:rPr>
                <w:noProof/>
                <w:webHidden/>
              </w:rPr>
              <w:t>22</w:t>
            </w:r>
            <w:r w:rsidR="008F2630">
              <w:rPr>
                <w:noProof/>
                <w:webHidden/>
              </w:rPr>
              <w:fldChar w:fldCharType="end"/>
            </w:r>
          </w:hyperlink>
        </w:p>
        <w:p w14:paraId="7F009041" w14:textId="77777777" w:rsidR="008F2630" w:rsidRDefault="00C92C73">
          <w:pPr>
            <w:pStyle w:val="TOC3"/>
            <w:rPr>
              <w:rFonts w:asciiTheme="minorHAnsi" w:eastAsiaTheme="minorEastAsia" w:hAnsiTheme="minorHAnsi"/>
              <w:noProof/>
              <w:sz w:val="22"/>
              <w:lang w:val="en-GB" w:eastAsia="en-GB"/>
            </w:rPr>
          </w:pPr>
          <w:hyperlink w:anchor="_Toc411949923" w:history="1">
            <w:r w:rsidR="008F2630" w:rsidRPr="004F7865">
              <w:rPr>
                <w:rStyle w:val="Hyperlink"/>
                <w:rFonts w:eastAsia="SimSun"/>
                <w:noProof/>
                <w:lang w:eastAsia="zh-CN"/>
              </w:rPr>
              <w:t>3.3.2</w:t>
            </w:r>
            <w:r w:rsidR="008F2630">
              <w:rPr>
                <w:rFonts w:asciiTheme="minorHAnsi" w:eastAsiaTheme="minorEastAsia" w:hAnsiTheme="minorHAnsi"/>
                <w:noProof/>
                <w:sz w:val="22"/>
                <w:lang w:val="en-GB" w:eastAsia="en-GB"/>
              </w:rPr>
              <w:tab/>
            </w:r>
            <w:r w:rsidR="008F2630" w:rsidRPr="004F7865">
              <w:rPr>
                <w:rStyle w:val="Hyperlink"/>
                <w:rFonts w:eastAsia="SimSun"/>
                <w:noProof/>
                <w:lang w:eastAsia="zh-CN"/>
              </w:rPr>
              <w:t>User-Fees and Waivers/Exemptions</w:t>
            </w:r>
            <w:r w:rsidR="008F2630">
              <w:rPr>
                <w:noProof/>
                <w:webHidden/>
              </w:rPr>
              <w:tab/>
            </w:r>
            <w:r w:rsidR="008F2630">
              <w:rPr>
                <w:noProof/>
                <w:webHidden/>
              </w:rPr>
              <w:fldChar w:fldCharType="begin"/>
            </w:r>
            <w:r w:rsidR="008F2630">
              <w:rPr>
                <w:noProof/>
                <w:webHidden/>
              </w:rPr>
              <w:instrText xml:space="preserve"> PAGEREF _Toc411949923 \h </w:instrText>
            </w:r>
            <w:r w:rsidR="008F2630">
              <w:rPr>
                <w:noProof/>
                <w:webHidden/>
              </w:rPr>
            </w:r>
            <w:r w:rsidR="008F2630">
              <w:rPr>
                <w:noProof/>
                <w:webHidden/>
              </w:rPr>
              <w:fldChar w:fldCharType="separate"/>
            </w:r>
            <w:r w:rsidR="008F2630">
              <w:rPr>
                <w:noProof/>
                <w:webHidden/>
              </w:rPr>
              <w:t>23</w:t>
            </w:r>
            <w:r w:rsidR="008F2630">
              <w:rPr>
                <w:noProof/>
                <w:webHidden/>
              </w:rPr>
              <w:fldChar w:fldCharType="end"/>
            </w:r>
          </w:hyperlink>
        </w:p>
        <w:p w14:paraId="53AB0F50" w14:textId="77777777" w:rsidR="008F2630" w:rsidRDefault="00C92C73">
          <w:pPr>
            <w:pStyle w:val="TOC3"/>
            <w:rPr>
              <w:rFonts w:asciiTheme="minorHAnsi" w:eastAsiaTheme="minorEastAsia" w:hAnsiTheme="minorHAnsi"/>
              <w:noProof/>
              <w:sz w:val="22"/>
              <w:lang w:val="en-GB" w:eastAsia="en-GB"/>
            </w:rPr>
          </w:pPr>
          <w:hyperlink w:anchor="_Toc411949924" w:history="1">
            <w:r w:rsidR="008F2630" w:rsidRPr="004F7865">
              <w:rPr>
                <w:rStyle w:val="Hyperlink"/>
                <w:rFonts w:eastAsia="SimSun"/>
                <w:noProof/>
                <w:lang w:eastAsia="zh-CN"/>
              </w:rPr>
              <w:t>3.3.3</w:t>
            </w:r>
            <w:r w:rsidR="008F2630">
              <w:rPr>
                <w:rFonts w:asciiTheme="minorHAnsi" w:eastAsiaTheme="minorEastAsia" w:hAnsiTheme="minorHAnsi"/>
                <w:noProof/>
                <w:sz w:val="22"/>
                <w:lang w:val="en-GB" w:eastAsia="en-GB"/>
              </w:rPr>
              <w:tab/>
            </w:r>
            <w:r w:rsidR="008F2630" w:rsidRPr="004F7865">
              <w:rPr>
                <w:rStyle w:val="Hyperlink"/>
                <w:rFonts w:eastAsia="SimSun"/>
                <w:noProof/>
                <w:lang w:eastAsia="zh-CN"/>
              </w:rPr>
              <w:t>Service Agreements</w:t>
            </w:r>
            <w:r w:rsidR="008F2630">
              <w:rPr>
                <w:noProof/>
                <w:webHidden/>
              </w:rPr>
              <w:tab/>
            </w:r>
            <w:r w:rsidR="008F2630">
              <w:rPr>
                <w:noProof/>
                <w:webHidden/>
              </w:rPr>
              <w:fldChar w:fldCharType="begin"/>
            </w:r>
            <w:r w:rsidR="008F2630">
              <w:rPr>
                <w:noProof/>
                <w:webHidden/>
              </w:rPr>
              <w:instrText xml:space="preserve"> PAGEREF _Toc411949924 \h </w:instrText>
            </w:r>
            <w:r w:rsidR="008F2630">
              <w:rPr>
                <w:noProof/>
                <w:webHidden/>
              </w:rPr>
            </w:r>
            <w:r w:rsidR="008F2630">
              <w:rPr>
                <w:noProof/>
                <w:webHidden/>
              </w:rPr>
              <w:fldChar w:fldCharType="separate"/>
            </w:r>
            <w:r w:rsidR="008F2630">
              <w:rPr>
                <w:noProof/>
                <w:webHidden/>
              </w:rPr>
              <w:t>23</w:t>
            </w:r>
            <w:r w:rsidR="008F2630">
              <w:rPr>
                <w:noProof/>
                <w:webHidden/>
              </w:rPr>
              <w:fldChar w:fldCharType="end"/>
            </w:r>
          </w:hyperlink>
        </w:p>
        <w:p w14:paraId="64775A16" w14:textId="77777777" w:rsidR="008F2630" w:rsidRDefault="00C92C73">
          <w:pPr>
            <w:pStyle w:val="TOC1"/>
            <w:tabs>
              <w:tab w:val="left" w:pos="480"/>
              <w:tab w:val="right" w:leader="dot" w:pos="9350"/>
            </w:tabs>
            <w:rPr>
              <w:rFonts w:asciiTheme="minorHAnsi" w:eastAsiaTheme="minorEastAsia" w:hAnsiTheme="minorHAnsi"/>
              <w:noProof/>
              <w:sz w:val="22"/>
              <w:lang w:val="en-GB" w:eastAsia="en-GB"/>
            </w:rPr>
          </w:pPr>
          <w:hyperlink w:anchor="_Toc411949925" w:history="1">
            <w:r w:rsidR="008F2630" w:rsidRPr="004F7865">
              <w:rPr>
                <w:rStyle w:val="Hyperlink"/>
                <w:noProof/>
              </w:rPr>
              <w:t>4</w:t>
            </w:r>
            <w:r w:rsidR="008F2630">
              <w:rPr>
                <w:rFonts w:asciiTheme="minorHAnsi" w:eastAsiaTheme="minorEastAsia" w:hAnsiTheme="minorHAnsi"/>
                <w:noProof/>
                <w:sz w:val="22"/>
                <w:lang w:val="en-GB" w:eastAsia="en-GB"/>
              </w:rPr>
              <w:tab/>
            </w:r>
            <w:r w:rsidR="008F2630" w:rsidRPr="004F7865">
              <w:rPr>
                <w:rStyle w:val="Hyperlink"/>
                <w:noProof/>
              </w:rPr>
              <w:t>HF Strategy</w:t>
            </w:r>
            <w:r w:rsidR="008F2630">
              <w:rPr>
                <w:noProof/>
                <w:webHidden/>
              </w:rPr>
              <w:tab/>
            </w:r>
            <w:r w:rsidR="008F2630">
              <w:rPr>
                <w:noProof/>
                <w:webHidden/>
              </w:rPr>
              <w:fldChar w:fldCharType="begin"/>
            </w:r>
            <w:r w:rsidR="008F2630">
              <w:rPr>
                <w:noProof/>
                <w:webHidden/>
              </w:rPr>
              <w:instrText xml:space="preserve"> PAGEREF _Toc411949925 \h </w:instrText>
            </w:r>
            <w:r w:rsidR="008F2630">
              <w:rPr>
                <w:noProof/>
                <w:webHidden/>
              </w:rPr>
            </w:r>
            <w:r w:rsidR="008F2630">
              <w:rPr>
                <w:noProof/>
                <w:webHidden/>
              </w:rPr>
              <w:fldChar w:fldCharType="separate"/>
            </w:r>
            <w:r w:rsidR="008F2630">
              <w:rPr>
                <w:noProof/>
                <w:webHidden/>
              </w:rPr>
              <w:t>25</w:t>
            </w:r>
            <w:r w:rsidR="008F2630">
              <w:rPr>
                <w:noProof/>
                <w:webHidden/>
              </w:rPr>
              <w:fldChar w:fldCharType="end"/>
            </w:r>
          </w:hyperlink>
        </w:p>
        <w:p w14:paraId="51C7D8A8" w14:textId="77777777" w:rsidR="008F2630" w:rsidRDefault="00C92C73">
          <w:pPr>
            <w:pStyle w:val="TOC2"/>
            <w:tabs>
              <w:tab w:val="left" w:pos="880"/>
              <w:tab w:val="right" w:leader="dot" w:pos="9350"/>
            </w:tabs>
            <w:rPr>
              <w:rFonts w:asciiTheme="minorHAnsi" w:eastAsiaTheme="minorEastAsia" w:hAnsiTheme="minorHAnsi"/>
              <w:noProof/>
              <w:sz w:val="22"/>
              <w:lang w:val="en-GB" w:eastAsia="en-GB"/>
            </w:rPr>
          </w:pPr>
          <w:hyperlink w:anchor="_Toc411949926" w:history="1">
            <w:r w:rsidR="008F2630" w:rsidRPr="004F7865">
              <w:rPr>
                <w:rStyle w:val="Hyperlink"/>
                <w:noProof/>
              </w:rPr>
              <w:t>4.1</w:t>
            </w:r>
            <w:r w:rsidR="008F2630">
              <w:rPr>
                <w:rFonts w:asciiTheme="minorHAnsi" w:eastAsiaTheme="minorEastAsia" w:hAnsiTheme="minorHAnsi"/>
                <w:noProof/>
                <w:sz w:val="22"/>
                <w:lang w:val="en-GB" w:eastAsia="en-GB"/>
              </w:rPr>
              <w:tab/>
            </w:r>
            <w:r w:rsidR="008F2630" w:rsidRPr="004F7865">
              <w:rPr>
                <w:rStyle w:val="Hyperlink"/>
                <w:noProof/>
              </w:rPr>
              <w:t>Vision and Mission</w:t>
            </w:r>
            <w:r w:rsidR="008F2630">
              <w:rPr>
                <w:noProof/>
                <w:webHidden/>
              </w:rPr>
              <w:tab/>
            </w:r>
            <w:r w:rsidR="008F2630">
              <w:rPr>
                <w:noProof/>
                <w:webHidden/>
              </w:rPr>
              <w:fldChar w:fldCharType="begin"/>
            </w:r>
            <w:r w:rsidR="008F2630">
              <w:rPr>
                <w:noProof/>
                <w:webHidden/>
              </w:rPr>
              <w:instrText xml:space="preserve"> PAGEREF _Toc411949926 \h </w:instrText>
            </w:r>
            <w:r w:rsidR="008F2630">
              <w:rPr>
                <w:noProof/>
                <w:webHidden/>
              </w:rPr>
            </w:r>
            <w:r w:rsidR="008F2630">
              <w:rPr>
                <w:noProof/>
                <w:webHidden/>
              </w:rPr>
              <w:fldChar w:fldCharType="separate"/>
            </w:r>
            <w:r w:rsidR="008F2630">
              <w:rPr>
                <w:noProof/>
                <w:webHidden/>
              </w:rPr>
              <w:t>25</w:t>
            </w:r>
            <w:r w:rsidR="008F2630">
              <w:rPr>
                <w:noProof/>
                <w:webHidden/>
              </w:rPr>
              <w:fldChar w:fldCharType="end"/>
            </w:r>
          </w:hyperlink>
        </w:p>
        <w:p w14:paraId="7ACF76A0" w14:textId="77777777" w:rsidR="008F2630" w:rsidRDefault="00C92C73">
          <w:pPr>
            <w:pStyle w:val="TOC2"/>
            <w:tabs>
              <w:tab w:val="left" w:pos="880"/>
              <w:tab w:val="right" w:leader="dot" w:pos="9350"/>
            </w:tabs>
            <w:rPr>
              <w:rFonts w:asciiTheme="minorHAnsi" w:eastAsiaTheme="minorEastAsia" w:hAnsiTheme="minorHAnsi"/>
              <w:noProof/>
              <w:sz w:val="22"/>
              <w:lang w:val="en-GB" w:eastAsia="en-GB"/>
            </w:rPr>
          </w:pPr>
          <w:hyperlink w:anchor="_Toc411949927" w:history="1">
            <w:r w:rsidR="008F2630" w:rsidRPr="004F7865">
              <w:rPr>
                <w:rStyle w:val="Hyperlink"/>
                <w:noProof/>
              </w:rPr>
              <w:t>4.2</w:t>
            </w:r>
            <w:r w:rsidR="008F2630">
              <w:rPr>
                <w:rFonts w:asciiTheme="minorHAnsi" w:eastAsiaTheme="minorEastAsia" w:hAnsiTheme="minorHAnsi"/>
                <w:noProof/>
                <w:sz w:val="22"/>
                <w:lang w:val="en-GB" w:eastAsia="en-GB"/>
              </w:rPr>
              <w:tab/>
            </w:r>
            <w:r w:rsidR="008F2630" w:rsidRPr="004F7865">
              <w:rPr>
                <w:rStyle w:val="Hyperlink"/>
                <w:noProof/>
              </w:rPr>
              <w:t>Goal</w:t>
            </w:r>
            <w:r w:rsidR="008F2630">
              <w:rPr>
                <w:noProof/>
                <w:webHidden/>
              </w:rPr>
              <w:tab/>
            </w:r>
            <w:r w:rsidR="008F2630">
              <w:rPr>
                <w:noProof/>
                <w:webHidden/>
              </w:rPr>
              <w:fldChar w:fldCharType="begin"/>
            </w:r>
            <w:r w:rsidR="008F2630">
              <w:rPr>
                <w:noProof/>
                <w:webHidden/>
              </w:rPr>
              <w:instrText xml:space="preserve"> PAGEREF _Toc411949927 \h </w:instrText>
            </w:r>
            <w:r w:rsidR="008F2630">
              <w:rPr>
                <w:noProof/>
                <w:webHidden/>
              </w:rPr>
            </w:r>
            <w:r w:rsidR="008F2630">
              <w:rPr>
                <w:noProof/>
                <w:webHidden/>
              </w:rPr>
              <w:fldChar w:fldCharType="separate"/>
            </w:r>
            <w:r w:rsidR="008F2630">
              <w:rPr>
                <w:noProof/>
                <w:webHidden/>
              </w:rPr>
              <w:t>25</w:t>
            </w:r>
            <w:r w:rsidR="008F2630">
              <w:rPr>
                <w:noProof/>
                <w:webHidden/>
              </w:rPr>
              <w:fldChar w:fldCharType="end"/>
            </w:r>
          </w:hyperlink>
        </w:p>
        <w:p w14:paraId="0406D0EA" w14:textId="77777777" w:rsidR="008F2630" w:rsidRDefault="00C92C73">
          <w:pPr>
            <w:pStyle w:val="TOC2"/>
            <w:tabs>
              <w:tab w:val="left" w:pos="880"/>
              <w:tab w:val="right" w:leader="dot" w:pos="9350"/>
            </w:tabs>
            <w:rPr>
              <w:rFonts w:asciiTheme="minorHAnsi" w:eastAsiaTheme="minorEastAsia" w:hAnsiTheme="minorHAnsi"/>
              <w:noProof/>
              <w:sz w:val="22"/>
              <w:lang w:val="en-GB" w:eastAsia="en-GB"/>
            </w:rPr>
          </w:pPr>
          <w:hyperlink w:anchor="_Toc411949928" w:history="1">
            <w:r w:rsidR="008F2630" w:rsidRPr="004F7865">
              <w:rPr>
                <w:rStyle w:val="Hyperlink"/>
                <w:noProof/>
              </w:rPr>
              <w:t>4.3</w:t>
            </w:r>
            <w:r w:rsidR="008F2630">
              <w:rPr>
                <w:rFonts w:asciiTheme="minorHAnsi" w:eastAsiaTheme="minorEastAsia" w:hAnsiTheme="minorHAnsi"/>
                <w:noProof/>
                <w:sz w:val="22"/>
                <w:lang w:val="en-GB" w:eastAsia="en-GB"/>
              </w:rPr>
              <w:tab/>
            </w:r>
            <w:r w:rsidR="008F2630" w:rsidRPr="004F7865">
              <w:rPr>
                <w:rStyle w:val="Hyperlink"/>
                <w:noProof/>
              </w:rPr>
              <w:t>Objectives</w:t>
            </w:r>
            <w:r w:rsidR="008F2630">
              <w:rPr>
                <w:noProof/>
                <w:webHidden/>
              </w:rPr>
              <w:tab/>
            </w:r>
            <w:r w:rsidR="008F2630">
              <w:rPr>
                <w:noProof/>
                <w:webHidden/>
              </w:rPr>
              <w:fldChar w:fldCharType="begin"/>
            </w:r>
            <w:r w:rsidR="008F2630">
              <w:rPr>
                <w:noProof/>
                <w:webHidden/>
              </w:rPr>
              <w:instrText xml:space="preserve"> PAGEREF _Toc411949928 \h </w:instrText>
            </w:r>
            <w:r w:rsidR="008F2630">
              <w:rPr>
                <w:noProof/>
                <w:webHidden/>
              </w:rPr>
            </w:r>
            <w:r w:rsidR="008F2630">
              <w:rPr>
                <w:noProof/>
                <w:webHidden/>
              </w:rPr>
              <w:fldChar w:fldCharType="separate"/>
            </w:r>
            <w:r w:rsidR="008F2630">
              <w:rPr>
                <w:noProof/>
                <w:webHidden/>
              </w:rPr>
              <w:t>25</w:t>
            </w:r>
            <w:r w:rsidR="008F2630">
              <w:rPr>
                <w:noProof/>
                <w:webHidden/>
              </w:rPr>
              <w:fldChar w:fldCharType="end"/>
            </w:r>
          </w:hyperlink>
        </w:p>
        <w:p w14:paraId="14894CFE" w14:textId="77777777" w:rsidR="008F2630" w:rsidRDefault="00C92C73">
          <w:pPr>
            <w:pStyle w:val="TOC2"/>
            <w:tabs>
              <w:tab w:val="left" w:pos="880"/>
              <w:tab w:val="right" w:leader="dot" w:pos="9350"/>
            </w:tabs>
            <w:rPr>
              <w:rFonts w:asciiTheme="minorHAnsi" w:eastAsiaTheme="minorEastAsia" w:hAnsiTheme="minorHAnsi"/>
              <w:noProof/>
              <w:sz w:val="22"/>
              <w:lang w:val="en-GB" w:eastAsia="en-GB"/>
            </w:rPr>
          </w:pPr>
          <w:hyperlink w:anchor="_Toc411949929" w:history="1">
            <w:r w:rsidR="008F2630" w:rsidRPr="004F7865">
              <w:rPr>
                <w:rStyle w:val="Hyperlink"/>
                <w:noProof/>
              </w:rPr>
              <w:t>4.4</w:t>
            </w:r>
            <w:r w:rsidR="008F2630">
              <w:rPr>
                <w:rFonts w:asciiTheme="minorHAnsi" w:eastAsiaTheme="minorEastAsia" w:hAnsiTheme="minorHAnsi"/>
                <w:noProof/>
                <w:sz w:val="22"/>
                <w:lang w:val="en-GB" w:eastAsia="en-GB"/>
              </w:rPr>
              <w:tab/>
            </w:r>
            <w:r w:rsidR="008F2630" w:rsidRPr="004F7865">
              <w:rPr>
                <w:rStyle w:val="Hyperlink"/>
                <w:noProof/>
              </w:rPr>
              <w:t>Guiding Principles and Values</w:t>
            </w:r>
            <w:r w:rsidR="008F2630">
              <w:rPr>
                <w:noProof/>
                <w:webHidden/>
              </w:rPr>
              <w:tab/>
            </w:r>
            <w:r w:rsidR="008F2630">
              <w:rPr>
                <w:noProof/>
                <w:webHidden/>
              </w:rPr>
              <w:fldChar w:fldCharType="begin"/>
            </w:r>
            <w:r w:rsidR="008F2630">
              <w:rPr>
                <w:noProof/>
                <w:webHidden/>
              </w:rPr>
              <w:instrText xml:space="preserve"> PAGEREF _Toc411949929 \h </w:instrText>
            </w:r>
            <w:r w:rsidR="008F2630">
              <w:rPr>
                <w:noProof/>
                <w:webHidden/>
              </w:rPr>
            </w:r>
            <w:r w:rsidR="008F2630">
              <w:rPr>
                <w:noProof/>
                <w:webHidden/>
              </w:rPr>
              <w:fldChar w:fldCharType="separate"/>
            </w:r>
            <w:r w:rsidR="008F2630">
              <w:rPr>
                <w:noProof/>
                <w:webHidden/>
              </w:rPr>
              <w:t>25</w:t>
            </w:r>
            <w:r w:rsidR="008F2630">
              <w:rPr>
                <w:noProof/>
                <w:webHidden/>
              </w:rPr>
              <w:fldChar w:fldCharType="end"/>
            </w:r>
          </w:hyperlink>
        </w:p>
        <w:p w14:paraId="725B77A6" w14:textId="77777777" w:rsidR="008F2630" w:rsidRDefault="00C92C73">
          <w:pPr>
            <w:pStyle w:val="TOC1"/>
            <w:tabs>
              <w:tab w:val="left" w:pos="480"/>
              <w:tab w:val="right" w:leader="dot" w:pos="9350"/>
            </w:tabs>
            <w:rPr>
              <w:rFonts w:asciiTheme="minorHAnsi" w:eastAsiaTheme="minorEastAsia" w:hAnsiTheme="minorHAnsi"/>
              <w:noProof/>
              <w:sz w:val="22"/>
              <w:lang w:val="en-GB" w:eastAsia="en-GB"/>
            </w:rPr>
          </w:pPr>
          <w:hyperlink w:anchor="_Toc411949930" w:history="1">
            <w:r w:rsidR="008F2630" w:rsidRPr="004F7865">
              <w:rPr>
                <w:rStyle w:val="Hyperlink"/>
                <w:noProof/>
              </w:rPr>
              <w:t>5</w:t>
            </w:r>
            <w:r w:rsidR="008F2630">
              <w:rPr>
                <w:rFonts w:asciiTheme="minorHAnsi" w:eastAsiaTheme="minorEastAsia" w:hAnsiTheme="minorHAnsi"/>
                <w:noProof/>
                <w:sz w:val="22"/>
                <w:lang w:val="en-GB" w:eastAsia="en-GB"/>
              </w:rPr>
              <w:tab/>
            </w:r>
            <w:r w:rsidR="008F2630" w:rsidRPr="004F7865">
              <w:rPr>
                <w:rStyle w:val="Hyperlink"/>
                <w:noProof/>
              </w:rPr>
              <w:t>Strategic Interventions</w:t>
            </w:r>
            <w:r w:rsidR="008F2630">
              <w:rPr>
                <w:noProof/>
                <w:webHidden/>
              </w:rPr>
              <w:tab/>
            </w:r>
            <w:r w:rsidR="008F2630">
              <w:rPr>
                <w:noProof/>
                <w:webHidden/>
              </w:rPr>
              <w:fldChar w:fldCharType="begin"/>
            </w:r>
            <w:r w:rsidR="008F2630">
              <w:rPr>
                <w:noProof/>
                <w:webHidden/>
              </w:rPr>
              <w:instrText xml:space="preserve"> PAGEREF _Toc411949930 \h </w:instrText>
            </w:r>
            <w:r w:rsidR="008F2630">
              <w:rPr>
                <w:noProof/>
                <w:webHidden/>
              </w:rPr>
            </w:r>
            <w:r w:rsidR="008F2630">
              <w:rPr>
                <w:noProof/>
                <w:webHidden/>
              </w:rPr>
              <w:fldChar w:fldCharType="separate"/>
            </w:r>
            <w:r w:rsidR="008F2630">
              <w:rPr>
                <w:noProof/>
                <w:webHidden/>
              </w:rPr>
              <w:t>28</w:t>
            </w:r>
            <w:r w:rsidR="008F2630">
              <w:rPr>
                <w:noProof/>
                <w:webHidden/>
              </w:rPr>
              <w:fldChar w:fldCharType="end"/>
            </w:r>
          </w:hyperlink>
        </w:p>
        <w:p w14:paraId="3A0A112B" w14:textId="77777777" w:rsidR="008F2630" w:rsidRDefault="00C92C73">
          <w:pPr>
            <w:pStyle w:val="TOC2"/>
            <w:tabs>
              <w:tab w:val="left" w:pos="880"/>
              <w:tab w:val="right" w:leader="dot" w:pos="9350"/>
            </w:tabs>
            <w:rPr>
              <w:rFonts w:asciiTheme="minorHAnsi" w:eastAsiaTheme="minorEastAsia" w:hAnsiTheme="minorHAnsi"/>
              <w:noProof/>
              <w:sz w:val="22"/>
              <w:lang w:val="en-GB" w:eastAsia="en-GB"/>
            </w:rPr>
          </w:pPr>
          <w:hyperlink w:anchor="_Toc411949931" w:history="1">
            <w:r w:rsidR="008F2630" w:rsidRPr="004F7865">
              <w:rPr>
                <w:rStyle w:val="Hyperlink"/>
                <w:noProof/>
              </w:rPr>
              <w:t>5.1</w:t>
            </w:r>
            <w:r w:rsidR="008F2630">
              <w:rPr>
                <w:rFonts w:asciiTheme="minorHAnsi" w:eastAsiaTheme="minorEastAsia" w:hAnsiTheme="minorHAnsi"/>
                <w:noProof/>
                <w:sz w:val="22"/>
                <w:lang w:val="en-GB" w:eastAsia="en-GB"/>
              </w:rPr>
              <w:tab/>
            </w:r>
            <w:r w:rsidR="008F2630" w:rsidRPr="004F7865">
              <w:rPr>
                <w:rStyle w:val="Hyperlink"/>
                <w:noProof/>
              </w:rPr>
              <w:t>Governance</w:t>
            </w:r>
            <w:r w:rsidR="008F2630">
              <w:rPr>
                <w:noProof/>
                <w:webHidden/>
              </w:rPr>
              <w:tab/>
            </w:r>
            <w:r w:rsidR="008F2630">
              <w:rPr>
                <w:noProof/>
                <w:webHidden/>
              </w:rPr>
              <w:fldChar w:fldCharType="begin"/>
            </w:r>
            <w:r w:rsidR="008F2630">
              <w:rPr>
                <w:noProof/>
                <w:webHidden/>
              </w:rPr>
              <w:instrText xml:space="preserve"> PAGEREF _Toc411949931 \h </w:instrText>
            </w:r>
            <w:r w:rsidR="008F2630">
              <w:rPr>
                <w:noProof/>
                <w:webHidden/>
              </w:rPr>
            </w:r>
            <w:r w:rsidR="008F2630">
              <w:rPr>
                <w:noProof/>
                <w:webHidden/>
              </w:rPr>
              <w:fldChar w:fldCharType="separate"/>
            </w:r>
            <w:r w:rsidR="008F2630">
              <w:rPr>
                <w:noProof/>
                <w:webHidden/>
              </w:rPr>
              <w:t>29</w:t>
            </w:r>
            <w:r w:rsidR="008F2630">
              <w:rPr>
                <w:noProof/>
                <w:webHidden/>
              </w:rPr>
              <w:fldChar w:fldCharType="end"/>
            </w:r>
          </w:hyperlink>
        </w:p>
        <w:p w14:paraId="2F416DD2" w14:textId="77777777" w:rsidR="008F2630" w:rsidRDefault="00C92C73">
          <w:pPr>
            <w:pStyle w:val="TOC3"/>
            <w:rPr>
              <w:rFonts w:asciiTheme="minorHAnsi" w:eastAsiaTheme="minorEastAsia" w:hAnsiTheme="minorHAnsi"/>
              <w:noProof/>
              <w:sz w:val="22"/>
              <w:lang w:val="en-GB" w:eastAsia="en-GB"/>
            </w:rPr>
          </w:pPr>
          <w:hyperlink w:anchor="_Toc411949932" w:history="1">
            <w:r w:rsidR="008F2630" w:rsidRPr="004F7865">
              <w:rPr>
                <w:rStyle w:val="Hyperlink"/>
                <w:noProof/>
              </w:rPr>
              <w:t>5.1.1</w:t>
            </w:r>
            <w:r w:rsidR="008F2630">
              <w:rPr>
                <w:rFonts w:asciiTheme="minorHAnsi" w:eastAsiaTheme="minorEastAsia" w:hAnsiTheme="minorHAnsi"/>
                <w:noProof/>
                <w:sz w:val="22"/>
                <w:lang w:val="en-GB" w:eastAsia="en-GB"/>
              </w:rPr>
              <w:tab/>
            </w:r>
            <w:r w:rsidR="008F2630" w:rsidRPr="004F7865">
              <w:rPr>
                <w:rStyle w:val="Hyperlink"/>
                <w:noProof/>
              </w:rPr>
              <w:t>Objective 1: Develop a sound, responsive and adequate health financing legal and regulatory framework.</w:t>
            </w:r>
            <w:r w:rsidR="008F2630">
              <w:rPr>
                <w:noProof/>
                <w:webHidden/>
              </w:rPr>
              <w:tab/>
            </w:r>
            <w:r w:rsidR="008F2630">
              <w:rPr>
                <w:noProof/>
                <w:webHidden/>
              </w:rPr>
              <w:fldChar w:fldCharType="begin"/>
            </w:r>
            <w:r w:rsidR="008F2630">
              <w:rPr>
                <w:noProof/>
                <w:webHidden/>
              </w:rPr>
              <w:instrText xml:space="preserve"> PAGEREF _Toc411949932 \h </w:instrText>
            </w:r>
            <w:r w:rsidR="008F2630">
              <w:rPr>
                <w:noProof/>
                <w:webHidden/>
              </w:rPr>
            </w:r>
            <w:r w:rsidR="008F2630">
              <w:rPr>
                <w:noProof/>
                <w:webHidden/>
              </w:rPr>
              <w:fldChar w:fldCharType="separate"/>
            </w:r>
            <w:r w:rsidR="008F2630">
              <w:rPr>
                <w:noProof/>
                <w:webHidden/>
              </w:rPr>
              <w:t>29</w:t>
            </w:r>
            <w:r w:rsidR="008F2630">
              <w:rPr>
                <w:noProof/>
                <w:webHidden/>
              </w:rPr>
              <w:fldChar w:fldCharType="end"/>
            </w:r>
          </w:hyperlink>
        </w:p>
        <w:p w14:paraId="7C1EEAE6" w14:textId="77777777" w:rsidR="008F2630" w:rsidRDefault="00C92C73">
          <w:pPr>
            <w:pStyle w:val="TOC3"/>
            <w:rPr>
              <w:rFonts w:asciiTheme="minorHAnsi" w:eastAsiaTheme="minorEastAsia" w:hAnsiTheme="minorHAnsi"/>
              <w:noProof/>
              <w:sz w:val="22"/>
              <w:lang w:val="en-GB" w:eastAsia="en-GB"/>
            </w:rPr>
          </w:pPr>
          <w:hyperlink w:anchor="_Toc411949933" w:history="1">
            <w:r w:rsidR="008F2630" w:rsidRPr="004F7865">
              <w:rPr>
                <w:rStyle w:val="Hyperlink"/>
                <w:noProof/>
              </w:rPr>
              <w:t>Strategy 1: Establish SNHI Legal and Regulatory Framework</w:t>
            </w:r>
            <w:r w:rsidR="008F2630">
              <w:rPr>
                <w:noProof/>
                <w:webHidden/>
              </w:rPr>
              <w:tab/>
            </w:r>
            <w:r w:rsidR="008F2630">
              <w:rPr>
                <w:noProof/>
                <w:webHidden/>
              </w:rPr>
              <w:fldChar w:fldCharType="begin"/>
            </w:r>
            <w:r w:rsidR="008F2630">
              <w:rPr>
                <w:noProof/>
                <w:webHidden/>
              </w:rPr>
              <w:instrText xml:space="preserve"> PAGEREF _Toc411949933 \h </w:instrText>
            </w:r>
            <w:r w:rsidR="008F2630">
              <w:rPr>
                <w:noProof/>
                <w:webHidden/>
              </w:rPr>
            </w:r>
            <w:r w:rsidR="008F2630">
              <w:rPr>
                <w:noProof/>
                <w:webHidden/>
              </w:rPr>
              <w:fldChar w:fldCharType="separate"/>
            </w:r>
            <w:r w:rsidR="008F2630">
              <w:rPr>
                <w:noProof/>
                <w:webHidden/>
              </w:rPr>
              <w:t>29</w:t>
            </w:r>
            <w:r w:rsidR="008F2630">
              <w:rPr>
                <w:noProof/>
                <w:webHidden/>
              </w:rPr>
              <w:fldChar w:fldCharType="end"/>
            </w:r>
          </w:hyperlink>
        </w:p>
        <w:p w14:paraId="4926830C" w14:textId="77777777" w:rsidR="008F2630" w:rsidRDefault="00C92C73">
          <w:pPr>
            <w:pStyle w:val="TOC3"/>
            <w:rPr>
              <w:rFonts w:asciiTheme="minorHAnsi" w:eastAsiaTheme="minorEastAsia" w:hAnsiTheme="minorHAnsi"/>
              <w:noProof/>
              <w:sz w:val="22"/>
              <w:lang w:val="en-GB" w:eastAsia="en-GB"/>
            </w:rPr>
          </w:pPr>
          <w:hyperlink w:anchor="_Toc411949934" w:history="1">
            <w:r w:rsidR="008F2630" w:rsidRPr="004F7865">
              <w:rPr>
                <w:rStyle w:val="Hyperlink"/>
                <w:noProof/>
              </w:rPr>
              <w:t>5.1.2</w:t>
            </w:r>
            <w:r w:rsidR="008F2630">
              <w:rPr>
                <w:rFonts w:asciiTheme="minorHAnsi" w:eastAsiaTheme="minorEastAsia" w:hAnsiTheme="minorHAnsi"/>
                <w:noProof/>
                <w:sz w:val="22"/>
                <w:lang w:val="en-GB" w:eastAsia="en-GB"/>
              </w:rPr>
              <w:tab/>
            </w:r>
            <w:r w:rsidR="008F2630" w:rsidRPr="004F7865">
              <w:rPr>
                <w:rStyle w:val="Hyperlink"/>
                <w:noProof/>
              </w:rPr>
              <w:t>Objective 2: Establish institutional structure with clearly defined roles and responsibilities which reflects the voice of the community/user of the health system and moves the reforms towards mandatory SNHI.</w:t>
            </w:r>
            <w:r w:rsidR="008F2630">
              <w:rPr>
                <w:noProof/>
                <w:webHidden/>
              </w:rPr>
              <w:tab/>
            </w:r>
            <w:r w:rsidR="008F2630">
              <w:rPr>
                <w:noProof/>
                <w:webHidden/>
              </w:rPr>
              <w:fldChar w:fldCharType="begin"/>
            </w:r>
            <w:r w:rsidR="008F2630">
              <w:rPr>
                <w:noProof/>
                <w:webHidden/>
              </w:rPr>
              <w:instrText xml:space="preserve"> PAGEREF _Toc411949934 \h </w:instrText>
            </w:r>
            <w:r w:rsidR="008F2630">
              <w:rPr>
                <w:noProof/>
                <w:webHidden/>
              </w:rPr>
            </w:r>
            <w:r w:rsidR="008F2630">
              <w:rPr>
                <w:noProof/>
                <w:webHidden/>
              </w:rPr>
              <w:fldChar w:fldCharType="separate"/>
            </w:r>
            <w:r w:rsidR="008F2630">
              <w:rPr>
                <w:noProof/>
                <w:webHidden/>
              </w:rPr>
              <w:t>30</w:t>
            </w:r>
            <w:r w:rsidR="008F2630">
              <w:rPr>
                <w:noProof/>
                <w:webHidden/>
              </w:rPr>
              <w:fldChar w:fldCharType="end"/>
            </w:r>
          </w:hyperlink>
        </w:p>
        <w:p w14:paraId="657E492F" w14:textId="77777777" w:rsidR="008F2630" w:rsidRDefault="00C92C73">
          <w:pPr>
            <w:pStyle w:val="TOC3"/>
            <w:rPr>
              <w:rFonts w:asciiTheme="minorHAnsi" w:eastAsiaTheme="minorEastAsia" w:hAnsiTheme="minorHAnsi"/>
              <w:noProof/>
              <w:sz w:val="22"/>
              <w:lang w:val="en-GB" w:eastAsia="en-GB"/>
            </w:rPr>
          </w:pPr>
          <w:hyperlink w:anchor="_Toc411949935" w:history="1">
            <w:r w:rsidR="008F2630" w:rsidRPr="004F7865">
              <w:rPr>
                <w:rStyle w:val="Hyperlink"/>
                <w:noProof/>
              </w:rPr>
              <w:t>Strategy 2: Establish and operate SNHI institutional structure, roles and relationships</w:t>
            </w:r>
            <w:r w:rsidR="008F2630">
              <w:rPr>
                <w:noProof/>
                <w:webHidden/>
              </w:rPr>
              <w:tab/>
            </w:r>
            <w:r w:rsidR="008F2630">
              <w:rPr>
                <w:noProof/>
                <w:webHidden/>
              </w:rPr>
              <w:fldChar w:fldCharType="begin"/>
            </w:r>
            <w:r w:rsidR="008F2630">
              <w:rPr>
                <w:noProof/>
                <w:webHidden/>
              </w:rPr>
              <w:instrText xml:space="preserve"> PAGEREF _Toc411949935 \h </w:instrText>
            </w:r>
            <w:r w:rsidR="008F2630">
              <w:rPr>
                <w:noProof/>
                <w:webHidden/>
              </w:rPr>
            </w:r>
            <w:r w:rsidR="008F2630">
              <w:rPr>
                <w:noProof/>
                <w:webHidden/>
              </w:rPr>
              <w:fldChar w:fldCharType="separate"/>
            </w:r>
            <w:r w:rsidR="008F2630">
              <w:rPr>
                <w:noProof/>
                <w:webHidden/>
              </w:rPr>
              <w:t>30</w:t>
            </w:r>
            <w:r w:rsidR="008F2630">
              <w:rPr>
                <w:noProof/>
                <w:webHidden/>
              </w:rPr>
              <w:fldChar w:fldCharType="end"/>
            </w:r>
          </w:hyperlink>
        </w:p>
        <w:p w14:paraId="38CA8A82" w14:textId="77777777" w:rsidR="008F2630" w:rsidRDefault="00C92C73">
          <w:pPr>
            <w:pStyle w:val="TOC2"/>
            <w:tabs>
              <w:tab w:val="left" w:pos="880"/>
              <w:tab w:val="right" w:leader="dot" w:pos="9350"/>
            </w:tabs>
            <w:rPr>
              <w:rFonts w:asciiTheme="minorHAnsi" w:eastAsiaTheme="minorEastAsia" w:hAnsiTheme="minorHAnsi"/>
              <w:noProof/>
              <w:sz w:val="22"/>
              <w:lang w:val="en-GB" w:eastAsia="en-GB"/>
            </w:rPr>
          </w:pPr>
          <w:hyperlink w:anchor="_Toc411949936" w:history="1">
            <w:r w:rsidR="008F2630" w:rsidRPr="004F7865">
              <w:rPr>
                <w:rStyle w:val="Hyperlink"/>
                <w:noProof/>
              </w:rPr>
              <w:t>5.2</w:t>
            </w:r>
            <w:r w:rsidR="008F2630">
              <w:rPr>
                <w:rFonts w:asciiTheme="minorHAnsi" w:eastAsiaTheme="minorEastAsia" w:hAnsiTheme="minorHAnsi"/>
                <w:noProof/>
                <w:sz w:val="22"/>
                <w:lang w:val="en-GB" w:eastAsia="en-GB"/>
              </w:rPr>
              <w:tab/>
            </w:r>
            <w:r w:rsidR="008F2630" w:rsidRPr="004F7865">
              <w:rPr>
                <w:rStyle w:val="Hyperlink"/>
                <w:noProof/>
              </w:rPr>
              <w:t>Revenue Collection</w:t>
            </w:r>
            <w:r w:rsidR="008F2630">
              <w:rPr>
                <w:noProof/>
                <w:webHidden/>
              </w:rPr>
              <w:tab/>
            </w:r>
            <w:r w:rsidR="008F2630">
              <w:rPr>
                <w:noProof/>
                <w:webHidden/>
              </w:rPr>
              <w:fldChar w:fldCharType="begin"/>
            </w:r>
            <w:r w:rsidR="008F2630">
              <w:rPr>
                <w:noProof/>
                <w:webHidden/>
              </w:rPr>
              <w:instrText xml:space="preserve"> PAGEREF _Toc411949936 \h </w:instrText>
            </w:r>
            <w:r w:rsidR="008F2630">
              <w:rPr>
                <w:noProof/>
                <w:webHidden/>
              </w:rPr>
            </w:r>
            <w:r w:rsidR="008F2630">
              <w:rPr>
                <w:noProof/>
                <w:webHidden/>
              </w:rPr>
              <w:fldChar w:fldCharType="separate"/>
            </w:r>
            <w:r w:rsidR="008F2630">
              <w:rPr>
                <w:noProof/>
                <w:webHidden/>
              </w:rPr>
              <w:t>34</w:t>
            </w:r>
            <w:r w:rsidR="008F2630">
              <w:rPr>
                <w:noProof/>
                <w:webHidden/>
              </w:rPr>
              <w:fldChar w:fldCharType="end"/>
            </w:r>
          </w:hyperlink>
        </w:p>
        <w:p w14:paraId="4D306F6C" w14:textId="77777777" w:rsidR="008F2630" w:rsidRDefault="00C92C73">
          <w:pPr>
            <w:pStyle w:val="TOC3"/>
            <w:rPr>
              <w:rFonts w:asciiTheme="minorHAnsi" w:eastAsiaTheme="minorEastAsia" w:hAnsiTheme="minorHAnsi"/>
              <w:noProof/>
              <w:sz w:val="22"/>
              <w:lang w:val="en-GB" w:eastAsia="en-GB"/>
            </w:rPr>
          </w:pPr>
          <w:hyperlink w:anchor="_Toc411949937" w:history="1">
            <w:r w:rsidR="008F2630" w:rsidRPr="004F7865">
              <w:rPr>
                <w:rStyle w:val="Hyperlink"/>
                <w:noProof/>
              </w:rPr>
              <w:t>5.2.1</w:t>
            </w:r>
            <w:r w:rsidR="008F2630">
              <w:rPr>
                <w:rFonts w:asciiTheme="minorHAnsi" w:eastAsiaTheme="minorEastAsia" w:hAnsiTheme="minorHAnsi"/>
                <w:noProof/>
                <w:sz w:val="22"/>
                <w:lang w:val="en-GB" w:eastAsia="en-GB"/>
              </w:rPr>
              <w:tab/>
            </w:r>
            <w:r w:rsidR="008F2630" w:rsidRPr="004F7865">
              <w:rPr>
                <w:rStyle w:val="Hyperlink"/>
                <w:noProof/>
              </w:rPr>
              <w:t>Objective 3: Strengthen Revenue Collection/Mobilization for the Health Sector</w:t>
            </w:r>
            <w:r w:rsidR="008F2630">
              <w:rPr>
                <w:noProof/>
                <w:webHidden/>
              </w:rPr>
              <w:tab/>
            </w:r>
            <w:r w:rsidR="008F2630">
              <w:rPr>
                <w:noProof/>
                <w:webHidden/>
              </w:rPr>
              <w:fldChar w:fldCharType="begin"/>
            </w:r>
            <w:r w:rsidR="008F2630">
              <w:rPr>
                <w:noProof/>
                <w:webHidden/>
              </w:rPr>
              <w:instrText xml:space="preserve"> PAGEREF _Toc411949937 \h </w:instrText>
            </w:r>
            <w:r w:rsidR="008F2630">
              <w:rPr>
                <w:noProof/>
                <w:webHidden/>
              </w:rPr>
            </w:r>
            <w:r w:rsidR="008F2630">
              <w:rPr>
                <w:noProof/>
                <w:webHidden/>
              </w:rPr>
              <w:fldChar w:fldCharType="separate"/>
            </w:r>
            <w:r w:rsidR="008F2630">
              <w:rPr>
                <w:noProof/>
                <w:webHidden/>
              </w:rPr>
              <w:t>34</w:t>
            </w:r>
            <w:r w:rsidR="008F2630">
              <w:rPr>
                <w:noProof/>
                <w:webHidden/>
              </w:rPr>
              <w:fldChar w:fldCharType="end"/>
            </w:r>
          </w:hyperlink>
        </w:p>
        <w:p w14:paraId="562F660A" w14:textId="77777777" w:rsidR="008F2630" w:rsidRDefault="00C92C73">
          <w:pPr>
            <w:pStyle w:val="TOC3"/>
            <w:rPr>
              <w:rFonts w:asciiTheme="minorHAnsi" w:eastAsiaTheme="minorEastAsia" w:hAnsiTheme="minorHAnsi"/>
              <w:noProof/>
              <w:sz w:val="22"/>
              <w:lang w:val="en-GB" w:eastAsia="en-GB"/>
            </w:rPr>
          </w:pPr>
          <w:hyperlink w:anchor="_Toc411949938" w:history="1">
            <w:r w:rsidR="008F2630" w:rsidRPr="004F7865">
              <w:rPr>
                <w:rStyle w:val="Hyperlink"/>
                <w:noProof/>
              </w:rPr>
              <w:t>Strategy 3: Increase Government and Private Contributions to the Health Sector</w:t>
            </w:r>
            <w:r w:rsidR="008F2630">
              <w:rPr>
                <w:noProof/>
                <w:webHidden/>
              </w:rPr>
              <w:tab/>
            </w:r>
            <w:r w:rsidR="008F2630">
              <w:rPr>
                <w:noProof/>
                <w:webHidden/>
              </w:rPr>
              <w:fldChar w:fldCharType="begin"/>
            </w:r>
            <w:r w:rsidR="008F2630">
              <w:rPr>
                <w:noProof/>
                <w:webHidden/>
              </w:rPr>
              <w:instrText xml:space="preserve"> PAGEREF _Toc411949938 \h </w:instrText>
            </w:r>
            <w:r w:rsidR="008F2630">
              <w:rPr>
                <w:noProof/>
                <w:webHidden/>
              </w:rPr>
            </w:r>
            <w:r w:rsidR="008F2630">
              <w:rPr>
                <w:noProof/>
                <w:webHidden/>
              </w:rPr>
              <w:fldChar w:fldCharType="separate"/>
            </w:r>
            <w:r w:rsidR="008F2630">
              <w:rPr>
                <w:noProof/>
                <w:webHidden/>
              </w:rPr>
              <w:t>34</w:t>
            </w:r>
            <w:r w:rsidR="008F2630">
              <w:rPr>
                <w:noProof/>
                <w:webHidden/>
              </w:rPr>
              <w:fldChar w:fldCharType="end"/>
            </w:r>
          </w:hyperlink>
        </w:p>
        <w:p w14:paraId="736A655F" w14:textId="77777777" w:rsidR="008F2630" w:rsidRDefault="00C92C73">
          <w:pPr>
            <w:pStyle w:val="TOC3"/>
            <w:rPr>
              <w:rFonts w:asciiTheme="minorHAnsi" w:eastAsiaTheme="minorEastAsia" w:hAnsiTheme="minorHAnsi"/>
              <w:noProof/>
              <w:sz w:val="22"/>
              <w:lang w:val="en-GB" w:eastAsia="en-GB"/>
            </w:rPr>
          </w:pPr>
          <w:hyperlink w:anchor="_Toc411949939" w:history="1">
            <w:r w:rsidR="008F2630" w:rsidRPr="004F7865">
              <w:rPr>
                <w:rStyle w:val="Hyperlink"/>
                <w:noProof/>
              </w:rPr>
              <w:t>Strategy 4: Make Health Insurance Mandatory to All</w:t>
            </w:r>
            <w:r w:rsidR="008F2630">
              <w:rPr>
                <w:noProof/>
                <w:webHidden/>
              </w:rPr>
              <w:tab/>
            </w:r>
            <w:r w:rsidR="008F2630">
              <w:rPr>
                <w:noProof/>
                <w:webHidden/>
              </w:rPr>
              <w:fldChar w:fldCharType="begin"/>
            </w:r>
            <w:r w:rsidR="008F2630">
              <w:rPr>
                <w:noProof/>
                <w:webHidden/>
              </w:rPr>
              <w:instrText xml:space="preserve"> PAGEREF _Toc411949939 \h </w:instrText>
            </w:r>
            <w:r w:rsidR="008F2630">
              <w:rPr>
                <w:noProof/>
                <w:webHidden/>
              </w:rPr>
            </w:r>
            <w:r w:rsidR="008F2630">
              <w:rPr>
                <w:noProof/>
                <w:webHidden/>
              </w:rPr>
              <w:fldChar w:fldCharType="separate"/>
            </w:r>
            <w:r w:rsidR="008F2630">
              <w:rPr>
                <w:noProof/>
                <w:webHidden/>
              </w:rPr>
              <w:t>37</w:t>
            </w:r>
            <w:r w:rsidR="008F2630">
              <w:rPr>
                <w:noProof/>
                <w:webHidden/>
              </w:rPr>
              <w:fldChar w:fldCharType="end"/>
            </w:r>
          </w:hyperlink>
        </w:p>
        <w:p w14:paraId="53BFE240" w14:textId="77777777" w:rsidR="008F2630" w:rsidRDefault="00C92C73">
          <w:pPr>
            <w:pStyle w:val="TOC2"/>
            <w:tabs>
              <w:tab w:val="left" w:pos="880"/>
              <w:tab w:val="right" w:leader="dot" w:pos="9350"/>
            </w:tabs>
            <w:rPr>
              <w:rFonts w:asciiTheme="minorHAnsi" w:eastAsiaTheme="minorEastAsia" w:hAnsiTheme="minorHAnsi"/>
              <w:noProof/>
              <w:sz w:val="22"/>
              <w:lang w:val="en-GB" w:eastAsia="en-GB"/>
            </w:rPr>
          </w:pPr>
          <w:hyperlink w:anchor="_Toc411949940" w:history="1">
            <w:r w:rsidR="008F2630" w:rsidRPr="004F7865">
              <w:rPr>
                <w:rStyle w:val="Hyperlink"/>
                <w:noProof/>
              </w:rPr>
              <w:t>5.3</w:t>
            </w:r>
            <w:r w:rsidR="008F2630">
              <w:rPr>
                <w:rFonts w:asciiTheme="minorHAnsi" w:eastAsiaTheme="minorEastAsia" w:hAnsiTheme="minorHAnsi"/>
                <w:noProof/>
                <w:sz w:val="22"/>
                <w:lang w:val="en-GB" w:eastAsia="en-GB"/>
              </w:rPr>
              <w:tab/>
            </w:r>
            <w:r w:rsidR="008F2630" w:rsidRPr="004F7865">
              <w:rPr>
                <w:rStyle w:val="Hyperlink"/>
                <w:noProof/>
              </w:rPr>
              <w:t>Pooling of Funds</w:t>
            </w:r>
            <w:r w:rsidR="008F2630">
              <w:rPr>
                <w:noProof/>
                <w:webHidden/>
              </w:rPr>
              <w:tab/>
            </w:r>
            <w:r w:rsidR="008F2630">
              <w:rPr>
                <w:noProof/>
                <w:webHidden/>
              </w:rPr>
              <w:fldChar w:fldCharType="begin"/>
            </w:r>
            <w:r w:rsidR="008F2630">
              <w:rPr>
                <w:noProof/>
                <w:webHidden/>
              </w:rPr>
              <w:instrText xml:space="preserve"> PAGEREF _Toc411949940 \h </w:instrText>
            </w:r>
            <w:r w:rsidR="008F2630">
              <w:rPr>
                <w:noProof/>
                <w:webHidden/>
              </w:rPr>
            </w:r>
            <w:r w:rsidR="008F2630">
              <w:rPr>
                <w:noProof/>
                <w:webHidden/>
              </w:rPr>
              <w:fldChar w:fldCharType="separate"/>
            </w:r>
            <w:r w:rsidR="008F2630">
              <w:rPr>
                <w:noProof/>
                <w:webHidden/>
              </w:rPr>
              <w:t>38</w:t>
            </w:r>
            <w:r w:rsidR="008F2630">
              <w:rPr>
                <w:noProof/>
                <w:webHidden/>
              </w:rPr>
              <w:fldChar w:fldCharType="end"/>
            </w:r>
          </w:hyperlink>
        </w:p>
        <w:p w14:paraId="03578B18" w14:textId="77777777" w:rsidR="008F2630" w:rsidRDefault="00C92C73">
          <w:pPr>
            <w:pStyle w:val="TOC3"/>
            <w:rPr>
              <w:rFonts w:asciiTheme="minorHAnsi" w:eastAsiaTheme="minorEastAsia" w:hAnsiTheme="minorHAnsi"/>
              <w:noProof/>
              <w:sz w:val="22"/>
              <w:lang w:val="en-GB" w:eastAsia="en-GB"/>
            </w:rPr>
          </w:pPr>
          <w:hyperlink w:anchor="_Toc411949941" w:history="1">
            <w:r w:rsidR="008F2630" w:rsidRPr="004F7865">
              <w:rPr>
                <w:rStyle w:val="Hyperlink"/>
                <w:noProof/>
              </w:rPr>
              <w:t>5.3.1</w:t>
            </w:r>
            <w:r w:rsidR="008F2630">
              <w:rPr>
                <w:rFonts w:asciiTheme="minorHAnsi" w:eastAsiaTheme="minorEastAsia" w:hAnsiTheme="minorHAnsi"/>
                <w:noProof/>
                <w:sz w:val="22"/>
                <w:lang w:val="en-GB" w:eastAsia="en-GB"/>
              </w:rPr>
              <w:tab/>
            </w:r>
            <w:r w:rsidR="008F2630" w:rsidRPr="004F7865">
              <w:rPr>
                <w:rStyle w:val="Hyperlink"/>
                <w:noProof/>
              </w:rPr>
              <w:t>Objective 4: Improve financial and risk pooling mechanisms within the health sector</w:t>
            </w:r>
            <w:r w:rsidR="008F2630">
              <w:rPr>
                <w:noProof/>
                <w:webHidden/>
              </w:rPr>
              <w:tab/>
            </w:r>
            <w:r w:rsidR="008F2630">
              <w:rPr>
                <w:noProof/>
                <w:webHidden/>
              </w:rPr>
              <w:fldChar w:fldCharType="begin"/>
            </w:r>
            <w:r w:rsidR="008F2630">
              <w:rPr>
                <w:noProof/>
                <w:webHidden/>
              </w:rPr>
              <w:instrText xml:space="preserve"> PAGEREF _Toc411949941 \h </w:instrText>
            </w:r>
            <w:r w:rsidR="008F2630">
              <w:rPr>
                <w:noProof/>
                <w:webHidden/>
              </w:rPr>
            </w:r>
            <w:r w:rsidR="008F2630">
              <w:rPr>
                <w:noProof/>
                <w:webHidden/>
              </w:rPr>
              <w:fldChar w:fldCharType="separate"/>
            </w:r>
            <w:r w:rsidR="008F2630">
              <w:rPr>
                <w:noProof/>
                <w:webHidden/>
              </w:rPr>
              <w:t>38</w:t>
            </w:r>
            <w:r w:rsidR="008F2630">
              <w:rPr>
                <w:noProof/>
                <w:webHidden/>
              </w:rPr>
              <w:fldChar w:fldCharType="end"/>
            </w:r>
          </w:hyperlink>
        </w:p>
        <w:p w14:paraId="507FC307" w14:textId="77777777" w:rsidR="008F2630" w:rsidRDefault="00C92C73">
          <w:pPr>
            <w:pStyle w:val="TOC3"/>
            <w:rPr>
              <w:rFonts w:asciiTheme="minorHAnsi" w:eastAsiaTheme="minorEastAsia" w:hAnsiTheme="minorHAnsi"/>
              <w:noProof/>
              <w:sz w:val="22"/>
              <w:lang w:val="en-GB" w:eastAsia="en-GB"/>
            </w:rPr>
          </w:pPr>
          <w:hyperlink w:anchor="_Toc411949942" w:history="1">
            <w:r w:rsidR="008F2630" w:rsidRPr="004F7865">
              <w:rPr>
                <w:rStyle w:val="Hyperlink"/>
                <w:noProof/>
              </w:rPr>
              <w:t>Strategy 5: Create one National Financial and Risk Pool for Health</w:t>
            </w:r>
            <w:r w:rsidR="008F2630">
              <w:rPr>
                <w:noProof/>
                <w:webHidden/>
              </w:rPr>
              <w:tab/>
            </w:r>
            <w:r w:rsidR="008F2630">
              <w:rPr>
                <w:noProof/>
                <w:webHidden/>
              </w:rPr>
              <w:fldChar w:fldCharType="begin"/>
            </w:r>
            <w:r w:rsidR="008F2630">
              <w:rPr>
                <w:noProof/>
                <w:webHidden/>
              </w:rPr>
              <w:instrText xml:space="preserve"> PAGEREF _Toc411949942 \h </w:instrText>
            </w:r>
            <w:r w:rsidR="008F2630">
              <w:rPr>
                <w:noProof/>
                <w:webHidden/>
              </w:rPr>
            </w:r>
            <w:r w:rsidR="008F2630">
              <w:rPr>
                <w:noProof/>
                <w:webHidden/>
              </w:rPr>
              <w:fldChar w:fldCharType="separate"/>
            </w:r>
            <w:r w:rsidR="008F2630">
              <w:rPr>
                <w:noProof/>
                <w:webHidden/>
              </w:rPr>
              <w:t>38</w:t>
            </w:r>
            <w:r w:rsidR="008F2630">
              <w:rPr>
                <w:noProof/>
                <w:webHidden/>
              </w:rPr>
              <w:fldChar w:fldCharType="end"/>
            </w:r>
          </w:hyperlink>
        </w:p>
        <w:p w14:paraId="5069BCEF" w14:textId="77777777" w:rsidR="008F2630" w:rsidRDefault="00C92C73">
          <w:pPr>
            <w:pStyle w:val="TOC3"/>
            <w:rPr>
              <w:rFonts w:asciiTheme="minorHAnsi" w:eastAsiaTheme="minorEastAsia" w:hAnsiTheme="minorHAnsi"/>
              <w:noProof/>
              <w:sz w:val="22"/>
              <w:lang w:val="en-GB" w:eastAsia="en-GB"/>
            </w:rPr>
          </w:pPr>
          <w:hyperlink w:anchor="_Toc411949943" w:history="1">
            <w:r w:rsidR="008F2630" w:rsidRPr="004F7865">
              <w:rPr>
                <w:rStyle w:val="Hyperlink"/>
                <w:noProof/>
              </w:rPr>
              <w:t>5.3.2</w:t>
            </w:r>
            <w:r w:rsidR="008F2630">
              <w:rPr>
                <w:rFonts w:asciiTheme="minorHAnsi" w:eastAsiaTheme="minorEastAsia" w:hAnsiTheme="minorHAnsi"/>
                <w:noProof/>
                <w:sz w:val="22"/>
                <w:lang w:val="en-GB" w:eastAsia="en-GB"/>
              </w:rPr>
              <w:tab/>
            </w:r>
            <w:r w:rsidR="008F2630" w:rsidRPr="004F7865">
              <w:rPr>
                <w:rStyle w:val="Hyperlink"/>
                <w:noProof/>
              </w:rPr>
              <w:t>Objective 5: Develop a health financing system which is responsive to the needs of the poor, by ensuring effective identification and inclusion mechanisms of the poor</w:t>
            </w:r>
            <w:r w:rsidR="008F2630">
              <w:rPr>
                <w:noProof/>
                <w:webHidden/>
              </w:rPr>
              <w:tab/>
            </w:r>
            <w:r w:rsidR="008F2630">
              <w:rPr>
                <w:noProof/>
                <w:webHidden/>
              </w:rPr>
              <w:fldChar w:fldCharType="begin"/>
            </w:r>
            <w:r w:rsidR="008F2630">
              <w:rPr>
                <w:noProof/>
                <w:webHidden/>
              </w:rPr>
              <w:instrText xml:space="preserve"> PAGEREF _Toc411949943 \h </w:instrText>
            </w:r>
            <w:r w:rsidR="008F2630">
              <w:rPr>
                <w:noProof/>
                <w:webHidden/>
              </w:rPr>
            </w:r>
            <w:r w:rsidR="008F2630">
              <w:rPr>
                <w:noProof/>
                <w:webHidden/>
              </w:rPr>
              <w:fldChar w:fldCharType="separate"/>
            </w:r>
            <w:r w:rsidR="008F2630">
              <w:rPr>
                <w:noProof/>
                <w:webHidden/>
              </w:rPr>
              <w:t>39</w:t>
            </w:r>
            <w:r w:rsidR="008F2630">
              <w:rPr>
                <w:noProof/>
                <w:webHidden/>
              </w:rPr>
              <w:fldChar w:fldCharType="end"/>
            </w:r>
          </w:hyperlink>
        </w:p>
        <w:p w14:paraId="0381EB0E" w14:textId="77777777" w:rsidR="008F2630" w:rsidRDefault="00C92C73">
          <w:pPr>
            <w:pStyle w:val="TOC3"/>
            <w:rPr>
              <w:rFonts w:asciiTheme="minorHAnsi" w:eastAsiaTheme="minorEastAsia" w:hAnsiTheme="minorHAnsi"/>
              <w:noProof/>
              <w:sz w:val="22"/>
              <w:lang w:val="en-GB" w:eastAsia="en-GB"/>
            </w:rPr>
          </w:pPr>
          <w:hyperlink w:anchor="_Toc411949944" w:history="1">
            <w:r w:rsidR="008F2630" w:rsidRPr="004F7865">
              <w:rPr>
                <w:rStyle w:val="Hyperlink"/>
                <w:noProof/>
              </w:rPr>
              <w:t>Strategy 6: Guarantee Health Insurance Coverage for the Poor and Vulnerable</w:t>
            </w:r>
            <w:r w:rsidR="008F2630">
              <w:rPr>
                <w:noProof/>
                <w:webHidden/>
              </w:rPr>
              <w:tab/>
            </w:r>
            <w:r w:rsidR="008F2630">
              <w:rPr>
                <w:noProof/>
                <w:webHidden/>
              </w:rPr>
              <w:fldChar w:fldCharType="begin"/>
            </w:r>
            <w:r w:rsidR="008F2630">
              <w:rPr>
                <w:noProof/>
                <w:webHidden/>
              </w:rPr>
              <w:instrText xml:space="preserve"> PAGEREF _Toc411949944 \h </w:instrText>
            </w:r>
            <w:r w:rsidR="008F2630">
              <w:rPr>
                <w:noProof/>
                <w:webHidden/>
              </w:rPr>
            </w:r>
            <w:r w:rsidR="008F2630">
              <w:rPr>
                <w:noProof/>
                <w:webHidden/>
              </w:rPr>
              <w:fldChar w:fldCharType="separate"/>
            </w:r>
            <w:r w:rsidR="008F2630">
              <w:rPr>
                <w:noProof/>
                <w:webHidden/>
              </w:rPr>
              <w:t>39</w:t>
            </w:r>
            <w:r w:rsidR="008F2630">
              <w:rPr>
                <w:noProof/>
                <w:webHidden/>
              </w:rPr>
              <w:fldChar w:fldCharType="end"/>
            </w:r>
          </w:hyperlink>
        </w:p>
        <w:p w14:paraId="2A231D7A" w14:textId="77777777" w:rsidR="008F2630" w:rsidRDefault="00C92C73">
          <w:pPr>
            <w:pStyle w:val="TOC2"/>
            <w:tabs>
              <w:tab w:val="left" w:pos="880"/>
              <w:tab w:val="right" w:leader="dot" w:pos="9350"/>
            </w:tabs>
            <w:rPr>
              <w:rFonts w:asciiTheme="minorHAnsi" w:eastAsiaTheme="minorEastAsia" w:hAnsiTheme="minorHAnsi"/>
              <w:noProof/>
              <w:sz w:val="22"/>
              <w:lang w:val="en-GB" w:eastAsia="en-GB"/>
            </w:rPr>
          </w:pPr>
          <w:hyperlink w:anchor="_Toc411949945" w:history="1">
            <w:r w:rsidR="008F2630" w:rsidRPr="004F7865">
              <w:rPr>
                <w:rStyle w:val="Hyperlink"/>
                <w:rFonts w:ascii="Cambria" w:eastAsia="Times New Roman" w:hAnsi="Cambria" w:cs="Times New Roman"/>
                <w:noProof/>
              </w:rPr>
              <w:t>5.4</w:t>
            </w:r>
            <w:r w:rsidR="008F2630">
              <w:rPr>
                <w:rFonts w:asciiTheme="minorHAnsi" w:eastAsiaTheme="minorEastAsia" w:hAnsiTheme="minorHAnsi"/>
                <w:noProof/>
                <w:sz w:val="22"/>
                <w:lang w:val="en-GB" w:eastAsia="en-GB"/>
              </w:rPr>
              <w:tab/>
            </w:r>
            <w:r w:rsidR="008F2630" w:rsidRPr="004F7865">
              <w:rPr>
                <w:rStyle w:val="Hyperlink"/>
                <w:rFonts w:ascii="Cambria" w:eastAsia="Times New Roman" w:hAnsi="Cambria" w:cs="Times New Roman"/>
                <w:noProof/>
              </w:rPr>
              <w:t>Health Care Purchasing</w:t>
            </w:r>
            <w:r w:rsidR="008F2630">
              <w:rPr>
                <w:noProof/>
                <w:webHidden/>
              </w:rPr>
              <w:tab/>
            </w:r>
            <w:r w:rsidR="008F2630">
              <w:rPr>
                <w:noProof/>
                <w:webHidden/>
              </w:rPr>
              <w:fldChar w:fldCharType="begin"/>
            </w:r>
            <w:r w:rsidR="008F2630">
              <w:rPr>
                <w:noProof/>
                <w:webHidden/>
              </w:rPr>
              <w:instrText xml:space="preserve"> PAGEREF _Toc411949945 \h </w:instrText>
            </w:r>
            <w:r w:rsidR="008F2630">
              <w:rPr>
                <w:noProof/>
                <w:webHidden/>
              </w:rPr>
            </w:r>
            <w:r w:rsidR="008F2630">
              <w:rPr>
                <w:noProof/>
                <w:webHidden/>
              </w:rPr>
              <w:fldChar w:fldCharType="separate"/>
            </w:r>
            <w:r w:rsidR="008F2630">
              <w:rPr>
                <w:noProof/>
                <w:webHidden/>
              </w:rPr>
              <w:t>40</w:t>
            </w:r>
            <w:r w:rsidR="008F2630">
              <w:rPr>
                <w:noProof/>
                <w:webHidden/>
              </w:rPr>
              <w:fldChar w:fldCharType="end"/>
            </w:r>
          </w:hyperlink>
        </w:p>
        <w:p w14:paraId="202E9D4D" w14:textId="77777777" w:rsidR="008F2630" w:rsidRDefault="00C92C73">
          <w:pPr>
            <w:pStyle w:val="TOC2"/>
            <w:tabs>
              <w:tab w:val="right" w:leader="dot" w:pos="9350"/>
            </w:tabs>
            <w:rPr>
              <w:rFonts w:asciiTheme="minorHAnsi" w:eastAsiaTheme="minorEastAsia" w:hAnsiTheme="minorHAnsi"/>
              <w:noProof/>
              <w:sz w:val="22"/>
              <w:lang w:val="en-GB" w:eastAsia="en-GB"/>
            </w:rPr>
          </w:pPr>
          <w:hyperlink w:anchor="_Toc411949946" w:history="1">
            <w:r w:rsidR="008F2630" w:rsidRPr="004F7865">
              <w:rPr>
                <w:rStyle w:val="Hyperlink"/>
                <w:rFonts w:cs="Arial"/>
                <w:noProof/>
              </w:rPr>
              <w:t>There are two elements of health care purchasing – what to purchase or the benefit package and how to purchase or provider payment systems.  Strategy 7 is MBP and Strategy 8 is provider payment systems.</w:t>
            </w:r>
            <w:r w:rsidR="008F2630">
              <w:rPr>
                <w:noProof/>
                <w:webHidden/>
              </w:rPr>
              <w:tab/>
            </w:r>
            <w:r w:rsidR="008F2630">
              <w:rPr>
                <w:noProof/>
                <w:webHidden/>
              </w:rPr>
              <w:fldChar w:fldCharType="begin"/>
            </w:r>
            <w:r w:rsidR="008F2630">
              <w:rPr>
                <w:noProof/>
                <w:webHidden/>
              </w:rPr>
              <w:instrText xml:space="preserve"> PAGEREF _Toc411949946 \h </w:instrText>
            </w:r>
            <w:r w:rsidR="008F2630">
              <w:rPr>
                <w:noProof/>
                <w:webHidden/>
              </w:rPr>
            </w:r>
            <w:r w:rsidR="008F2630">
              <w:rPr>
                <w:noProof/>
                <w:webHidden/>
              </w:rPr>
              <w:fldChar w:fldCharType="separate"/>
            </w:r>
            <w:r w:rsidR="008F2630">
              <w:rPr>
                <w:noProof/>
                <w:webHidden/>
              </w:rPr>
              <w:t>40</w:t>
            </w:r>
            <w:r w:rsidR="008F2630">
              <w:rPr>
                <w:noProof/>
                <w:webHidden/>
              </w:rPr>
              <w:fldChar w:fldCharType="end"/>
            </w:r>
          </w:hyperlink>
        </w:p>
        <w:p w14:paraId="37554D7E" w14:textId="77777777" w:rsidR="008F2630" w:rsidRDefault="00C92C73">
          <w:pPr>
            <w:pStyle w:val="TOC3"/>
            <w:rPr>
              <w:rFonts w:asciiTheme="minorHAnsi" w:eastAsiaTheme="minorEastAsia" w:hAnsiTheme="minorHAnsi"/>
              <w:noProof/>
              <w:sz w:val="22"/>
              <w:lang w:val="en-GB" w:eastAsia="en-GB"/>
            </w:rPr>
          </w:pPr>
          <w:hyperlink w:anchor="_Toc411949947" w:history="1">
            <w:r w:rsidR="008F2630" w:rsidRPr="004F7865">
              <w:rPr>
                <w:rStyle w:val="Hyperlink"/>
                <w:noProof/>
              </w:rPr>
              <w:t>5.4.1</w:t>
            </w:r>
            <w:r w:rsidR="008F2630">
              <w:rPr>
                <w:rFonts w:asciiTheme="minorHAnsi" w:eastAsiaTheme="minorEastAsia" w:hAnsiTheme="minorHAnsi"/>
                <w:noProof/>
                <w:sz w:val="22"/>
                <w:lang w:val="en-GB" w:eastAsia="en-GB"/>
              </w:rPr>
              <w:tab/>
            </w:r>
            <w:r w:rsidR="008F2630" w:rsidRPr="004F7865">
              <w:rPr>
                <w:rStyle w:val="Hyperlink"/>
                <w:noProof/>
              </w:rPr>
              <w:t>Objective 6: Ensure appropriate resource allocation and expenditures for health Strategy 7:  Establishment of a Standard Minimum Benefit Package</w:t>
            </w:r>
            <w:r w:rsidR="008F2630">
              <w:rPr>
                <w:noProof/>
                <w:webHidden/>
              </w:rPr>
              <w:tab/>
            </w:r>
            <w:r w:rsidR="008F2630">
              <w:rPr>
                <w:noProof/>
                <w:webHidden/>
              </w:rPr>
              <w:fldChar w:fldCharType="begin"/>
            </w:r>
            <w:r w:rsidR="008F2630">
              <w:rPr>
                <w:noProof/>
                <w:webHidden/>
              </w:rPr>
              <w:instrText xml:space="preserve"> PAGEREF _Toc411949947 \h </w:instrText>
            </w:r>
            <w:r w:rsidR="008F2630">
              <w:rPr>
                <w:noProof/>
                <w:webHidden/>
              </w:rPr>
            </w:r>
            <w:r w:rsidR="008F2630">
              <w:rPr>
                <w:noProof/>
                <w:webHidden/>
              </w:rPr>
              <w:fldChar w:fldCharType="separate"/>
            </w:r>
            <w:r w:rsidR="008F2630">
              <w:rPr>
                <w:noProof/>
                <w:webHidden/>
              </w:rPr>
              <w:t>40</w:t>
            </w:r>
            <w:r w:rsidR="008F2630">
              <w:rPr>
                <w:noProof/>
                <w:webHidden/>
              </w:rPr>
              <w:fldChar w:fldCharType="end"/>
            </w:r>
          </w:hyperlink>
        </w:p>
        <w:p w14:paraId="5E8AAF4A" w14:textId="77777777" w:rsidR="008F2630" w:rsidRDefault="00C92C73">
          <w:pPr>
            <w:pStyle w:val="TOC3"/>
            <w:rPr>
              <w:rFonts w:asciiTheme="minorHAnsi" w:eastAsiaTheme="minorEastAsia" w:hAnsiTheme="minorHAnsi"/>
              <w:noProof/>
              <w:sz w:val="22"/>
              <w:lang w:val="en-GB" w:eastAsia="en-GB"/>
            </w:rPr>
          </w:pPr>
          <w:hyperlink w:anchor="_Toc411949948" w:history="1">
            <w:r w:rsidR="008F2630" w:rsidRPr="004F7865">
              <w:rPr>
                <w:rStyle w:val="Hyperlink"/>
                <w:noProof/>
              </w:rPr>
              <w:t>5.4.2</w:t>
            </w:r>
            <w:r w:rsidR="008F2630">
              <w:rPr>
                <w:rFonts w:asciiTheme="minorHAnsi" w:eastAsiaTheme="minorEastAsia" w:hAnsiTheme="minorHAnsi"/>
                <w:noProof/>
                <w:sz w:val="22"/>
                <w:lang w:val="en-GB" w:eastAsia="en-GB"/>
              </w:rPr>
              <w:tab/>
            </w:r>
            <w:r w:rsidR="008F2630" w:rsidRPr="004F7865">
              <w:rPr>
                <w:rStyle w:val="Hyperlink"/>
                <w:noProof/>
              </w:rPr>
              <w:t>Objective 7: Continuously adapt and shape the purchasing structure within the health system, placing particular focus on results-based financing for improved services delivery Strategy 8: Allocate Health Sector Resources Strategically</w:t>
            </w:r>
            <w:r w:rsidR="008F2630">
              <w:rPr>
                <w:noProof/>
                <w:webHidden/>
              </w:rPr>
              <w:tab/>
            </w:r>
            <w:r w:rsidR="008F2630">
              <w:rPr>
                <w:noProof/>
                <w:webHidden/>
              </w:rPr>
              <w:fldChar w:fldCharType="begin"/>
            </w:r>
            <w:r w:rsidR="008F2630">
              <w:rPr>
                <w:noProof/>
                <w:webHidden/>
              </w:rPr>
              <w:instrText xml:space="preserve"> PAGEREF _Toc411949948 \h </w:instrText>
            </w:r>
            <w:r w:rsidR="008F2630">
              <w:rPr>
                <w:noProof/>
                <w:webHidden/>
              </w:rPr>
            </w:r>
            <w:r w:rsidR="008F2630">
              <w:rPr>
                <w:noProof/>
                <w:webHidden/>
              </w:rPr>
              <w:fldChar w:fldCharType="separate"/>
            </w:r>
            <w:r w:rsidR="008F2630">
              <w:rPr>
                <w:noProof/>
                <w:webHidden/>
              </w:rPr>
              <w:t>42</w:t>
            </w:r>
            <w:r w:rsidR="008F2630">
              <w:rPr>
                <w:noProof/>
                <w:webHidden/>
              </w:rPr>
              <w:fldChar w:fldCharType="end"/>
            </w:r>
          </w:hyperlink>
        </w:p>
        <w:p w14:paraId="0973A5E5" w14:textId="77777777" w:rsidR="008F2630" w:rsidRDefault="00C92C73">
          <w:pPr>
            <w:pStyle w:val="TOC3"/>
            <w:rPr>
              <w:rFonts w:asciiTheme="minorHAnsi" w:eastAsiaTheme="minorEastAsia" w:hAnsiTheme="minorHAnsi"/>
              <w:noProof/>
              <w:sz w:val="22"/>
              <w:lang w:val="en-GB" w:eastAsia="en-GB"/>
            </w:rPr>
          </w:pPr>
          <w:hyperlink w:anchor="_Toc411949949" w:history="1">
            <w:r w:rsidR="008F2630" w:rsidRPr="004F7865">
              <w:rPr>
                <w:rStyle w:val="Hyperlink"/>
                <w:noProof/>
              </w:rPr>
              <w:t>5.4.3</w:t>
            </w:r>
            <w:r w:rsidR="008F2630">
              <w:rPr>
                <w:rFonts w:asciiTheme="minorHAnsi" w:eastAsiaTheme="minorEastAsia" w:hAnsiTheme="minorHAnsi"/>
                <w:noProof/>
                <w:sz w:val="22"/>
                <w:lang w:val="en-GB" w:eastAsia="en-GB"/>
              </w:rPr>
              <w:tab/>
            </w:r>
            <w:r w:rsidR="008F2630" w:rsidRPr="004F7865">
              <w:rPr>
                <w:rStyle w:val="Hyperlink"/>
                <w:noProof/>
              </w:rPr>
              <w:t>Objective 8: Strengthen the overall public financial and resource data management systems within the health sector</w:t>
            </w:r>
            <w:r w:rsidR="008F2630">
              <w:rPr>
                <w:noProof/>
                <w:webHidden/>
              </w:rPr>
              <w:tab/>
            </w:r>
            <w:r w:rsidR="008F2630">
              <w:rPr>
                <w:noProof/>
                <w:webHidden/>
              </w:rPr>
              <w:fldChar w:fldCharType="begin"/>
            </w:r>
            <w:r w:rsidR="008F2630">
              <w:rPr>
                <w:noProof/>
                <w:webHidden/>
              </w:rPr>
              <w:instrText xml:space="preserve"> PAGEREF _Toc411949949 \h </w:instrText>
            </w:r>
            <w:r w:rsidR="008F2630">
              <w:rPr>
                <w:noProof/>
                <w:webHidden/>
              </w:rPr>
            </w:r>
            <w:r w:rsidR="008F2630">
              <w:rPr>
                <w:noProof/>
                <w:webHidden/>
              </w:rPr>
              <w:fldChar w:fldCharType="separate"/>
            </w:r>
            <w:r w:rsidR="008F2630">
              <w:rPr>
                <w:noProof/>
                <w:webHidden/>
              </w:rPr>
              <w:t>45</w:t>
            </w:r>
            <w:r w:rsidR="008F2630">
              <w:rPr>
                <w:noProof/>
                <w:webHidden/>
              </w:rPr>
              <w:fldChar w:fldCharType="end"/>
            </w:r>
          </w:hyperlink>
        </w:p>
        <w:p w14:paraId="34AFE6E8" w14:textId="77777777" w:rsidR="008F2630" w:rsidRDefault="00C92C73">
          <w:pPr>
            <w:pStyle w:val="TOC3"/>
            <w:rPr>
              <w:rFonts w:asciiTheme="minorHAnsi" w:eastAsiaTheme="minorEastAsia" w:hAnsiTheme="minorHAnsi"/>
              <w:noProof/>
              <w:sz w:val="22"/>
              <w:lang w:val="en-GB" w:eastAsia="en-GB"/>
            </w:rPr>
          </w:pPr>
          <w:hyperlink w:anchor="_Toc411949950" w:history="1">
            <w:r w:rsidR="008F2630" w:rsidRPr="004F7865">
              <w:rPr>
                <w:rStyle w:val="Hyperlink"/>
                <w:rFonts w:asciiTheme="majorHAnsi" w:eastAsiaTheme="majorEastAsia" w:hAnsiTheme="majorHAnsi" w:cstheme="majorBidi"/>
                <w:b/>
                <w:bCs/>
                <w:noProof/>
              </w:rPr>
              <w:t>Strategy 9: Strengthen the public financial management system in the Health Sector</w:t>
            </w:r>
            <w:r w:rsidR="008F2630">
              <w:rPr>
                <w:noProof/>
                <w:webHidden/>
              </w:rPr>
              <w:tab/>
            </w:r>
            <w:r w:rsidR="008F2630">
              <w:rPr>
                <w:noProof/>
                <w:webHidden/>
              </w:rPr>
              <w:fldChar w:fldCharType="begin"/>
            </w:r>
            <w:r w:rsidR="008F2630">
              <w:rPr>
                <w:noProof/>
                <w:webHidden/>
              </w:rPr>
              <w:instrText xml:space="preserve"> PAGEREF _Toc411949950 \h </w:instrText>
            </w:r>
            <w:r w:rsidR="008F2630">
              <w:rPr>
                <w:noProof/>
                <w:webHidden/>
              </w:rPr>
            </w:r>
            <w:r w:rsidR="008F2630">
              <w:rPr>
                <w:noProof/>
                <w:webHidden/>
              </w:rPr>
              <w:fldChar w:fldCharType="separate"/>
            </w:r>
            <w:r w:rsidR="008F2630">
              <w:rPr>
                <w:noProof/>
                <w:webHidden/>
              </w:rPr>
              <w:t>45</w:t>
            </w:r>
            <w:r w:rsidR="008F2630">
              <w:rPr>
                <w:noProof/>
                <w:webHidden/>
              </w:rPr>
              <w:fldChar w:fldCharType="end"/>
            </w:r>
          </w:hyperlink>
        </w:p>
        <w:p w14:paraId="5B3A2C45" w14:textId="77777777" w:rsidR="008F2630" w:rsidRDefault="00C92C73">
          <w:pPr>
            <w:pStyle w:val="TOC3"/>
            <w:rPr>
              <w:rFonts w:asciiTheme="minorHAnsi" w:eastAsiaTheme="minorEastAsia" w:hAnsiTheme="minorHAnsi"/>
              <w:noProof/>
              <w:sz w:val="22"/>
              <w:lang w:val="en-GB" w:eastAsia="en-GB"/>
            </w:rPr>
          </w:pPr>
          <w:hyperlink w:anchor="_Toc411949951" w:history="1">
            <w:r w:rsidR="008F2630" w:rsidRPr="004F7865">
              <w:rPr>
                <w:rStyle w:val="Hyperlink"/>
                <w:noProof/>
              </w:rPr>
              <w:t>5.4.4</w:t>
            </w:r>
            <w:r w:rsidR="008F2630">
              <w:rPr>
                <w:rFonts w:asciiTheme="minorHAnsi" w:eastAsiaTheme="minorEastAsia" w:hAnsiTheme="minorHAnsi"/>
                <w:noProof/>
                <w:sz w:val="22"/>
                <w:lang w:val="en-GB" w:eastAsia="en-GB"/>
              </w:rPr>
              <w:tab/>
            </w:r>
            <w:r w:rsidR="008F2630" w:rsidRPr="004F7865">
              <w:rPr>
                <w:rStyle w:val="Hyperlink"/>
                <w:noProof/>
              </w:rPr>
              <w:t>Strategy 10: Develop a Strong Health Information and Data Management System</w:t>
            </w:r>
            <w:r w:rsidR="008F2630">
              <w:rPr>
                <w:noProof/>
                <w:webHidden/>
              </w:rPr>
              <w:tab/>
            </w:r>
            <w:r w:rsidR="008F2630">
              <w:rPr>
                <w:noProof/>
                <w:webHidden/>
              </w:rPr>
              <w:fldChar w:fldCharType="begin"/>
            </w:r>
            <w:r w:rsidR="008F2630">
              <w:rPr>
                <w:noProof/>
                <w:webHidden/>
              </w:rPr>
              <w:instrText xml:space="preserve"> PAGEREF _Toc411949951 \h </w:instrText>
            </w:r>
            <w:r w:rsidR="008F2630">
              <w:rPr>
                <w:noProof/>
                <w:webHidden/>
              </w:rPr>
            </w:r>
            <w:r w:rsidR="008F2630">
              <w:rPr>
                <w:noProof/>
                <w:webHidden/>
              </w:rPr>
              <w:fldChar w:fldCharType="separate"/>
            </w:r>
            <w:r w:rsidR="008F2630">
              <w:rPr>
                <w:noProof/>
                <w:webHidden/>
              </w:rPr>
              <w:t>46</w:t>
            </w:r>
            <w:r w:rsidR="008F2630">
              <w:rPr>
                <w:noProof/>
                <w:webHidden/>
              </w:rPr>
              <w:fldChar w:fldCharType="end"/>
            </w:r>
          </w:hyperlink>
        </w:p>
        <w:p w14:paraId="61C132AC" w14:textId="77777777" w:rsidR="008F2630" w:rsidRDefault="00C92C73">
          <w:pPr>
            <w:pStyle w:val="TOC1"/>
            <w:tabs>
              <w:tab w:val="left" w:pos="480"/>
              <w:tab w:val="right" w:leader="dot" w:pos="9350"/>
            </w:tabs>
            <w:rPr>
              <w:rFonts w:asciiTheme="minorHAnsi" w:eastAsiaTheme="minorEastAsia" w:hAnsiTheme="minorHAnsi"/>
              <w:noProof/>
              <w:sz w:val="22"/>
              <w:lang w:val="en-GB" w:eastAsia="en-GB"/>
            </w:rPr>
          </w:pPr>
          <w:hyperlink w:anchor="_Toc411949952" w:history="1">
            <w:r w:rsidR="008F2630" w:rsidRPr="004F7865">
              <w:rPr>
                <w:rStyle w:val="Hyperlink"/>
                <w:noProof/>
              </w:rPr>
              <w:t>6</w:t>
            </w:r>
            <w:r w:rsidR="008F2630">
              <w:rPr>
                <w:rFonts w:asciiTheme="minorHAnsi" w:eastAsiaTheme="minorEastAsia" w:hAnsiTheme="minorHAnsi"/>
                <w:noProof/>
                <w:sz w:val="22"/>
                <w:lang w:val="en-GB" w:eastAsia="en-GB"/>
              </w:rPr>
              <w:tab/>
            </w:r>
            <w:r w:rsidR="008F2630" w:rsidRPr="004F7865">
              <w:rPr>
                <w:rStyle w:val="Hyperlink"/>
                <w:noProof/>
              </w:rPr>
              <w:t>Health Financing Strategy Implementation</w:t>
            </w:r>
            <w:r w:rsidR="008F2630">
              <w:rPr>
                <w:noProof/>
                <w:webHidden/>
              </w:rPr>
              <w:tab/>
            </w:r>
            <w:r w:rsidR="008F2630">
              <w:rPr>
                <w:noProof/>
                <w:webHidden/>
              </w:rPr>
              <w:fldChar w:fldCharType="begin"/>
            </w:r>
            <w:r w:rsidR="008F2630">
              <w:rPr>
                <w:noProof/>
                <w:webHidden/>
              </w:rPr>
              <w:instrText xml:space="preserve"> PAGEREF _Toc411949952 \h </w:instrText>
            </w:r>
            <w:r w:rsidR="008F2630">
              <w:rPr>
                <w:noProof/>
                <w:webHidden/>
              </w:rPr>
            </w:r>
            <w:r w:rsidR="008F2630">
              <w:rPr>
                <w:noProof/>
                <w:webHidden/>
              </w:rPr>
              <w:fldChar w:fldCharType="separate"/>
            </w:r>
            <w:r w:rsidR="008F2630">
              <w:rPr>
                <w:noProof/>
                <w:webHidden/>
              </w:rPr>
              <w:t>48</w:t>
            </w:r>
            <w:r w:rsidR="008F2630">
              <w:rPr>
                <w:noProof/>
                <w:webHidden/>
              </w:rPr>
              <w:fldChar w:fldCharType="end"/>
            </w:r>
          </w:hyperlink>
        </w:p>
        <w:p w14:paraId="4BC1E7FF" w14:textId="77777777" w:rsidR="008F2630" w:rsidRDefault="00C92C73">
          <w:pPr>
            <w:pStyle w:val="TOC1"/>
            <w:tabs>
              <w:tab w:val="right" w:leader="dot" w:pos="9350"/>
            </w:tabs>
            <w:rPr>
              <w:rFonts w:asciiTheme="minorHAnsi" w:eastAsiaTheme="minorEastAsia" w:hAnsiTheme="minorHAnsi"/>
              <w:noProof/>
              <w:sz w:val="22"/>
              <w:lang w:val="en-GB" w:eastAsia="en-GB"/>
            </w:rPr>
          </w:pPr>
          <w:hyperlink w:anchor="_Toc411949953" w:history="1">
            <w:r w:rsidR="008F2630" w:rsidRPr="004F7865">
              <w:rPr>
                <w:rStyle w:val="Hyperlink"/>
                <w:noProof/>
              </w:rPr>
              <w:t>The HFS is actually realized in practice through the activities defined in its implementation plan.  HFS implementation plan is described in the following sections.</w:t>
            </w:r>
            <w:r w:rsidR="008F2630">
              <w:rPr>
                <w:noProof/>
                <w:webHidden/>
              </w:rPr>
              <w:tab/>
            </w:r>
            <w:r w:rsidR="008F2630">
              <w:rPr>
                <w:noProof/>
                <w:webHidden/>
              </w:rPr>
              <w:fldChar w:fldCharType="begin"/>
            </w:r>
            <w:r w:rsidR="008F2630">
              <w:rPr>
                <w:noProof/>
                <w:webHidden/>
              </w:rPr>
              <w:instrText xml:space="preserve"> PAGEREF _Toc411949953 \h </w:instrText>
            </w:r>
            <w:r w:rsidR="008F2630">
              <w:rPr>
                <w:noProof/>
                <w:webHidden/>
              </w:rPr>
            </w:r>
            <w:r w:rsidR="008F2630">
              <w:rPr>
                <w:noProof/>
                <w:webHidden/>
              </w:rPr>
              <w:fldChar w:fldCharType="separate"/>
            </w:r>
            <w:r w:rsidR="008F2630">
              <w:rPr>
                <w:noProof/>
                <w:webHidden/>
              </w:rPr>
              <w:t>48</w:t>
            </w:r>
            <w:r w:rsidR="008F2630">
              <w:rPr>
                <w:noProof/>
                <w:webHidden/>
              </w:rPr>
              <w:fldChar w:fldCharType="end"/>
            </w:r>
          </w:hyperlink>
        </w:p>
        <w:p w14:paraId="68EDF09C" w14:textId="77777777" w:rsidR="008F2630" w:rsidRDefault="00C92C73">
          <w:pPr>
            <w:pStyle w:val="TOC2"/>
            <w:tabs>
              <w:tab w:val="left" w:pos="880"/>
              <w:tab w:val="right" w:leader="dot" w:pos="9350"/>
            </w:tabs>
            <w:rPr>
              <w:rFonts w:asciiTheme="minorHAnsi" w:eastAsiaTheme="minorEastAsia" w:hAnsiTheme="minorHAnsi"/>
              <w:noProof/>
              <w:sz w:val="22"/>
              <w:lang w:val="en-GB" w:eastAsia="en-GB"/>
            </w:rPr>
          </w:pPr>
          <w:hyperlink w:anchor="_Toc411949954" w:history="1">
            <w:r w:rsidR="008F2630" w:rsidRPr="004F7865">
              <w:rPr>
                <w:rStyle w:val="Hyperlink"/>
                <w:noProof/>
              </w:rPr>
              <w:t>6.1</w:t>
            </w:r>
            <w:r w:rsidR="008F2630">
              <w:rPr>
                <w:rFonts w:asciiTheme="minorHAnsi" w:eastAsiaTheme="minorEastAsia" w:hAnsiTheme="minorHAnsi"/>
                <w:noProof/>
                <w:sz w:val="22"/>
                <w:lang w:val="en-GB" w:eastAsia="en-GB"/>
              </w:rPr>
              <w:tab/>
            </w:r>
            <w:r w:rsidR="008F2630" w:rsidRPr="004F7865">
              <w:rPr>
                <w:rStyle w:val="Hyperlink"/>
                <w:noProof/>
              </w:rPr>
              <w:t>Implementation Strategy and Sequencing</w:t>
            </w:r>
            <w:r w:rsidR="008F2630">
              <w:rPr>
                <w:noProof/>
                <w:webHidden/>
              </w:rPr>
              <w:tab/>
            </w:r>
            <w:r w:rsidR="008F2630">
              <w:rPr>
                <w:noProof/>
                <w:webHidden/>
              </w:rPr>
              <w:fldChar w:fldCharType="begin"/>
            </w:r>
            <w:r w:rsidR="008F2630">
              <w:rPr>
                <w:noProof/>
                <w:webHidden/>
              </w:rPr>
              <w:instrText xml:space="preserve"> PAGEREF _Toc411949954 \h </w:instrText>
            </w:r>
            <w:r w:rsidR="008F2630">
              <w:rPr>
                <w:noProof/>
                <w:webHidden/>
              </w:rPr>
            </w:r>
            <w:r w:rsidR="008F2630">
              <w:rPr>
                <w:noProof/>
                <w:webHidden/>
              </w:rPr>
              <w:fldChar w:fldCharType="separate"/>
            </w:r>
            <w:r w:rsidR="008F2630">
              <w:rPr>
                <w:noProof/>
                <w:webHidden/>
              </w:rPr>
              <w:t>48</w:t>
            </w:r>
            <w:r w:rsidR="008F2630">
              <w:rPr>
                <w:noProof/>
                <w:webHidden/>
              </w:rPr>
              <w:fldChar w:fldCharType="end"/>
            </w:r>
          </w:hyperlink>
        </w:p>
        <w:p w14:paraId="0B347BBF" w14:textId="77777777" w:rsidR="008F2630" w:rsidRDefault="00C92C73">
          <w:pPr>
            <w:pStyle w:val="TOC2"/>
            <w:tabs>
              <w:tab w:val="left" w:pos="880"/>
              <w:tab w:val="right" w:leader="dot" w:pos="9350"/>
            </w:tabs>
            <w:rPr>
              <w:rFonts w:asciiTheme="minorHAnsi" w:eastAsiaTheme="minorEastAsia" w:hAnsiTheme="minorHAnsi"/>
              <w:noProof/>
              <w:sz w:val="22"/>
              <w:lang w:val="en-GB" w:eastAsia="en-GB"/>
            </w:rPr>
          </w:pPr>
          <w:hyperlink w:anchor="_Toc411949955" w:history="1">
            <w:r w:rsidR="008F2630" w:rsidRPr="004F7865">
              <w:rPr>
                <w:rStyle w:val="Hyperlink"/>
                <w:noProof/>
              </w:rPr>
              <w:t>6.2</w:t>
            </w:r>
            <w:r w:rsidR="008F2630">
              <w:rPr>
                <w:rFonts w:asciiTheme="minorHAnsi" w:eastAsiaTheme="minorEastAsia" w:hAnsiTheme="minorHAnsi"/>
                <w:noProof/>
                <w:sz w:val="22"/>
                <w:lang w:val="en-GB" w:eastAsia="en-GB"/>
              </w:rPr>
              <w:tab/>
            </w:r>
            <w:r w:rsidR="008F2630" w:rsidRPr="004F7865">
              <w:rPr>
                <w:rStyle w:val="Hyperlink"/>
                <w:noProof/>
              </w:rPr>
              <w:t>Implementation Plan</w:t>
            </w:r>
            <w:r w:rsidR="008F2630">
              <w:rPr>
                <w:noProof/>
                <w:webHidden/>
              </w:rPr>
              <w:tab/>
            </w:r>
            <w:r w:rsidR="008F2630">
              <w:rPr>
                <w:noProof/>
                <w:webHidden/>
              </w:rPr>
              <w:fldChar w:fldCharType="begin"/>
            </w:r>
            <w:r w:rsidR="008F2630">
              <w:rPr>
                <w:noProof/>
                <w:webHidden/>
              </w:rPr>
              <w:instrText xml:space="preserve"> PAGEREF _Toc411949955 \h </w:instrText>
            </w:r>
            <w:r w:rsidR="008F2630">
              <w:rPr>
                <w:noProof/>
                <w:webHidden/>
              </w:rPr>
            </w:r>
            <w:r w:rsidR="008F2630">
              <w:rPr>
                <w:noProof/>
                <w:webHidden/>
              </w:rPr>
              <w:fldChar w:fldCharType="separate"/>
            </w:r>
            <w:r w:rsidR="008F2630">
              <w:rPr>
                <w:noProof/>
                <w:webHidden/>
              </w:rPr>
              <w:t>50</w:t>
            </w:r>
            <w:r w:rsidR="008F2630">
              <w:rPr>
                <w:noProof/>
                <w:webHidden/>
              </w:rPr>
              <w:fldChar w:fldCharType="end"/>
            </w:r>
          </w:hyperlink>
        </w:p>
        <w:p w14:paraId="777C1784" w14:textId="77777777" w:rsidR="008F2630" w:rsidRDefault="00C92C73">
          <w:pPr>
            <w:pStyle w:val="TOC1"/>
            <w:tabs>
              <w:tab w:val="left" w:pos="480"/>
              <w:tab w:val="right" w:leader="dot" w:pos="9350"/>
            </w:tabs>
            <w:rPr>
              <w:rFonts w:asciiTheme="minorHAnsi" w:eastAsiaTheme="minorEastAsia" w:hAnsiTheme="minorHAnsi"/>
              <w:noProof/>
              <w:sz w:val="22"/>
              <w:lang w:val="en-GB" w:eastAsia="en-GB"/>
            </w:rPr>
          </w:pPr>
          <w:hyperlink w:anchor="_Toc411949956" w:history="1">
            <w:r w:rsidR="008F2630" w:rsidRPr="004F7865">
              <w:rPr>
                <w:rStyle w:val="Hyperlink"/>
                <w:noProof/>
              </w:rPr>
              <w:t>7</w:t>
            </w:r>
            <w:r w:rsidR="008F2630">
              <w:rPr>
                <w:rFonts w:asciiTheme="minorHAnsi" w:eastAsiaTheme="minorEastAsia" w:hAnsiTheme="minorHAnsi"/>
                <w:noProof/>
                <w:sz w:val="22"/>
                <w:lang w:val="en-GB" w:eastAsia="en-GB"/>
              </w:rPr>
              <w:tab/>
            </w:r>
            <w:r w:rsidR="008F2630" w:rsidRPr="004F7865">
              <w:rPr>
                <w:rStyle w:val="Hyperlink"/>
                <w:noProof/>
              </w:rPr>
              <w:t>HFS Costing</w:t>
            </w:r>
            <w:r w:rsidR="008F2630">
              <w:rPr>
                <w:noProof/>
                <w:webHidden/>
              </w:rPr>
              <w:tab/>
            </w:r>
            <w:r w:rsidR="008F2630">
              <w:rPr>
                <w:noProof/>
                <w:webHidden/>
              </w:rPr>
              <w:fldChar w:fldCharType="begin"/>
            </w:r>
            <w:r w:rsidR="008F2630">
              <w:rPr>
                <w:noProof/>
                <w:webHidden/>
              </w:rPr>
              <w:instrText xml:space="preserve"> PAGEREF _Toc411949956 \h </w:instrText>
            </w:r>
            <w:r w:rsidR="008F2630">
              <w:rPr>
                <w:noProof/>
                <w:webHidden/>
              </w:rPr>
            </w:r>
            <w:r w:rsidR="008F2630">
              <w:rPr>
                <w:noProof/>
                <w:webHidden/>
              </w:rPr>
              <w:fldChar w:fldCharType="separate"/>
            </w:r>
            <w:r w:rsidR="008F2630">
              <w:rPr>
                <w:noProof/>
                <w:webHidden/>
              </w:rPr>
              <w:t>52</w:t>
            </w:r>
            <w:r w:rsidR="008F2630">
              <w:rPr>
                <w:noProof/>
                <w:webHidden/>
              </w:rPr>
              <w:fldChar w:fldCharType="end"/>
            </w:r>
          </w:hyperlink>
        </w:p>
        <w:p w14:paraId="6E9F0794" w14:textId="77777777" w:rsidR="008F2630" w:rsidRDefault="00C92C73">
          <w:pPr>
            <w:pStyle w:val="TOC3"/>
            <w:rPr>
              <w:rFonts w:asciiTheme="minorHAnsi" w:eastAsiaTheme="minorEastAsia" w:hAnsiTheme="minorHAnsi"/>
              <w:noProof/>
              <w:sz w:val="22"/>
              <w:lang w:val="en-GB" w:eastAsia="en-GB"/>
            </w:rPr>
          </w:pPr>
          <w:hyperlink w:anchor="_Toc411949957" w:history="1">
            <w:r w:rsidR="008F2630" w:rsidRPr="004F7865">
              <w:rPr>
                <w:rStyle w:val="Hyperlink"/>
                <w:noProof/>
              </w:rPr>
              <w:t>7.1 Methods and Key Assumptions</w:t>
            </w:r>
            <w:r w:rsidR="008F2630">
              <w:rPr>
                <w:noProof/>
                <w:webHidden/>
              </w:rPr>
              <w:tab/>
            </w:r>
            <w:r w:rsidR="008F2630">
              <w:rPr>
                <w:noProof/>
                <w:webHidden/>
              </w:rPr>
              <w:fldChar w:fldCharType="begin"/>
            </w:r>
            <w:r w:rsidR="008F2630">
              <w:rPr>
                <w:noProof/>
                <w:webHidden/>
              </w:rPr>
              <w:instrText xml:space="preserve"> PAGEREF _Toc411949957 \h </w:instrText>
            </w:r>
            <w:r w:rsidR="008F2630">
              <w:rPr>
                <w:noProof/>
                <w:webHidden/>
              </w:rPr>
            </w:r>
            <w:r w:rsidR="008F2630">
              <w:rPr>
                <w:noProof/>
                <w:webHidden/>
              </w:rPr>
              <w:fldChar w:fldCharType="separate"/>
            </w:r>
            <w:r w:rsidR="008F2630">
              <w:rPr>
                <w:noProof/>
                <w:webHidden/>
              </w:rPr>
              <w:t>52</w:t>
            </w:r>
            <w:r w:rsidR="008F2630">
              <w:rPr>
                <w:noProof/>
                <w:webHidden/>
              </w:rPr>
              <w:fldChar w:fldCharType="end"/>
            </w:r>
          </w:hyperlink>
        </w:p>
        <w:p w14:paraId="65F2B6DE" w14:textId="77777777" w:rsidR="008F2630" w:rsidRDefault="00C92C73">
          <w:pPr>
            <w:pStyle w:val="TOC3"/>
            <w:rPr>
              <w:rFonts w:asciiTheme="minorHAnsi" w:eastAsiaTheme="minorEastAsia" w:hAnsiTheme="minorHAnsi"/>
              <w:noProof/>
              <w:sz w:val="22"/>
              <w:lang w:val="en-GB" w:eastAsia="en-GB"/>
            </w:rPr>
          </w:pPr>
          <w:hyperlink w:anchor="_Toc411949958" w:history="1">
            <w:r w:rsidR="008F2630" w:rsidRPr="004F7865">
              <w:rPr>
                <w:rStyle w:val="Hyperlink"/>
                <w:noProof/>
              </w:rPr>
              <w:t>Figure 7.1 SNHI rollout as per HFS implementation plan by fiscal year</w:t>
            </w:r>
            <w:r w:rsidR="008F2630">
              <w:rPr>
                <w:noProof/>
                <w:webHidden/>
              </w:rPr>
              <w:tab/>
            </w:r>
            <w:r w:rsidR="008F2630">
              <w:rPr>
                <w:noProof/>
                <w:webHidden/>
              </w:rPr>
              <w:fldChar w:fldCharType="begin"/>
            </w:r>
            <w:r w:rsidR="008F2630">
              <w:rPr>
                <w:noProof/>
                <w:webHidden/>
              </w:rPr>
              <w:instrText xml:space="preserve"> PAGEREF _Toc411949958 \h </w:instrText>
            </w:r>
            <w:r w:rsidR="008F2630">
              <w:rPr>
                <w:noProof/>
                <w:webHidden/>
              </w:rPr>
            </w:r>
            <w:r w:rsidR="008F2630">
              <w:rPr>
                <w:noProof/>
                <w:webHidden/>
              </w:rPr>
              <w:fldChar w:fldCharType="separate"/>
            </w:r>
            <w:r w:rsidR="008F2630">
              <w:rPr>
                <w:noProof/>
                <w:webHidden/>
              </w:rPr>
              <w:t>52</w:t>
            </w:r>
            <w:r w:rsidR="008F2630">
              <w:rPr>
                <w:noProof/>
                <w:webHidden/>
              </w:rPr>
              <w:fldChar w:fldCharType="end"/>
            </w:r>
          </w:hyperlink>
        </w:p>
        <w:p w14:paraId="2B5E5777" w14:textId="77777777" w:rsidR="008F2630" w:rsidRDefault="00C92C73">
          <w:pPr>
            <w:pStyle w:val="TOC3"/>
            <w:rPr>
              <w:rFonts w:asciiTheme="minorHAnsi" w:eastAsiaTheme="minorEastAsia" w:hAnsiTheme="minorHAnsi"/>
              <w:noProof/>
              <w:sz w:val="22"/>
              <w:lang w:val="en-GB" w:eastAsia="en-GB"/>
            </w:rPr>
          </w:pPr>
          <w:hyperlink w:anchor="_Toc411949959" w:history="1">
            <w:r w:rsidR="008F2630" w:rsidRPr="004F7865">
              <w:rPr>
                <w:rStyle w:val="Hyperlink"/>
                <w:noProof/>
              </w:rPr>
              <w:t>7.2 Results</w:t>
            </w:r>
            <w:r w:rsidR="008F2630">
              <w:rPr>
                <w:noProof/>
                <w:webHidden/>
              </w:rPr>
              <w:tab/>
            </w:r>
            <w:r w:rsidR="008F2630">
              <w:rPr>
                <w:noProof/>
                <w:webHidden/>
              </w:rPr>
              <w:fldChar w:fldCharType="begin"/>
            </w:r>
            <w:r w:rsidR="008F2630">
              <w:rPr>
                <w:noProof/>
                <w:webHidden/>
              </w:rPr>
              <w:instrText xml:space="preserve"> PAGEREF _Toc411949959 \h </w:instrText>
            </w:r>
            <w:r w:rsidR="008F2630">
              <w:rPr>
                <w:noProof/>
                <w:webHidden/>
              </w:rPr>
            </w:r>
            <w:r w:rsidR="008F2630">
              <w:rPr>
                <w:noProof/>
                <w:webHidden/>
              </w:rPr>
              <w:fldChar w:fldCharType="separate"/>
            </w:r>
            <w:r w:rsidR="008F2630">
              <w:rPr>
                <w:noProof/>
                <w:webHidden/>
              </w:rPr>
              <w:t>54</w:t>
            </w:r>
            <w:r w:rsidR="008F2630">
              <w:rPr>
                <w:noProof/>
                <w:webHidden/>
              </w:rPr>
              <w:fldChar w:fldCharType="end"/>
            </w:r>
          </w:hyperlink>
        </w:p>
        <w:p w14:paraId="5D4E2A86" w14:textId="77777777" w:rsidR="008F2630" w:rsidRDefault="00C92C73">
          <w:pPr>
            <w:pStyle w:val="TOC3"/>
            <w:rPr>
              <w:rFonts w:asciiTheme="minorHAnsi" w:eastAsiaTheme="minorEastAsia" w:hAnsiTheme="minorHAnsi"/>
              <w:noProof/>
              <w:sz w:val="22"/>
              <w:lang w:val="en-GB" w:eastAsia="en-GB"/>
            </w:rPr>
          </w:pPr>
          <w:hyperlink w:anchor="_Toc411949960" w:history="1">
            <w:r w:rsidR="008F2630" w:rsidRPr="004F7865">
              <w:rPr>
                <w:rStyle w:val="Hyperlink"/>
                <w:noProof/>
              </w:rPr>
              <w:t>Figure 7.2 Costs and revenue for the SNHI Pool: Scenarios</w:t>
            </w:r>
            <w:r w:rsidR="008F2630">
              <w:rPr>
                <w:noProof/>
                <w:webHidden/>
              </w:rPr>
              <w:tab/>
            </w:r>
            <w:r w:rsidR="008F2630">
              <w:rPr>
                <w:noProof/>
                <w:webHidden/>
              </w:rPr>
              <w:fldChar w:fldCharType="begin"/>
            </w:r>
            <w:r w:rsidR="008F2630">
              <w:rPr>
                <w:noProof/>
                <w:webHidden/>
              </w:rPr>
              <w:instrText xml:space="preserve"> PAGEREF _Toc411949960 \h </w:instrText>
            </w:r>
            <w:r w:rsidR="008F2630">
              <w:rPr>
                <w:noProof/>
                <w:webHidden/>
              </w:rPr>
            </w:r>
            <w:r w:rsidR="008F2630">
              <w:rPr>
                <w:noProof/>
                <w:webHidden/>
              </w:rPr>
              <w:fldChar w:fldCharType="separate"/>
            </w:r>
            <w:r w:rsidR="008F2630">
              <w:rPr>
                <w:noProof/>
                <w:webHidden/>
              </w:rPr>
              <w:t>54</w:t>
            </w:r>
            <w:r w:rsidR="008F2630">
              <w:rPr>
                <w:noProof/>
                <w:webHidden/>
              </w:rPr>
              <w:fldChar w:fldCharType="end"/>
            </w:r>
          </w:hyperlink>
        </w:p>
        <w:p w14:paraId="1AC23CA9" w14:textId="77777777" w:rsidR="008F2630" w:rsidRDefault="00C92C73">
          <w:pPr>
            <w:pStyle w:val="TOC3"/>
            <w:rPr>
              <w:rFonts w:asciiTheme="minorHAnsi" w:eastAsiaTheme="minorEastAsia" w:hAnsiTheme="minorHAnsi"/>
              <w:noProof/>
              <w:sz w:val="22"/>
              <w:lang w:val="en-GB" w:eastAsia="en-GB"/>
            </w:rPr>
          </w:pPr>
          <w:hyperlink w:anchor="_Toc411949961" w:history="1">
            <w:r w:rsidR="008F2630" w:rsidRPr="004F7865">
              <w:rPr>
                <w:rStyle w:val="Hyperlink"/>
                <w:noProof/>
              </w:rPr>
              <w:t>Figure 7.3 Financial gaps (cost minus revenue) across scenarios</w:t>
            </w:r>
            <w:r w:rsidR="008F2630">
              <w:rPr>
                <w:noProof/>
                <w:webHidden/>
              </w:rPr>
              <w:tab/>
            </w:r>
            <w:r w:rsidR="008F2630">
              <w:rPr>
                <w:noProof/>
                <w:webHidden/>
              </w:rPr>
              <w:fldChar w:fldCharType="begin"/>
            </w:r>
            <w:r w:rsidR="008F2630">
              <w:rPr>
                <w:noProof/>
                <w:webHidden/>
              </w:rPr>
              <w:instrText xml:space="preserve"> PAGEREF _Toc411949961 \h </w:instrText>
            </w:r>
            <w:r w:rsidR="008F2630">
              <w:rPr>
                <w:noProof/>
                <w:webHidden/>
              </w:rPr>
            </w:r>
            <w:r w:rsidR="008F2630">
              <w:rPr>
                <w:noProof/>
                <w:webHidden/>
              </w:rPr>
              <w:fldChar w:fldCharType="separate"/>
            </w:r>
            <w:r w:rsidR="008F2630">
              <w:rPr>
                <w:noProof/>
                <w:webHidden/>
              </w:rPr>
              <w:t>54</w:t>
            </w:r>
            <w:r w:rsidR="008F2630">
              <w:rPr>
                <w:noProof/>
                <w:webHidden/>
              </w:rPr>
              <w:fldChar w:fldCharType="end"/>
            </w:r>
          </w:hyperlink>
        </w:p>
        <w:p w14:paraId="289DDB0A" w14:textId="77777777" w:rsidR="008F2630" w:rsidRDefault="00C92C73">
          <w:pPr>
            <w:pStyle w:val="TOC1"/>
            <w:tabs>
              <w:tab w:val="left" w:pos="480"/>
              <w:tab w:val="right" w:leader="dot" w:pos="9350"/>
            </w:tabs>
            <w:rPr>
              <w:rFonts w:asciiTheme="minorHAnsi" w:eastAsiaTheme="minorEastAsia" w:hAnsiTheme="minorHAnsi"/>
              <w:noProof/>
              <w:sz w:val="22"/>
              <w:lang w:val="en-GB" w:eastAsia="en-GB"/>
            </w:rPr>
          </w:pPr>
          <w:hyperlink w:anchor="_Toc411949962" w:history="1">
            <w:r w:rsidR="008F2630" w:rsidRPr="004F7865">
              <w:rPr>
                <w:rStyle w:val="Hyperlink"/>
                <w:noProof/>
              </w:rPr>
              <w:t>8</w:t>
            </w:r>
            <w:r w:rsidR="008F2630">
              <w:rPr>
                <w:rFonts w:asciiTheme="minorHAnsi" w:eastAsiaTheme="minorEastAsia" w:hAnsiTheme="minorHAnsi"/>
                <w:noProof/>
                <w:sz w:val="22"/>
                <w:lang w:val="en-GB" w:eastAsia="en-GB"/>
              </w:rPr>
              <w:tab/>
            </w:r>
            <w:r w:rsidR="008F2630" w:rsidRPr="004F7865">
              <w:rPr>
                <w:rStyle w:val="Hyperlink"/>
                <w:noProof/>
              </w:rPr>
              <w:t>Results Framework: Priority Interventions, Results and Indicators</w:t>
            </w:r>
            <w:r w:rsidR="008F2630">
              <w:rPr>
                <w:noProof/>
                <w:webHidden/>
              </w:rPr>
              <w:tab/>
            </w:r>
            <w:r w:rsidR="008F2630">
              <w:rPr>
                <w:noProof/>
                <w:webHidden/>
              </w:rPr>
              <w:fldChar w:fldCharType="begin"/>
            </w:r>
            <w:r w:rsidR="008F2630">
              <w:rPr>
                <w:noProof/>
                <w:webHidden/>
              </w:rPr>
              <w:instrText xml:space="preserve"> PAGEREF _Toc411949962 \h </w:instrText>
            </w:r>
            <w:r w:rsidR="008F2630">
              <w:rPr>
                <w:noProof/>
                <w:webHidden/>
              </w:rPr>
            </w:r>
            <w:r w:rsidR="008F2630">
              <w:rPr>
                <w:noProof/>
                <w:webHidden/>
              </w:rPr>
              <w:fldChar w:fldCharType="separate"/>
            </w:r>
            <w:r w:rsidR="008F2630">
              <w:rPr>
                <w:noProof/>
                <w:webHidden/>
              </w:rPr>
              <w:t>55</w:t>
            </w:r>
            <w:r w:rsidR="008F2630">
              <w:rPr>
                <w:noProof/>
                <w:webHidden/>
              </w:rPr>
              <w:fldChar w:fldCharType="end"/>
            </w:r>
          </w:hyperlink>
        </w:p>
        <w:p w14:paraId="4AE8D896" w14:textId="77777777" w:rsidR="008F2630" w:rsidRDefault="00C92C73">
          <w:pPr>
            <w:pStyle w:val="TOC3"/>
            <w:rPr>
              <w:rFonts w:asciiTheme="minorHAnsi" w:eastAsiaTheme="minorEastAsia" w:hAnsiTheme="minorHAnsi"/>
              <w:noProof/>
              <w:sz w:val="22"/>
              <w:lang w:val="en-GB" w:eastAsia="en-GB"/>
            </w:rPr>
          </w:pPr>
          <w:hyperlink w:anchor="_Toc411949963" w:history="1">
            <w:r w:rsidR="008F2630" w:rsidRPr="004F7865">
              <w:rPr>
                <w:rStyle w:val="Hyperlink"/>
                <w:noProof/>
              </w:rPr>
              <w:t>8.1 Health Financing Strategy Monitoring Structure</w:t>
            </w:r>
            <w:r w:rsidR="008F2630">
              <w:rPr>
                <w:noProof/>
                <w:webHidden/>
              </w:rPr>
              <w:tab/>
            </w:r>
            <w:r w:rsidR="008F2630">
              <w:rPr>
                <w:noProof/>
                <w:webHidden/>
              </w:rPr>
              <w:fldChar w:fldCharType="begin"/>
            </w:r>
            <w:r w:rsidR="008F2630">
              <w:rPr>
                <w:noProof/>
                <w:webHidden/>
              </w:rPr>
              <w:instrText xml:space="preserve"> PAGEREF _Toc411949963 \h </w:instrText>
            </w:r>
            <w:r w:rsidR="008F2630">
              <w:rPr>
                <w:noProof/>
                <w:webHidden/>
              </w:rPr>
            </w:r>
            <w:r w:rsidR="008F2630">
              <w:rPr>
                <w:noProof/>
                <w:webHidden/>
              </w:rPr>
              <w:fldChar w:fldCharType="separate"/>
            </w:r>
            <w:r w:rsidR="008F2630">
              <w:rPr>
                <w:noProof/>
                <w:webHidden/>
              </w:rPr>
              <w:t>55</w:t>
            </w:r>
            <w:r w:rsidR="008F2630">
              <w:rPr>
                <w:noProof/>
                <w:webHidden/>
              </w:rPr>
              <w:fldChar w:fldCharType="end"/>
            </w:r>
          </w:hyperlink>
        </w:p>
        <w:p w14:paraId="61C9D70B" w14:textId="77777777" w:rsidR="008F2630" w:rsidRDefault="00C92C73">
          <w:pPr>
            <w:pStyle w:val="TOC3"/>
            <w:rPr>
              <w:rFonts w:asciiTheme="minorHAnsi" w:eastAsiaTheme="minorEastAsia" w:hAnsiTheme="minorHAnsi"/>
              <w:noProof/>
              <w:sz w:val="22"/>
              <w:lang w:val="en-GB" w:eastAsia="en-GB"/>
            </w:rPr>
          </w:pPr>
          <w:hyperlink w:anchor="_Toc411949964" w:history="1">
            <w:r w:rsidR="008F2630" w:rsidRPr="004F7865">
              <w:rPr>
                <w:rStyle w:val="Hyperlink"/>
                <w:noProof/>
              </w:rPr>
              <w:t>Figure 8.1 Universal Health Coverage Results Chain Framework</w:t>
            </w:r>
            <w:r w:rsidR="008F2630">
              <w:rPr>
                <w:noProof/>
                <w:webHidden/>
              </w:rPr>
              <w:tab/>
            </w:r>
            <w:r w:rsidR="008F2630">
              <w:rPr>
                <w:noProof/>
                <w:webHidden/>
              </w:rPr>
              <w:fldChar w:fldCharType="begin"/>
            </w:r>
            <w:r w:rsidR="008F2630">
              <w:rPr>
                <w:noProof/>
                <w:webHidden/>
              </w:rPr>
              <w:instrText xml:space="preserve"> PAGEREF _Toc411949964 \h </w:instrText>
            </w:r>
            <w:r w:rsidR="008F2630">
              <w:rPr>
                <w:noProof/>
                <w:webHidden/>
              </w:rPr>
            </w:r>
            <w:r w:rsidR="008F2630">
              <w:rPr>
                <w:noProof/>
                <w:webHidden/>
              </w:rPr>
              <w:fldChar w:fldCharType="separate"/>
            </w:r>
            <w:r w:rsidR="008F2630">
              <w:rPr>
                <w:noProof/>
                <w:webHidden/>
              </w:rPr>
              <w:t>55</w:t>
            </w:r>
            <w:r w:rsidR="008F2630">
              <w:rPr>
                <w:noProof/>
                <w:webHidden/>
              </w:rPr>
              <w:fldChar w:fldCharType="end"/>
            </w:r>
          </w:hyperlink>
        </w:p>
        <w:p w14:paraId="174BB80F" w14:textId="77777777" w:rsidR="008F2630" w:rsidRDefault="00C92C73">
          <w:pPr>
            <w:pStyle w:val="TOC3"/>
            <w:rPr>
              <w:rFonts w:asciiTheme="minorHAnsi" w:eastAsiaTheme="minorEastAsia" w:hAnsiTheme="minorHAnsi"/>
              <w:noProof/>
              <w:sz w:val="22"/>
              <w:lang w:val="en-GB" w:eastAsia="en-GB"/>
            </w:rPr>
          </w:pPr>
          <w:hyperlink w:anchor="_Toc411949965" w:history="1">
            <w:r w:rsidR="008F2630" w:rsidRPr="004F7865">
              <w:rPr>
                <w:rStyle w:val="Hyperlink"/>
                <w:noProof/>
              </w:rPr>
              <w:t>8.2 Outcome and Impact Indicators and Targets</w:t>
            </w:r>
            <w:r w:rsidR="008F2630">
              <w:rPr>
                <w:noProof/>
                <w:webHidden/>
              </w:rPr>
              <w:tab/>
            </w:r>
            <w:r w:rsidR="008F2630">
              <w:rPr>
                <w:noProof/>
                <w:webHidden/>
              </w:rPr>
              <w:fldChar w:fldCharType="begin"/>
            </w:r>
            <w:r w:rsidR="008F2630">
              <w:rPr>
                <w:noProof/>
                <w:webHidden/>
              </w:rPr>
              <w:instrText xml:space="preserve"> PAGEREF _Toc411949965 \h </w:instrText>
            </w:r>
            <w:r w:rsidR="008F2630">
              <w:rPr>
                <w:noProof/>
                <w:webHidden/>
              </w:rPr>
            </w:r>
            <w:r w:rsidR="008F2630">
              <w:rPr>
                <w:noProof/>
                <w:webHidden/>
              </w:rPr>
              <w:fldChar w:fldCharType="separate"/>
            </w:r>
            <w:r w:rsidR="008F2630">
              <w:rPr>
                <w:noProof/>
                <w:webHidden/>
              </w:rPr>
              <w:t>55</w:t>
            </w:r>
            <w:r w:rsidR="008F2630">
              <w:rPr>
                <w:noProof/>
                <w:webHidden/>
              </w:rPr>
              <w:fldChar w:fldCharType="end"/>
            </w:r>
          </w:hyperlink>
        </w:p>
        <w:p w14:paraId="4EE0E2FA" w14:textId="77777777" w:rsidR="008F2630" w:rsidRDefault="00C92C73">
          <w:pPr>
            <w:pStyle w:val="TOC3"/>
            <w:rPr>
              <w:rFonts w:asciiTheme="minorHAnsi" w:eastAsiaTheme="minorEastAsia" w:hAnsiTheme="minorHAnsi"/>
              <w:noProof/>
              <w:sz w:val="22"/>
              <w:lang w:val="en-GB" w:eastAsia="en-GB"/>
            </w:rPr>
          </w:pPr>
          <w:hyperlink w:anchor="_Toc411949966" w:history="1">
            <w:r w:rsidR="008F2630" w:rsidRPr="004F7865">
              <w:rPr>
                <w:rStyle w:val="Hyperlink"/>
                <w:noProof/>
              </w:rPr>
              <w:t>8.3 Evaluation Plan</w:t>
            </w:r>
            <w:r w:rsidR="008F2630">
              <w:rPr>
                <w:noProof/>
                <w:webHidden/>
              </w:rPr>
              <w:tab/>
            </w:r>
            <w:r w:rsidR="008F2630">
              <w:rPr>
                <w:noProof/>
                <w:webHidden/>
              </w:rPr>
              <w:fldChar w:fldCharType="begin"/>
            </w:r>
            <w:r w:rsidR="008F2630">
              <w:rPr>
                <w:noProof/>
                <w:webHidden/>
              </w:rPr>
              <w:instrText xml:space="preserve"> PAGEREF _Toc411949966 \h </w:instrText>
            </w:r>
            <w:r w:rsidR="008F2630">
              <w:rPr>
                <w:noProof/>
                <w:webHidden/>
              </w:rPr>
            </w:r>
            <w:r w:rsidR="008F2630">
              <w:rPr>
                <w:noProof/>
                <w:webHidden/>
              </w:rPr>
              <w:fldChar w:fldCharType="separate"/>
            </w:r>
            <w:r w:rsidR="008F2630">
              <w:rPr>
                <w:noProof/>
                <w:webHidden/>
              </w:rPr>
              <w:t>56</w:t>
            </w:r>
            <w:r w:rsidR="008F2630">
              <w:rPr>
                <w:noProof/>
                <w:webHidden/>
              </w:rPr>
              <w:fldChar w:fldCharType="end"/>
            </w:r>
          </w:hyperlink>
        </w:p>
        <w:p w14:paraId="2F01F233" w14:textId="77777777" w:rsidR="00F45012" w:rsidRDefault="00C01A1A">
          <w:r>
            <w:rPr>
              <w:b/>
              <w:bCs/>
              <w:noProof/>
            </w:rPr>
            <w:fldChar w:fldCharType="end"/>
          </w:r>
        </w:p>
      </w:sdtContent>
    </w:sdt>
    <w:p w14:paraId="78B55256" w14:textId="77777777" w:rsidR="00F45012" w:rsidRDefault="00F45012">
      <w:pPr>
        <w:spacing w:after="200"/>
        <w:jc w:val="left"/>
        <w:rPr>
          <w:rFonts w:asciiTheme="majorHAnsi" w:eastAsiaTheme="majorEastAsia" w:hAnsiTheme="majorHAnsi" w:cstheme="majorBidi"/>
          <w:color w:val="17365D" w:themeColor="text2" w:themeShade="BF"/>
          <w:spacing w:val="5"/>
          <w:kern w:val="28"/>
          <w:sz w:val="32"/>
          <w:szCs w:val="52"/>
        </w:rPr>
      </w:pPr>
      <w:r>
        <w:br w:type="page"/>
      </w:r>
    </w:p>
    <w:p w14:paraId="5F24ACD8" w14:textId="059FBE79" w:rsidR="000913DF" w:rsidRPr="00EB4F0C" w:rsidRDefault="000913DF" w:rsidP="0066032E">
      <w:pPr>
        <w:pStyle w:val="Title"/>
      </w:pPr>
    </w:p>
    <w:p w14:paraId="4D8B7620" w14:textId="77777777" w:rsidR="00393F1C" w:rsidRPr="00EB4F0C" w:rsidRDefault="00FC53F9" w:rsidP="0066032E">
      <w:pPr>
        <w:pStyle w:val="Heading1"/>
      </w:pPr>
      <w:bookmarkStart w:id="0" w:name="_Toc411949908"/>
      <w:r w:rsidRPr="00EB4F0C">
        <w:t>Background</w:t>
      </w:r>
      <w:bookmarkEnd w:id="0"/>
    </w:p>
    <w:p w14:paraId="7A3F9718" w14:textId="77777777" w:rsidR="0023565D" w:rsidRPr="0023565D" w:rsidRDefault="0023565D" w:rsidP="0066032E">
      <w:pPr>
        <w:pStyle w:val="Heading2"/>
        <w:rPr>
          <w:rFonts w:eastAsia="Calibri"/>
        </w:rPr>
      </w:pPr>
      <w:bookmarkStart w:id="1" w:name="_Toc411949909"/>
      <w:r w:rsidRPr="0023565D">
        <w:rPr>
          <w:rFonts w:eastAsia="Calibri"/>
        </w:rPr>
        <w:t>Rational</w:t>
      </w:r>
      <w:r w:rsidR="003A7987">
        <w:rPr>
          <w:rFonts w:eastAsia="Calibri"/>
        </w:rPr>
        <w:t>e</w:t>
      </w:r>
      <w:r w:rsidRPr="0023565D">
        <w:rPr>
          <w:rFonts w:eastAsia="Calibri"/>
        </w:rPr>
        <w:t xml:space="preserve"> for the H</w:t>
      </w:r>
      <w:r w:rsidR="00D10884">
        <w:rPr>
          <w:rFonts w:eastAsia="Calibri"/>
        </w:rPr>
        <w:t xml:space="preserve">ealth </w:t>
      </w:r>
      <w:r w:rsidRPr="0023565D">
        <w:rPr>
          <w:rFonts w:eastAsia="Calibri"/>
        </w:rPr>
        <w:t>F</w:t>
      </w:r>
      <w:r w:rsidR="00D10884">
        <w:rPr>
          <w:rFonts w:eastAsia="Calibri"/>
        </w:rPr>
        <w:t xml:space="preserve">inancing </w:t>
      </w:r>
      <w:r w:rsidRPr="0023565D">
        <w:rPr>
          <w:rFonts w:eastAsia="Calibri"/>
        </w:rPr>
        <w:t>S</w:t>
      </w:r>
      <w:r w:rsidR="00D10884">
        <w:rPr>
          <w:rFonts w:eastAsia="Calibri"/>
        </w:rPr>
        <w:t>trategy</w:t>
      </w:r>
      <w:bookmarkEnd w:id="1"/>
    </w:p>
    <w:p w14:paraId="74945C04" w14:textId="77777777" w:rsidR="0023565D" w:rsidRDefault="003A7987" w:rsidP="00BD52C4">
      <w:r>
        <w:t>In 2007</w:t>
      </w:r>
      <w:r w:rsidR="0023565D" w:rsidRPr="0023565D">
        <w:t xml:space="preserve">, the Government of Tanzania </w:t>
      </w:r>
      <w:r w:rsidR="009E163C">
        <w:t xml:space="preserve">(GOT) </w:t>
      </w:r>
      <w:r w:rsidR="0023565D" w:rsidRPr="0023565D">
        <w:t xml:space="preserve">adopted a Health Policy with the policy vision </w:t>
      </w:r>
      <w:r w:rsidR="0023565D" w:rsidRPr="009E163C">
        <w:rPr>
          <w:i/>
        </w:rPr>
        <w:t xml:space="preserve">“to improve the health and </w:t>
      </w:r>
      <w:r w:rsidRPr="009E163C">
        <w:rPr>
          <w:i/>
        </w:rPr>
        <w:t>well-being</w:t>
      </w:r>
      <w:r w:rsidR="0023565D" w:rsidRPr="009E163C">
        <w:rPr>
          <w:i/>
        </w:rPr>
        <w:t xml:space="preserve"> of all Tanzanians with a focus on those most at risk […]”</w:t>
      </w:r>
      <w:r w:rsidR="0023565D" w:rsidRPr="0023565D">
        <w:t>. This vision remains valid and</w:t>
      </w:r>
      <w:r w:rsidR="00490D91">
        <w:t xml:space="preserve"> the</w:t>
      </w:r>
      <w:r w:rsidR="0023565D" w:rsidRPr="0023565D">
        <w:t xml:space="preserve"> GOT is committed to moving towards Universal Health Coverage </w:t>
      </w:r>
      <w:r w:rsidR="009E163C">
        <w:t xml:space="preserve">(UHC) </w:t>
      </w:r>
      <w:r w:rsidR="00490D91">
        <w:t xml:space="preserve">by making sure that everybody has access to needed health services of high quality and is protected against financial risks that could arise as a result of paying of health care. </w:t>
      </w:r>
      <w:r w:rsidR="0023565D" w:rsidRPr="0023565D">
        <w:t>As part of the Health Sector Strategic Plan III</w:t>
      </w:r>
      <w:r w:rsidR="00BD52C4">
        <w:t xml:space="preserve"> (2009-2015) (HSSP III)</w:t>
      </w:r>
      <w:r w:rsidR="0023565D" w:rsidRPr="0023565D">
        <w:t xml:space="preserve">, a decision was taken to develop a </w:t>
      </w:r>
      <w:r w:rsidR="0023565D" w:rsidRPr="0023565D">
        <w:rPr>
          <w:b/>
        </w:rPr>
        <w:t>Health Financing Strategy</w:t>
      </w:r>
      <w:r w:rsidR="0023565D" w:rsidRPr="0023565D">
        <w:t xml:space="preserve"> to ensure that this vision </w:t>
      </w:r>
      <w:r w:rsidR="00793C1A">
        <w:t>is realized</w:t>
      </w:r>
      <w:r w:rsidR="0023565D" w:rsidRPr="0023565D">
        <w:t>.</w:t>
      </w:r>
    </w:p>
    <w:p w14:paraId="7A9AFFA8" w14:textId="77777777" w:rsidR="0023565D" w:rsidRPr="0023565D" w:rsidRDefault="0023565D" w:rsidP="002E07C5">
      <w:pPr>
        <w:autoSpaceDE w:val="0"/>
        <w:autoSpaceDN w:val="0"/>
        <w:adjustRightInd w:val="0"/>
        <w:spacing w:line="240" w:lineRule="auto"/>
        <w:rPr>
          <w:rFonts w:eastAsia="Calibri" w:cs="Arial"/>
          <w:szCs w:val="24"/>
        </w:rPr>
      </w:pPr>
    </w:p>
    <w:p w14:paraId="274EDA20" w14:textId="77777777" w:rsidR="00A37771" w:rsidRDefault="00A37771" w:rsidP="00BD52C4">
      <w:r w:rsidRPr="00A37771">
        <w:t xml:space="preserve">Tanzania is entering a new phase of health financing reforms based on </w:t>
      </w:r>
      <w:r w:rsidR="00BD52C4">
        <w:t xml:space="preserve">those </w:t>
      </w:r>
      <w:r w:rsidRPr="00A37771">
        <w:t>undertaken since the early 1990’s. The first phase of reforms moved the Tanzanian health financ</w:t>
      </w:r>
      <w:r w:rsidR="00BD52C4">
        <w:t>ing system from a purely budget-</w:t>
      </w:r>
      <w:r w:rsidRPr="00A37771">
        <w:t>financed system to a mixed financing model with the hope of increasing availability and quality of care. In this first phase, user-fees (in 1993), Community Health Funds (CHFs – from 199</w:t>
      </w:r>
      <w:r w:rsidR="0056345C">
        <w:t>6</w:t>
      </w:r>
      <w:r w:rsidRPr="00A37771">
        <w:t xml:space="preserve"> onwards) and the National Health Insurance Fund (NHIF – in 1999) were introduced in order to leverage additional funds, build community ownership</w:t>
      </w:r>
      <w:r w:rsidR="000F4A1D">
        <w:t>,</w:t>
      </w:r>
      <w:r w:rsidRPr="00A37771">
        <w:t xml:space="preserve"> and create stronger accountability of service providers.</w:t>
      </w:r>
      <w:r>
        <w:t xml:space="preserve"> However, these mechanisms have largely failed to achieve significant population coverage and thus adequate social health protection. </w:t>
      </w:r>
      <w:r w:rsidRPr="00A37771">
        <w:t xml:space="preserve"> </w:t>
      </w:r>
    </w:p>
    <w:p w14:paraId="1712CE7A" w14:textId="77777777" w:rsidR="00A37771" w:rsidRDefault="00A37771" w:rsidP="001514DE">
      <w:pPr>
        <w:autoSpaceDE w:val="0"/>
        <w:autoSpaceDN w:val="0"/>
        <w:adjustRightInd w:val="0"/>
        <w:spacing w:line="240" w:lineRule="auto"/>
        <w:rPr>
          <w:rFonts w:eastAsia="Calibri" w:cs="Arial"/>
          <w:szCs w:val="24"/>
        </w:rPr>
      </w:pPr>
    </w:p>
    <w:p w14:paraId="4787D16C" w14:textId="668B4EDA" w:rsidR="001514DE" w:rsidRDefault="00170579" w:rsidP="00BD52C4">
      <w:r>
        <w:t>A</w:t>
      </w:r>
      <w:r w:rsidR="001514DE" w:rsidRPr="001514DE">
        <w:t xml:space="preserve"> large body of evidence shows that spending from public sources, especially </w:t>
      </w:r>
      <w:r w:rsidR="00AE632A">
        <w:t xml:space="preserve">from </w:t>
      </w:r>
      <w:r w:rsidR="001514DE" w:rsidRPr="001514DE">
        <w:t>domestic</w:t>
      </w:r>
      <w:r w:rsidR="00AE632A">
        <w:t xml:space="preserve"> sources</w:t>
      </w:r>
      <w:r w:rsidR="001514DE" w:rsidRPr="001514DE">
        <w:t>, is still too low to finance a package of essential health services</w:t>
      </w:r>
      <w:r w:rsidR="00480C06">
        <w:t xml:space="preserve"> or minimum benefit package</w:t>
      </w:r>
      <w:r w:rsidR="00AE632A">
        <w:t>. U</w:t>
      </w:r>
      <w:r w:rsidR="001514DE" w:rsidRPr="001514DE">
        <w:t xml:space="preserve">ser-fees are </w:t>
      </w:r>
      <w:r w:rsidR="00AE632A">
        <w:t xml:space="preserve">still </w:t>
      </w:r>
      <w:r w:rsidR="001514DE" w:rsidRPr="001514DE">
        <w:t>a barrier to access</w:t>
      </w:r>
      <w:r w:rsidR="00AE632A">
        <w:t xml:space="preserve"> especially among the poor while</w:t>
      </w:r>
      <w:r w:rsidR="001514DE" w:rsidRPr="001514DE">
        <w:t xml:space="preserve"> coverage of pre-payment schemes is low, funding is not distributed equitably between and within districts, and the limited funds available are not used efficiently to achieve the maximum effect</w:t>
      </w:r>
      <w:r w:rsidR="000F4A1D">
        <w:t xml:space="preserve"> </w:t>
      </w:r>
      <w:r w:rsidR="00861DC9">
        <w:t>(NHA 2010).</w:t>
      </w:r>
      <w:r w:rsidR="001514DE" w:rsidRPr="001514DE">
        <w:t xml:space="preserve"> Accountability and transparency can also still be improved.</w:t>
      </w:r>
      <w:r w:rsidR="00490D91">
        <w:t xml:space="preserve"> The above challenges are to a large extent a result of a highly fragmented health financing system whereby a lot of small </w:t>
      </w:r>
      <w:r w:rsidR="00480C06">
        <w:t>risk</w:t>
      </w:r>
      <w:r w:rsidR="00490D91">
        <w:t xml:space="preserve"> pools financ</w:t>
      </w:r>
      <w:r w:rsidR="00480C06">
        <w:t>e</w:t>
      </w:r>
      <w:r w:rsidR="00490D91">
        <w:t xml:space="preserve"> health care needs of different small segments of the population.</w:t>
      </w:r>
    </w:p>
    <w:p w14:paraId="4079F16E" w14:textId="77777777" w:rsidR="000A3D12" w:rsidRPr="001514DE" w:rsidRDefault="000A3D12" w:rsidP="001514DE">
      <w:pPr>
        <w:autoSpaceDE w:val="0"/>
        <w:autoSpaceDN w:val="0"/>
        <w:adjustRightInd w:val="0"/>
        <w:spacing w:line="240" w:lineRule="auto"/>
        <w:rPr>
          <w:rFonts w:eastAsia="Calibri" w:cs="Arial"/>
          <w:szCs w:val="24"/>
        </w:rPr>
      </w:pPr>
    </w:p>
    <w:p w14:paraId="42622392" w14:textId="77777777" w:rsidR="0023565D" w:rsidRPr="0023565D" w:rsidRDefault="00861DC9" w:rsidP="00BD52C4">
      <w:pPr>
        <w:pStyle w:val="Heading2"/>
        <w:rPr>
          <w:rFonts w:eastAsia="Calibri"/>
        </w:rPr>
      </w:pPr>
      <w:bookmarkStart w:id="2" w:name="_Toc411949910"/>
      <w:r>
        <w:rPr>
          <w:rFonts w:eastAsia="Calibri"/>
        </w:rPr>
        <w:t>The P</w:t>
      </w:r>
      <w:r w:rsidR="0023565D" w:rsidRPr="0023565D">
        <w:rPr>
          <w:rFonts w:eastAsia="Calibri"/>
        </w:rPr>
        <w:t xml:space="preserve">rocess </w:t>
      </w:r>
      <w:r w:rsidR="00BD52C4">
        <w:rPr>
          <w:rFonts w:eastAsia="Calibri"/>
        </w:rPr>
        <w:t xml:space="preserve">of </w:t>
      </w:r>
      <w:r>
        <w:rPr>
          <w:rFonts w:eastAsia="Calibri"/>
        </w:rPr>
        <w:t>D</w:t>
      </w:r>
      <w:r w:rsidR="0023565D" w:rsidRPr="0023565D">
        <w:rPr>
          <w:rFonts w:eastAsia="Calibri"/>
        </w:rPr>
        <w:t xml:space="preserve">eveloping </w:t>
      </w:r>
      <w:r w:rsidR="00193D08">
        <w:rPr>
          <w:rFonts w:eastAsia="Calibri"/>
        </w:rPr>
        <w:t xml:space="preserve">the </w:t>
      </w:r>
      <w:r w:rsidR="0023565D" w:rsidRPr="0023565D">
        <w:rPr>
          <w:rFonts w:eastAsia="Calibri"/>
        </w:rPr>
        <w:t>HFS</w:t>
      </w:r>
      <w:bookmarkEnd w:id="2"/>
      <w:r w:rsidR="00C01A39">
        <w:rPr>
          <w:rFonts w:eastAsia="Calibri"/>
        </w:rPr>
        <w:t xml:space="preserve"> </w:t>
      </w:r>
    </w:p>
    <w:p w14:paraId="49FB7566" w14:textId="6F4EE165" w:rsidR="0095453D" w:rsidRDefault="0095453D" w:rsidP="0095453D">
      <w:pPr>
        <w:rPr>
          <w:rFonts w:eastAsia="Calibri" w:cs="Arial"/>
          <w:szCs w:val="24"/>
        </w:rPr>
      </w:pPr>
      <w:r w:rsidRPr="00301084">
        <w:rPr>
          <w:rFonts w:eastAsia="Calibri" w:cs="Arial"/>
          <w:szCs w:val="24"/>
        </w:rPr>
        <w:t xml:space="preserve">The </w:t>
      </w:r>
      <w:r>
        <w:rPr>
          <w:rFonts w:eastAsia="Calibri" w:cs="Arial"/>
          <w:szCs w:val="24"/>
        </w:rPr>
        <w:t xml:space="preserve">need to </w:t>
      </w:r>
      <w:r w:rsidRPr="00301084">
        <w:rPr>
          <w:rFonts w:eastAsia="Calibri" w:cs="Arial"/>
          <w:szCs w:val="24"/>
        </w:rPr>
        <w:t xml:space="preserve">develop </w:t>
      </w:r>
      <w:r>
        <w:rPr>
          <w:rFonts w:eastAsia="Calibri" w:cs="Arial"/>
          <w:szCs w:val="24"/>
        </w:rPr>
        <w:t>a</w:t>
      </w:r>
      <w:r w:rsidRPr="00301084">
        <w:rPr>
          <w:rFonts w:eastAsia="Calibri" w:cs="Arial"/>
          <w:szCs w:val="24"/>
        </w:rPr>
        <w:t xml:space="preserve"> </w:t>
      </w:r>
      <w:r>
        <w:rPr>
          <w:rFonts w:eastAsia="Calibri" w:cs="Arial"/>
          <w:szCs w:val="24"/>
        </w:rPr>
        <w:t>H</w:t>
      </w:r>
      <w:r w:rsidRPr="00301084">
        <w:rPr>
          <w:rFonts w:eastAsia="Calibri" w:cs="Arial"/>
          <w:szCs w:val="24"/>
        </w:rPr>
        <w:t xml:space="preserve">ealth Financing </w:t>
      </w:r>
      <w:r>
        <w:rPr>
          <w:rFonts w:eastAsia="Calibri" w:cs="Arial"/>
          <w:szCs w:val="24"/>
        </w:rPr>
        <w:t>S</w:t>
      </w:r>
      <w:r w:rsidRPr="00301084">
        <w:rPr>
          <w:rFonts w:eastAsia="Calibri" w:cs="Arial"/>
          <w:szCs w:val="24"/>
        </w:rPr>
        <w:t xml:space="preserve">trategy was spelt out in </w:t>
      </w:r>
      <w:r>
        <w:rPr>
          <w:rFonts w:eastAsia="Calibri" w:cs="Arial"/>
          <w:szCs w:val="24"/>
        </w:rPr>
        <w:t xml:space="preserve">HSSP III </w:t>
      </w:r>
      <w:r w:rsidRPr="00E342DF">
        <w:rPr>
          <w:rFonts w:eastAsia="Calibri" w:cs="Arial"/>
          <w:szCs w:val="24"/>
        </w:rPr>
        <w:t>(p</w:t>
      </w:r>
      <w:r w:rsidR="00E342DF" w:rsidRPr="00E342DF">
        <w:rPr>
          <w:rFonts w:eastAsia="Calibri" w:cs="Arial"/>
          <w:szCs w:val="24"/>
        </w:rPr>
        <w:t>32</w:t>
      </w:r>
      <w:r w:rsidRPr="00E342DF">
        <w:rPr>
          <w:rFonts w:eastAsia="Calibri" w:cs="Arial"/>
          <w:szCs w:val="24"/>
        </w:rPr>
        <w:t>)</w:t>
      </w:r>
      <w:r>
        <w:rPr>
          <w:rFonts w:eastAsia="Calibri" w:cs="Arial"/>
          <w:szCs w:val="24"/>
        </w:rPr>
        <w:t>,</w:t>
      </w:r>
      <w:r w:rsidR="00AE632A">
        <w:rPr>
          <w:rFonts w:eastAsia="Calibri" w:cs="Arial"/>
          <w:szCs w:val="24"/>
        </w:rPr>
        <w:t xml:space="preserve"> and</w:t>
      </w:r>
      <w:r>
        <w:rPr>
          <w:rFonts w:eastAsia="Calibri" w:cs="Arial"/>
          <w:szCs w:val="24"/>
        </w:rPr>
        <w:t xml:space="preserve"> the pr</w:t>
      </w:r>
      <w:r w:rsidR="00F46CE5">
        <w:rPr>
          <w:rFonts w:eastAsia="Calibri" w:cs="Arial"/>
          <w:szCs w:val="24"/>
        </w:rPr>
        <w:t>ocess started in</w:t>
      </w:r>
      <w:r w:rsidR="00AE632A">
        <w:rPr>
          <w:rFonts w:eastAsia="Calibri" w:cs="Arial"/>
          <w:szCs w:val="24"/>
        </w:rPr>
        <w:t xml:space="preserve"> 2012</w:t>
      </w:r>
      <w:r w:rsidR="00F46CE5">
        <w:rPr>
          <w:rFonts w:eastAsia="Calibri" w:cs="Arial"/>
          <w:szCs w:val="24"/>
        </w:rPr>
        <w:t xml:space="preserve"> </w:t>
      </w:r>
      <w:r>
        <w:rPr>
          <w:rFonts w:eastAsia="Calibri" w:cs="Arial"/>
          <w:szCs w:val="24"/>
        </w:rPr>
        <w:t>with background studies, initial consultations, and efforts to learn from other countries</w:t>
      </w:r>
      <w:r w:rsidR="00F869D7">
        <w:rPr>
          <w:rFonts w:eastAsia="Calibri" w:cs="Arial"/>
          <w:szCs w:val="24"/>
        </w:rPr>
        <w:t xml:space="preserve"> as part of capacity building (Figure 1)</w:t>
      </w:r>
      <w:r>
        <w:rPr>
          <w:rFonts w:eastAsia="Calibri" w:cs="Arial"/>
          <w:szCs w:val="24"/>
        </w:rPr>
        <w:t xml:space="preserve">. </w:t>
      </w:r>
      <w:r w:rsidR="00F869D7">
        <w:rPr>
          <w:rFonts w:eastAsia="Calibri" w:cs="Arial"/>
          <w:szCs w:val="24"/>
        </w:rPr>
        <w:t xml:space="preserve">In order to </w:t>
      </w:r>
      <w:r>
        <w:rPr>
          <w:rFonts w:eastAsia="Calibri" w:cs="Arial"/>
          <w:szCs w:val="24"/>
        </w:rPr>
        <w:t>ensure high level, multi-sectoral Government ownership and oversight of the process</w:t>
      </w:r>
      <w:r w:rsidR="00F869D7">
        <w:rPr>
          <w:rFonts w:eastAsia="Calibri" w:cs="Arial"/>
          <w:szCs w:val="24"/>
        </w:rPr>
        <w:t xml:space="preserve">, </w:t>
      </w:r>
      <w:r>
        <w:rPr>
          <w:rFonts w:eastAsia="Calibri" w:cs="Arial"/>
          <w:szCs w:val="24"/>
        </w:rPr>
        <w:t>the M</w:t>
      </w:r>
      <w:r w:rsidR="00861DC9">
        <w:rPr>
          <w:rFonts w:eastAsia="Calibri" w:cs="Arial"/>
          <w:szCs w:val="24"/>
        </w:rPr>
        <w:t xml:space="preserve">inistry of Health </w:t>
      </w:r>
      <w:r w:rsidR="00861DC9">
        <w:rPr>
          <w:rFonts w:eastAsia="Calibri" w:cs="Arial"/>
          <w:szCs w:val="24"/>
        </w:rPr>
        <w:lastRenderedPageBreak/>
        <w:t>and Social Welfare</w:t>
      </w:r>
      <w:r w:rsidR="002F41E2">
        <w:rPr>
          <w:rFonts w:eastAsia="Calibri" w:cs="Arial"/>
          <w:szCs w:val="24"/>
        </w:rPr>
        <w:t xml:space="preserve"> (MOHSW)</w:t>
      </w:r>
      <w:r w:rsidR="00861DC9">
        <w:rPr>
          <w:rFonts w:eastAsia="Calibri" w:cs="Arial"/>
          <w:szCs w:val="24"/>
        </w:rPr>
        <w:t xml:space="preserve"> </w:t>
      </w:r>
      <w:r>
        <w:rPr>
          <w:rFonts w:eastAsia="Calibri" w:cs="Arial"/>
          <w:szCs w:val="24"/>
        </w:rPr>
        <w:t>inaugurat</w:t>
      </w:r>
      <w:r w:rsidR="00F869D7">
        <w:rPr>
          <w:rFonts w:eastAsia="Calibri" w:cs="Arial"/>
          <w:szCs w:val="24"/>
        </w:rPr>
        <w:t xml:space="preserve">ed </w:t>
      </w:r>
      <w:r>
        <w:rPr>
          <w:rFonts w:eastAsia="Calibri" w:cs="Arial"/>
          <w:szCs w:val="24"/>
        </w:rPr>
        <w:t xml:space="preserve">an </w:t>
      </w:r>
      <w:r w:rsidRPr="00301084">
        <w:rPr>
          <w:rFonts w:eastAsia="Calibri" w:cs="Arial"/>
          <w:szCs w:val="24"/>
        </w:rPr>
        <w:t xml:space="preserve">Inter-Ministerial Steering Committee </w:t>
      </w:r>
      <w:r>
        <w:rPr>
          <w:rFonts w:eastAsia="Calibri" w:cs="Arial"/>
          <w:szCs w:val="24"/>
        </w:rPr>
        <w:t>(ISC)</w:t>
      </w:r>
      <w:r w:rsidR="00F46CE5">
        <w:rPr>
          <w:rStyle w:val="FootnoteReference"/>
          <w:rFonts w:eastAsia="Calibri" w:cs="Arial"/>
          <w:szCs w:val="24"/>
        </w:rPr>
        <w:footnoteReference w:id="1"/>
      </w:r>
      <w:r w:rsidR="00AE632A">
        <w:rPr>
          <w:rFonts w:eastAsia="Calibri" w:cs="Arial"/>
          <w:szCs w:val="24"/>
        </w:rPr>
        <w:t xml:space="preserve"> In August 2012. </w:t>
      </w:r>
      <w:r w:rsidRPr="0095453D">
        <w:t>The ISC comprises repres</w:t>
      </w:r>
      <w:r w:rsidR="00861DC9">
        <w:t xml:space="preserve">entatives of key </w:t>
      </w:r>
      <w:r w:rsidR="00480C06">
        <w:t>m</w:t>
      </w:r>
      <w:r w:rsidR="00861DC9">
        <w:t xml:space="preserve">inistries, </w:t>
      </w:r>
      <w:r w:rsidR="00480C06">
        <w:t>d</w:t>
      </w:r>
      <w:r w:rsidR="00F46CE5">
        <w:t>epartments and agencies</w:t>
      </w:r>
      <w:r w:rsidRPr="0095453D">
        <w:t xml:space="preserve"> to ensure that proposed reforms are comprehensive, accepted and implemented by all stakeholders. Its role was to provide leadership, ensure national ownership of the process, coordinate technical level activities, provide guidance on policy direction and act as a transmission mechanism</w:t>
      </w:r>
      <w:r w:rsidRPr="00301084">
        <w:rPr>
          <w:rFonts w:eastAsia="Calibri" w:cs="Arial"/>
          <w:szCs w:val="24"/>
        </w:rPr>
        <w:t xml:space="preserve"> between </w:t>
      </w:r>
      <w:r>
        <w:rPr>
          <w:rFonts w:eastAsia="Calibri" w:cs="Arial"/>
          <w:szCs w:val="24"/>
        </w:rPr>
        <w:t xml:space="preserve">a </w:t>
      </w:r>
      <w:r w:rsidRPr="00301084">
        <w:rPr>
          <w:rFonts w:eastAsia="Calibri" w:cs="Arial"/>
          <w:szCs w:val="24"/>
        </w:rPr>
        <w:t xml:space="preserve">technical Secretariat and </w:t>
      </w:r>
      <w:r>
        <w:rPr>
          <w:rFonts w:eastAsia="Calibri" w:cs="Arial"/>
          <w:szCs w:val="24"/>
        </w:rPr>
        <w:t>the high-</w:t>
      </w:r>
      <w:r w:rsidRPr="00301084">
        <w:rPr>
          <w:rFonts w:eastAsia="Calibri" w:cs="Arial"/>
          <w:szCs w:val="24"/>
        </w:rPr>
        <w:t>level decision mak</w:t>
      </w:r>
      <w:r>
        <w:rPr>
          <w:rFonts w:eastAsia="Calibri" w:cs="Arial"/>
          <w:szCs w:val="24"/>
        </w:rPr>
        <w:t>ers.</w:t>
      </w:r>
      <w:r w:rsidR="00AE632A">
        <w:rPr>
          <w:rFonts w:eastAsia="Calibri" w:cs="Arial"/>
          <w:szCs w:val="24"/>
        </w:rPr>
        <w:t xml:space="preserve"> </w:t>
      </w:r>
    </w:p>
    <w:p w14:paraId="4ED3B055" w14:textId="77777777" w:rsidR="0095453D" w:rsidRPr="00301084" w:rsidRDefault="0095453D" w:rsidP="0095453D">
      <w:pPr>
        <w:rPr>
          <w:rFonts w:eastAsia="Calibri" w:cs="Arial"/>
          <w:szCs w:val="24"/>
        </w:rPr>
      </w:pPr>
    </w:p>
    <w:p w14:paraId="2A208466" w14:textId="3B6636C2" w:rsidR="0095453D" w:rsidRPr="00362633" w:rsidRDefault="0095453D" w:rsidP="0095453D">
      <w:pPr>
        <w:pStyle w:val="Caption"/>
        <w:rPr>
          <w:rFonts w:eastAsia="Calibri" w:cs="Arial"/>
          <w:szCs w:val="22"/>
        </w:rPr>
      </w:pPr>
      <w:r w:rsidRPr="00362633">
        <w:rPr>
          <w:szCs w:val="22"/>
        </w:rPr>
        <w:t xml:space="preserve">Figure </w:t>
      </w:r>
      <w:r w:rsidR="00C01A1A" w:rsidRPr="00362633">
        <w:rPr>
          <w:szCs w:val="22"/>
        </w:rPr>
        <w:fldChar w:fldCharType="begin"/>
      </w:r>
      <w:r w:rsidR="00434E4F" w:rsidRPr="00362633">
        <w:rPr>
          <w:szCs w:val="22"/>
        </w:rPr>
        <w:instrText xml:space="preserve"> SEQ Figure \* ARABIC </w:instrText>
      </w:r>
      <w:r w:rsidR="00C01A1A" w:rsidRPr="00362633">
        <w:rPr>
          <w:szCs w:val="22"/>
        </w:rPr>
        <w:fldChar w:fldCharType="separate"/>
      </w:r>
      <w:r w:rsidR="00463644" w:rsidRPr="00362633">
        <w:rPr>
          <w:noProof/>
          <w:szCs w:val="22"/>
        </w:rPr>
        <w:t>1</w:t>
      </w:r>
      <w:r w:rsidR="00C01A1A" w:rsidRPr="00362633">
        <w:rPr>
          <w:noProof/>
          <w:szCs w:val="22"/>
        </w:rPr>
        <w:fldChar w:fldCharType="end"/>
      </w:r>
      <w:r w:rsidR="002266EC">
        <w:rPr>
          <w:noProof/>
          <w:szCs w:val="22"/>
        </w:rPr>
        <w:t>.1</w:t>
      </w:r>
      <w:r w:rsidRPr="00362633">
        <w:rPr>
          <w:szCs w:val="22"/>
        </w:rPr>
        <w:t xml:space="preserve"> Process </w:t>
      </w:r>
      <w:r w:rsidRPr="00362633">
        <w:rPr>
          <w:rFonts w:eastAsia="Calibri" w:cs="Arial"/>
          <w:szCs w:val="22"/>
        </w:rPr>
        <w:t>of developing the Health Financing Strategy</w:t>
      </w:r>
    </w:p>
    <w:p w14:paraId="3C83F686" w14:textId="77777777" w:rsidR="0095453D" w:rsidRPr="0095453D" w:rsidRDefault="0095453D" w:rsidP="00362633">
      <w:pPr>
        <w:tabs>
          <w:tab w:val="left" w:pos="0"/>
          <w:tab w:val="left" w:pos="900"/>
          <w:tab w:val="left" w:pos="990"/>
          <w:tab w:val="left" w:pos="1170"/>
        </w:tabs>
        <w:rPr>
          <w:lang w:bidi="en-US"/>
        </w:rPr>
      </w:pPr>
    </w:p>
    <w:p w14:paraId="2D9558BC" w14:textId="188913BE" w:rsidR="0095453D" w:rsidRPr="00005EAF" w:rsidRDefault="000C2442" w:rsidP="0095453D">
      <w:pPr>
        <w:pStyle w:val="ListParagraph"/>
        <w:jc w:val="center"/>
        <w:rPr>
          <w:rFonts w:eastAsia="Calibri" w:cs="Arial"/>
          <w:szCs w:val="24"/>
          <w:highlight w:val="yellow"/>
        </w:rPr>
      </w:pPr>
      <w:r>
        <w:rPr>
          <w:rFonts w:eastAsia="Calibri" w:cs="Arial"/>
          <w:noProof/>
          <w:szCs w:val="24"/>
          <w:highlight w:val="yellow"/>
          <w:lang w:val="en-GB" w:eastAsia="en-GB"/>
        </w:rPr>
        <w:drawing>
          <wp:anchor distT="0" distB="0" distL="114300" distR="114300" simplePos="0" relativeHeight="251731968" behindDoc="0" locked="0" layoutInCell="1" allowOverlap="1" wp14:anchorId="75A3882B" wp14:editId="655A3F31">
            <wp:simplePos x="0" y="0"/>
            <wp:positionH relativeFrom="column">
              <wp:posOffset>590550</wp:posOffset>
            </wp:positionH>
            <wp:positionV relativeFrom="paragraph">
              <wp:posOffset>128905</wp:posOffset>
            </wp:positionV>
            <wp:extent cx="5385816" cy="3831336"/>
            <wp:effectExtent l="133350" t="133350" r="139065" b="169545"/>
            <wp:wrapTopAndBottom/>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85816" cy="383133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409C3E7A" w14:textId="3EDDEB59" w:rsidR="00005EAF" w:rsidRDefault="0095453D" w:rsidP="009E163C">
      <w:pPr>
        <w:rPr>
          <w:rFonts w:eastAsia="Calibri" w:cs="Arial"/>
          <w:szCs w:val="24"/>
        </w:rPr>
      </w:pPr>
      <w:r>
        <w:rPr>
          <w:rFonts w:eastAsia="Calibri" w:cs="Arial"/>
          <w:szCs w:val="24"/>
        </w:rPr>
        <w:t xml:space="preserve"> </w:t>
      </w:r>
      <w:r w:rsidR="00F869D7" w:rsidRPr="00301084">
        <w:rPr>
          <w:rFonts w:eastAsia="Calibri" w:cs="Arial"/>
          <w:szCs w:val="24"/>
        </w:rPr>
        <w:t>A</w:t>
      </w:r>
      <w:r w:rsidR="00F869D7">
        <w:rPr>
          <w:rFonts w:eastAsia="Calibri" w:cs="Arial"/>
          <w:szCs w:val="24"/>
        </w:rPr>
        <w:t xml:space="preserve">n early task of the ISC was to </w:t>
      </w:r>
      <w:r w:rsidR="00F869D7" w:rsidRPr="00301084">
        <w:rPr>
          <w:rFonts w:eastAsia="Calibri" w:cs="Arial"/>
          <w:szCs w:val="24"/>
        </w:rPr>
        <w:t xml:space="preserve">identify eleven reform areas and commission </w:t>
      </w:r>
      <w:r w:rsidR="00F869D7">
        <w:rPr>
          <w:rFonts w:eastAsia="Calibri" w:cs="Arial"/>
          <w:szCs w:val="24"/>
        </w:rPr>
        <w:t xml:space="preserve">a number of studies and option papers in order to generate </w:t>
      </w:r>
      <w:r w:rsidR="00F869D7" w:rsidRPr="00301084">
        <w:rPr>
          <w:rFonts w:eastAsia="Calibri" w:cs="Arial"/>
          <w:szCs w:val="24"/>
        </w:rPr>
        <w:t xml:space="preserve">evidence </w:t>
      </w:r>
      <w:r w:rsidR="00F869D7">
        <w:rPr>
          <w:rFonts w:eastAsia="Calibri" w:cs="Arial"/>
          <w:szCs w:val="24"/>
        </w:rPr>
        <w:t xml:space="preserve">to inform key </w:t>
      </w:r>
      <w:r w:rsidR="00F869D7" w:rsidRPr="00301084">
        <w:rPr>
          <w:rFonts w:eastAsia="Calibri" w:cs="Arial"/>
          <w:szCs w:val="24"/>
        </w:rPr>
        <w:t xml:space="preserve">decisions on these areas. </w:t>
      </w:r>
      <w:r w:rsidR="00F869D7">
        <w:rPr>
          <w:rFonts w:eastAsia="Calibri" w:cs="Arial"/>
          <w:szCs w:val="24"/>
        </w:rPr>
        <w:t>These included papers outlining options for the health insurance market, CHF reform, inclusion of the poor, and the minimum benefit package, among others</w:t>
      </w:r>
      <w:r w:rsidR="00F869D7">
        <w:rPr>
          <w:rStyle w:val="FootnoteReference"/>
          <w:rFonts w:eastAsia="Calibri" w:cs="Arial"/>
          <w:szCs w:val="24"/>
        </w:rPr>
        <w:footnoteReference w:id="2"/>
      </w:r>
      <w:r w:rsidR="00F869D7">
        <w:rPr>
          <w:rFonts w:eastAsia="Calibri" w:cs="Arial"/>
          <w:szCs w:val="24"/>
        </w:rPr>
        <w:t xml:space="preserve">.  </w:t>
      </w:r>
      <w:r w:rsidR="00F869D7">
        <w:rPr>
          <w:rFonts w:eastAsia="Calibri" w:cs="Arial"/>
          <w:szCs w:val="24"/>
        </w:rPr>
        <w:lastRenderedPageBreak/>
        <w:t>S</w:t>
      </w:r>
      <w:r w:rsidR="00F869D7" w:rsidRPr="00301084">
        <w:rPr>
          <w:rFonts w:eastAsia="Calibri" w:cs="Arial"/>
          <w:szCs w:val="24"/>
        </w:rPr>
        <w:t>tud</w:t>
      </w:r>
      <w:r w:rsidR="00F869D7">
        <w:rPr>
          <w:rFonts w:eastAsia="Calibri" w:cs="Arial"/>
          <w:szCs w:val="24"/>
        </w:rPr>
        <w:t xml:space="preserve">y findings </w:t>
      </w:r>
      <w:r w:rsidR="00F869D7" w:rsidRPr="00301084">
        <w:rPr>
          <w:rFonts w:eastAsia="Calibri" w:cs="Arial"/>
          <w:szCs w:val="24"/>
        </w:rPr>
        <w:t xml:space="preserve">were </w:t>
      </w:r>
      <w:r w:rsidR="00F869D7">
        <w:rPr>
          <w:rFonts w:eastAsia="Calibri" w:cs="Arial"/>
          <w:szCs w:val="24"/>
        </w:rPr>
        <w:t xml:space="preserve">discussed and </w:t>
      </w:r>
      <w:r w:rsidR="00F869D7" w:rsidRPr="00301084">
        <w:rPr>
          <w:rFonts w:eastAsia="Calibri" w:cs="Arial"/>
          <w:szCs w:val="24"/>
        </w:rPr>
        <w:t>validated with national stakeholders and form the basis for choosing the proposed social health insurance structure.</w:t>
      </w:r>
    </w:p>
    <w:p w14:paraId="4515B340" w14:textId="77777777" w:rsidR="00F869D7" w:rsidRDefault="00F869D7" w:rsidP="009E163C">
      <w:pPr>
        <w:rPr>
          <w:rFonts w:eastAsia="Calibri" w:cs="Arial"/>
          <w:szCs w:val="24"/>
        </w:rPr>
      </w:pPr>
    </w:p>
    <w:p w14:paraId="6C8A6B6C" w14:textId="77777777" w:rsidR="00F869D7" w:rsidRDefault="00F869D7" w:rsidP="009E163C">
      <w:pPr>
        <w:rPr>
          <w:rFonts w:eastAsia="Calibri" w:cs="Arial"/>
          <w:szCs w:val="24"/>
        </w:rPr>
      </w:pPr>
      <w:r>
        <w:rPr>
          <w:rFonts w:eastAsia="Calibri" w:cs="Arial"/>
          <w:szCs w:val="24"/>
        </w:rPr>
        <w:t>The proposed social health insurance structure was again comprehensively discussed by stakeholders at the national and district levels for further inputs before coming up with a refined final structure that is presented in this strategy.</w:t>
      </w:r>
    </w:p>
    <w:p w14:paraId="154811E3" w14:textId="77777777" w:rsidR="00F869D7" w:rsidRPr="009E163C" w:rsidRDefault="00F869D7" w:rsidP="009E163C">
      <w:pPr>
        <w:rPr>
          <w:rFonts w:eastAsia="Calibri" w:cs="Arial"/>
          <w:szCs w:val="24"/>
        </w:rPr>
      </w:pPr>
    </w:p>
    <w:p w14:paraId="08E2EA7D" w14:textId="77777777" w:rsidR="0023565D" w:rsidRPr="0023565D" w:rsidRDefault="0023565D" w:rsidP="000F4A1D">
      <w:pPr>
        <w:pStyle w:val="Heading2"/>
        <w:rPr>
          <w:rFonts w:eastAsia="Times New Roman"/>
        </w:rPr>
      </w:pPr>
      <w:bookmarkStart w:id="3" w:name="_Toc319926138"/>
      <w:bookmarkStart w:id="4" w:name="_Toc411949911"/>
      <w:r w:rsidRPr="0023565D">
        <w:rPr>
          <w:rFonts w:eastAsia="Times New Roman"/>
        </w:rPr>
        <w:t>Demographi</w:t>
      </w:r>
      <w:r w:rsidR="000F4A1D">
        <w:rPr>
          <w:rFonts w:eastAsia="Times New Roman"/>
        </w:rPr>
        <w:t>c t</w:t>
      </w:r>
      <w:r w:rsidRPr="0023565D">
        <w:rPr>
          <w:rFonts w:eastAsia="Times New Roman"/>
        </w:rPr>
        <w:t>rends</w:t>
      </w:r>
      <w:bookmarkEnd w:id="3"/>
      <w:bookmarkEnd w:id="4"/>
      <w:r w:rsidR="003324EA">
        <w:rPr>
          <w:rFonts w:eastAsia="Times New Roman"/>
        </w:rPr>
        <w:t xml:space="preserve"> </w:t>
      </w:r>
    </w:p>
    <w:p w14:paraId="044A79A8" w14:textId="210C4B21" w:rsidR="00202C85" w:rsidRDefault="002F41E2" w:rsidP="000F4A1D">
      <w:r>
        <w:t>According to the 2012</w:t>
      </w:r>
      <w:r w:rsidR="00630956">
        <w:t xml:space="preserve"> population and housing census</w:t>
      </w:r>
      <w:r>
        <w:t xml:space="preserve"> Tanzania Mainland where this H</w:t>
      </w:r>
      <w:r w:rsidR="00480C06">
        <w:t xml:space="preserve">ealth </w:t>
      </w:r>
      <w:r>
        <w:t>F</w:t>
      </w:r>
      <w:r w:rsidR="00480C06">
        <w:t xml:space="preserve">inancing </w:t>
      </w:r>
      <w:r>
        <w:t>S</w:t>
      </w:r>
      <w:r w:rsidR="00480C06">
        <w:t>trategy</w:t>
      </w:r>
      <w:r>
        <w:t xml:space="preserve"> applies had a population of </w:t>
      </w:r>
      <w:r w:rsidRPr="0023565D">
        <w:t>43,625,</w:t>
      </w:r>
      <w:r w:rsidR="005F4025">
        <w:t xml:space="preserve">354 </w:t>
      </w:r>
      <w:r w:rsidR="00C01A1A">
        <w:fldChar w:fldCharType="begin"/>
      </w:r>
      <w:r w:rsidR="001E31C0">
        <w:instrText xml:space="preserve"> ADDIN EN.CITE &lt;EndNote&gt;&lt;Cite&gt;&lt;Author&gt;National Bureau of Statistics&lt;/Author&gt;&lt;Year&gt;2013&lt;/Year&gt;&lt;RecNum&gt;869&lt;/RecNum&gt;&lt;record&gt;&lt;rec-number&gt;869&lt;/rec-number&gt;&lt;ref-type name="Report"&gt;27&lt;/ref-type&gt;&lt;contributors&gt;&lt;authors&gt;&lt;author&gt;National Bureau of Statistics,&lt;/author&gt;&lt;/authors&gt;&lt;/contributors&gt;&lt;titles&gt;&lt;title&gt;Tanzania in Figures 2012&lt;/title&gt;&lt;/titles&gt;&lt;dates&gt;&lt;year&gt;2013&lt;/year&gt;&lt;/dates&gt;&lt;pub-location&gt;Dar es Salaam&lt;/pub-location&gt;&lt;publisher&gt;National Bureau of Statistics,&lt;/publisher&gt;&lt;urls&gt;&lt;/urls&gt;&lt;/record&gt;&lt;/Cite&gt;&lt;/EndNote&gt;</w:instrText>
      </w:r>
      <w:r w:rsidR="00C01A1A">
        <w:fldChar w:fldCharType="end"/>
      </w:r>
      <w:r w:rsidR="001E31C0">
        <w:t>(</w:t>
      </w:r>
      <w:r w:rsidR="00C57C33">
        <w:t>NBS</w:t>
      </w:r>
      <w:r w:rsidR="001E31C0">
        <w:t xml:space="preserve"> 2013)</w:t>
      </w:r>
      <w:r>
        <w:t>. This is an increase of about 30% compared to the 2002 population census. The population annual growth stand</w:t>
      </w:r>
      <w:r w:rsidR="00480C06">
        <w:t>s</w:t>
      </w:r>
      <w:r>
        <w:t xml:space="preserve"> at </w:t>
      </w:r>
      <w:r w:rsidR="0023565D" w:rsidRPr="0023565D">
        <w:t>2.7</w:t>
      </w:r>
      <w:r w:rsidR="00267347">
        <w:t xml:space="preserve"> </w:t>
      </w:r>
      <w:r w:rsidR="00480C06">
        <w:t xml:space="preserve">percent </w:t>
      </w:r>
      <w:r>
        <w:t xml:space="preserve">which is a small reduction compared to the 2.9 percent growth estimated in 2002. Average household size is about 4.8 with variations between urban (5.3) and rural (1.8). About </w:t>
      </w:r>
      <w:r w:rsidR="00B55AC7">
        <w:t>29.6</w:t>
      </w:r>
      <w:r w:rsidR="00267347">
        <w:t xml:space="preserve"> percent</w:t>
      </w:r>
      <w:r w:rsidR="00B55AC7">
        <w:t xml:space="preserve"> of the </w:t>
      </w:r>
      <w:r>
        <w:t>population lives</w:t>
      </w:r>
      <w:r w:rsidR="00B55AC7">
        <w:t xml:space="preserve"> in urban areas </w:t>
      </w:r>
      <w:r>
        <w:t>and</w:t>
      </w:r>
      <w:r w:rsidR="00B55AC7">
        <w:t xml:space="preserve"> 70.4</w:t>
      </w:r>
      <w:r w:rsidR="00267347">
        <w:t xml:space="preserve"> percent</w:t>
      </w:r>
      <w:r w:rsidR="00B55AC7">
        <w:t xml:space="preserve"> </w:t>
      </w:r>
      <w:r>
        <w:t xml:space="preserve">in rural localities. About </w:t>
      </w:r>
      <w:r w:rsidR="00774B30">
        <w:t>50</w:t>
      </w:r>
      <w:r>
        <w:t>.1</w:t>
      </w:r>
      <w:r w:rsidR="00267347">
        <w:t xml:space="preserve"> percent</w:t>
      </w:r>
      <w:r w:rsidR="0023565D" w:rsidRPr="0023565D">
        <w:t xml:space="preserve"> of the </w:t>
      </w:r>
      <w:r w:rsidR="00C01A39" w:rsidRPr="0023565D">
        <w:t>population is</w:t>
      </w:r>
      <w:r w:rsidR="0023565D" w:rsidRPr="0023565D">
        <w:t xml:space="preserve"> below </w:t>
      </w:r>
      <w:r w:rsidR="00BD41A1">
        <w:t>18</w:t>
      </w:r>
      <w:r w:rsidR="0023565D" w:rsidRPr="0023565D">
        <w:t xml:space="preserve"> years of age</w:t>
      </w:r>
      <w:r w:rsidR="00606DDA">
        <w:t xml:space="preserve">, </w:t>
      </w:r>
      <w:r w:rsidR="00774B30">
        <w:t>16.2</w:t>
      </w:r>
      <w:r w:rsidR="00267347">
        <w:t xml:space="preserve"> percent</w:t>
      </w:r>
      <w:r w:rsidR="00774B30">
        <w:t xml:space="preserve"> of the </w:t>
      </w:r>
      <w:r w:rsidR="009E2160">
        <w:t>population</w:t>
      </w:r>
      <w:r w:rsidR="00774B30">
        <w:t xml:space="preserve"> </w:t>
      </w:r>
      <w:r w:rsidR="00606DDA">
        <w:t xml:space="preserve">aged 5 or under, </w:t>
      </w:r>
      <w:r w:rsidR="000F4A1D">
        <w:t xml:space="preserve">while </w:t>
      </w:r>
      <w:r w:rsidR="00774B30">
        <w:t>5.6</w:t>
      </w:r>
      <w:r w:rsidR="00267347">
        <w:t xml:space="preserve"> percent</w:t>
      </w:r>
      <w:r w:rsidR="0023565D" w:rsidRPr="0023565D">
        <w:t xml:space="preserve"> </w:t>
      </w:r>
      <w:r w:rsidR="00202C85">
        <w:t>is</w:t>
      </w:r>
      <w:r w:rsidR="0023565D" w:rsidRPr="0023565D">
        <w:t xml:space="preserve"> aged 6</w:t>
      </w:r>
      <w:r w:rsidR="00774B30">
        <w:t>0</w:t>
      </w:r>
      <w:r w:rsidR="0023565D" w:rsidRPr="0023565D">
        <w:t xml:space="preserve"> years and above. </w:t>
      </w:r>
      <w:r w:rsidR="000A60D7">
        <w:t xml:space="preserve">Life expectancy at birth is estimated at </w:t>
      </w:r>
      <w:r w:rsidR="00852D78">
        <w:t xml:space="preserve">56 </w:t>
      </w:r>
      <w:r w:rsidR="00D447E5">
        <w:t>years</w:t>
      </w:r>
      <w:r w:rsidR="000A60D7">
        <w:t xml:space="preserve"> </w:t>
      </w:r>
      <w:r w:rsidR="00480C06">
        <w:t xml:space="preserve">which is </w:t>
      </w:r>
      <w:r w:rsidR="000A60D7">
        <w:t xml:space="preserve">an increase from 51 years in 2002 </w:t>
      </w:r>
      <w:r w:rsidR="00C01A1A">
        <w:fldChar w:fldCharType="begin"/>
      </w:r>
      <w:r w:rsidR="001E31C0">
        <w:instrText xml:space="preserve"> ADDIN EN.CITE &lt;EndNote&gt;&lt;Cite&gt;&lt;Author&gt;National Bureau of Statistics&lt;/Author&gt;&lt;Year&gt;2013&lt;/Year&gt;&lt;RecNum&gt;869&lt;/RecNum&gt;&lt;record&gt;&lt;rec-number&gt;869&lt;/rec-number&gt;&lt;ref-type name="Report"&gt;27&lt;/ref-type&gt;&lt;contributors&gt;&lt;authors&gt;&lt;author&gt;National Bureau of Statistics,&lt;/author&gt;&lt;/authors&gt;&lt;/contributors&gt;&lt;titles&gt;&lt;title&gt;Tanzania in Figures 2012&lt;/title&gt;&lt;/titles&gt;&lt;dates&gt;&lt;year&gt;2013&lt;/year&gt;&lt;/dates&gt;&lt;pub-location&gt;Dar es Salaam&lt;/pub-location&gt;&lt;publisher&gt;National Bureau of Statistics,&lt;/publisher&gt;&lt;urls&gt;&lt;/urls&gt;&lt;/record&gt;&lt;/Cite&gt;&lt;/EndNote&gt;</w:instrText>
      </w:r>
      <w:r w:rsidR="00C01A1A">
        <w:fldChar w:fldCharType="end"/>
      </w:r>
      <w:r w:rsidR="001E31C0">
        <w:t>(</w:t>
      </w:r>
      <w:r w:rsidR="00C57C33" w:rsidRPr="00C57C33">
        <w:t>NB</w:t>
      </w:r>
      <w:r w:rsidR="005751E6" w:rsidRPr="00C57C33">
        <w:t>S</w:t>
      </w:r>
      <w:r w:rsidR="001E31C0">
        <w:t xml:space="preserve"> 2013)</w:t>
      </w:r>
      <w:r w:rsidR="00D447E5">
        <w:t xml:space="preserve">. </w:t>
      </w:r>
    </w:p>
    <w:p w14:paraId="3829D702" w14:textId="77777777" w:rsidR="000F4A1D" w:rsidRDefault="000F4A1D" w:rsidP="000F4A1D"/>
    <w:p w14:paraId="382A2B50" w14:textId="77777777" w:rsidR="000A60D7" w:rsidRDefault="000A60D7" w:rsidP="000A60D7">
      <w:pPr>
        <w:pStyle w:val="Heading2"/>
        <w:rPr>
          <w:rFonts w:eastAsia="Times New Roman"/>
        </w:rPr>
      </w:pPr>
      <w:bookmarkStart w:id="5" w:name="_Toc411949912"/>
      <w:r>
        <w:rPr>
          <w:rFonts w:eastAsia="Times New Roman"/>
        </w:rPr>
        <w:t>Economic Context</w:t>
      </w:r>
      <w:bookmarkEnd w:id="5"/>
      <w:r>
        <w:rPr>
          <w:rFonts w:eastAsia="Times New Roman"/>
        </w:rPr>
        <w:t xml:space="preserve"> </w:t>
      </w:r>
    </w:p>
    <w:p w14:paraId="71E83B31" w14:textId="77777777" w:rsidR="000A60D7" w:rsidRDefault="008B7306" w:rsidP="000F4A1D">
      <w:pPr>
        <w:rPr>
          <w:b/>
        </w:rPr>
      </w:pPr>
      <w:r>
        <w:rPr>
          <w:b/>
        </w:rPr>
        <w:t>GDP and Inflation</w:t>
      </w:r>
    </w:p>
    <w:p w14:paraId="5D3B508F" w14:textId="775E665E" w:rsidR="00C01A1A" w:rsidRDefault="008B7306" w:rsidP="00F74CCE">
      <w:pPr>
        <w:rPr>
          <w:rFonts w:eastAsia="Calibri"/>
          <w:szCs w:val="24"/>
        </w:rPr>
      </w:pPr>
      <w:r>
        <w:rPr>
          <w:rFonts w:eastAsia="Calibri"/>
          <w:szCs w:val="24"/>
        </w:rPr>
        <w:t>In 20</w:t>
      </w:r>
      <w:r w:rsidR="0045668E">
        <w:rPr>
          <w:rFonts w:eastAsia="Calibri"/>
          <w:szCs w:val="24"/>
        </w:rPr>
        <w:t>12/</w:t>
      </w:r>
      <w:r>
        <w:rPr>
          <w:rFonts w:eastAsia="Calibri"/>
          <w:szCs w:val="24"/>
        </w:rPr>
        <w:t xml:space="preserve">13 Tanzania realized a total GDP of </w:t>
      </w:r>
      <w:r w:rsidR="00935384" w:rsidRPr="00CC1E7F">
        <w:rPr>
          <w:rFonts w:eastAsia="Calibri"/>
          <w:szCs w:val="24"/>
        </w:rPr>
        <w:t>33</w:t>
      </w:r>
      <w:r w:rsidR="00480C06">
        <w:rPr>
          <w:rFonts w:eastAsia="Calibri"/>
          <w:szCs w:val="24"/>
        </w:rPr>
        <w:t xml:space="preserve"> billion</w:t>
      </w:r>
      <w:r w:rsidR="00935384" w:rsidRPr="00CC1E7F">
        <w:rPr>
          <w:rFonts w:eastAsia="Calibri"/>
          <w:szCs w:val="24"/>
        </w:rPr>
        <w:t xml:space="preserve"> US dollar, an increase from </w:t>
      </w:r>
      <w:r w:rsidR="00EB674D">
        <w:rPr>
          <w:rFonts w:eastAsia="Calibri"/>
          <w:szCs w:val="24"/>
        </w:rPr>
        <w:t>21</w:t>
      </w:r>
      <w:r w:rsidR="00935384" w:rsidRPr="00CC1E7F">
        <w:rPr>
          <w:rFonts w:eastAsia="Calibri"/>
          <w:szCs w:val="24"/>
        </w:rPr>
        <w:t xml:space="preserve"> billion in </w:t>
      </w:r>
      <w:r>
        <w:rPr>
          <w:rFonts w:eastAsia="Calibri"/>
          <w:szCs w:val="24"/>
        </w:rPr>
        <w:t>in 200</w:t>
      </w:r>
      <w:r w:rsidR="00EB674D">
        <w:rPr>
          <w:rFonts w:eastAsia="Calibri"/>
          <w:szCs w:val="24"/>
        </w:rPr>
        <w:t>9</w:t>
      </w:r>
      <w:r w:rsidR="00935384" w:rsidRPr="00CC1E7F">
        <w:rPr>
          <w:rFonts w:eastAsia="Calibri"/>
          <w:szCs w:val="24"/>
        </w:rPr>
        <w:t xml:space="preserve">. </w:t>
      </w:r>
      <w:r w:rsidR="00C514DF">
        <w:rPr>
          <w:rFonts w:eastAsia="Calibri"/>
          <w:szCs w:val="24"/>
        </w:rPr>
        <w:t>GDP growth in 20</w:t>
      </w:r>
      <w:r w:rsidR="0045668E">
        <w:rPr>
          <w:rFonts w:eastAsia="Calibri"/>
          <w:szCs w:val="24"/>
        </w:rPr>
        <w:t>12/</w:t>
      </w:r>
      <w:r w:rsidR="00C514DF">
        <w:rPr>
          <w:rFonts w:eastAsia="Calibri"/>
          <w:szCs w:val="24"/>
        </w:rPr>
        <w:t>13 averaged 7</w:t>
      </w:r>
      <w:r w:rsidR="00480C06">
        <w:rPr>
          <w:rFonts w:eastAsia="Calibri"/>
          <w:szCs w:val="24"/>
        </w:rPr>
        <w:t>percent</w:t>
      </w:r>
      <w:r w:rsidR="0045668E">
        <w:rPr>
          <w:rFonts w:eastAsia="Calibri"/>
          <w:szCs w:val="24"/>
        </w:rPr>
        <w:t xml:space="preserve"> </w:t>
      </w:r>
      <w:r w:rsidR="00C01A1A">
        <w:rPr>
          <w:rFonts w:eastAsia="Calibri"/>
          <w:szCs w:val="24"/>
        </w:rPr>
        <w:fldChar w:fldCharType="begin"/>
      </w:r>
      <w:r w:rsidR="001E31C0">
        <w:rPr>
          <w:rFonts w:eastAsia="Calibri"/>
          <w:szCs w:val="24"/>
        </w:rPr>
        <w:instrText xml:space="preserve"> ADDIN EN.CITE &lt;EndNote&gt;&lt;Cite&gt;&lt;Author&gt;Bank of Tanzania&lt;/Author&gt;&lt;Year&gt;2013&lt;/Year&gt;&lt;RecNum&gt;870&lt;/RecNum&gt;&lt;record&gt;&lt;rec-number&gt;870&lt;/rec-number&gt;&lt;ref-type name="Report"&gt;27&lt;/ref-type&gt;&lt;contributors&gt;&lt;authors&gt;&lt;author&gt;Bank of Tanzania,&lt;/author&gt;&lt;/authors&gt;&lt;/contributors&gt;&lt;titles&gt;&lt;title&gt;Annual report 2012/13&lt;/title&gt;&lt;/titles&gt;&lt;dates&gt;&lt;year&gt;2013&lt;/year&gt;&lt;/dates&gt;&lt;pub-location&gt;Dar es Salaam&lt;/pub-location&gt;&lt;publisher&gt;Bank of Tanzania,&lt;/publisher&gt;&lt;urls&gt;&lt;/urls&gt;&lt;/record&gt;&lt;/Cite&gt;&lt;/EndNote&gt;</w:instrText>
      </w:r>
      <w:r w:rsidR="00C01A1A">
        <w:rPr>
          <w:rFonts w:eastAsia="Calibri"/>
          <w:szCs w:val="24"/>
        </w:rPr>
        <w:fldChar w:fldCharType="end"/>
      </w:r>
      <w:r w:rsidR="001E31C0">
        <w:rPr>
          <w:rFonts w:eastAsia="Calibri"/>
          <w:szCs w:val="24"/>
        </w:rPr>
        <w:t>(</w:t>
      </w:r>
      <w:r w:rsidR="005751E6">
        <w:rPr>
          <w:rFonts w:eastAsia="Calibri"/>
          <w:szCs w:val="24"/>
        </w:rPr>
        <w:t>BOT</w:t>
      </w:r>
      <w:r w:rsidR="009E2160">
        <w:rPr>
          <w:rFonts w:eastAsia="Calibri"/>
          <w:szCs w:val="24"/>
        </w:rPr>
        <w:t>,</w:t>
      </w:r>
      <w:r w:rsidR="001E31C0">
        <w:rPr>
          <w:rFonts w:eastAsia="Calibri"/>
          <w:szCs w:val="24"/>
        </w:rPr>
        <w:t xml:space="preserve"> 2013)</w:t>
      </w:r>
      <w:r w:rsidR="00C514DF">
        <w:rPr>
          <w:rFonts w:eastAsia="Calibri"/>
          <w:szCs w:val="24"/>
        </w:rPr>
        <w:t xml:space="preserve">. </w:t>
      </w:r>
      <w:r w:rsidR="00935384" w:rsidRPr="00CC1E7F">
        <w:rPr>
          <w:rFonts w:eastAsia="Calibri"/>
          <w:szCs w:val="24"/>
        </w:rPr>
        <w:t>The per capita GDP increased from about $</w:t>
      </w:r>
      <w:r w:rsidR="00EB674D">
        <w:rPr>
          <w:rFonts w:eastAsia="Calibri"/>
          <w:szCs w:val="24"/>
        </w:rPr>
        <w:t>500</w:t>
      </w:r>
      <w:r w:rsidR="00935384" w:rsidRPr="00CC1E7F">
        <w:rPr>
          <w:rFonts w:eastAsia="Calibri"/>
          <w:szCs w:val="24"/>
        </w:rPr>
        <w:t xml:space="preserve"> in 200</w:t>
      </w:r>
      <w:r w:rsidR="00EB674D">
        <w:rPr>
          <w:rFonts w:eastAsia="Calibri"/>
          <w:szCs w:val="24"/>
        </w:rPr>
        <w:t>9</w:t>
      </w:r>
      <w:r w:rsidR="00935384" w:rsidRPr="00CC1E7F">
        <w:rPr>
          <w:rFonts w:eastAsia="Calibri"/>
          <w:szCs w:val="24"/>
        </w:rPr>
        <w:t xml:space="preserve"> to about $700 in 2013</w:t>
      </w:r>
      <w:r w:rsidR="00480C06">
        <w:rPr>
          <w:rFonts w:eastAsia="Calibri"/>
          <w:szCs w:val="24"/>
        </w:rPr>
        <w:t>.</w:t>
      </w:r>
      <w:r w:rsidR="00935384" w:rsidRPr="00CC1E7F">
        <w:rPr>
          <w:rFonts w:eastAsia="Calibri"/>
          <w:szCs w:val="24"/>
        </w:rPr>
        <w:t xml:space="preserve"> </w:t>
      </w:r>
      <w:r w:rsidR="00935384" w:rsidRPr="008F6459">
        <w:rPr>
          <w:rFonts w:eastAsia="Calibri"/>
          <w:szCs w:val="24"/>
        </w:rPr>
        <w:t xml:space="preserve">The growth in GDP </w:t>
      </w:r>
      <w:r w:rsidR="00EB674D">
        <w:rPr>
          <w:rFonts w:eastAsia="Calibri"/>
          <w:szCs w:val="24"/>
        </w:rPr>
        <w:t>is</w:t>
      </w:r>
      <w:r w:rsidR="00935384" w:rsidRPr="008F6459">
        <w:rPr>
          <w:rFonts w:eastAsia="Calibri"/>
          <w:szCs w:val="24"/>
        </w:rPr>
        <w:t xml:space="preserve"> mainly </w:t>
      </w:r>
      <w:r w:rsidR="00480C06">
        <w:rPr>
          <w:rFonts w:eastAsia="Calibri"/>
          <w:szCs w:val="24"/>
        </w:rPr>
        <w:t>attributable to</w:t>
      </w:r>
      <w:r w:rsidR="00935384" w:rsidRPr="008F6459">
        <w:rPr>
          <w:rFonts w:eastAsia="Calibri"/>
          <w:szCs w:val="24"/>
        </w:rPr>
        <w:t xml:space="preserve"> services sector which accounted for an average of 43.5</w:t>
      </w:r>
      <w:r w:rsidR="00480C06">
        <w:rPr>
          <w:rFonts w:eastAsia="Calibri"/>
          <w:szCs w:val="24"/>
        </w:rPr>
        <w:t xml:space="preserve"> percent</w:t>
      </w:r>
      <w:r w:rsidR="00935384" w:rsidRPr="008F6459">
        <w:rPr>
          <w:rFonts w:eastAsia="Calibri"/>
          <w:szCs w:val="24"/>
        </w:rPr>
        <w:t xml:space="preserve"> of total GDP</w:t>
      </w:r>
      <w:r w:rsidR="00935384">
        <w:rPr>
          <w:rFonts w:eastAsia="Calibri"/>
          <w:szCs w:val="24"/>
        </w:rPr>
        <w:t xml:space="preserve"> </w:t>
      </w:r>
      <w:r w:rsidR="00EB674D">
        <w:rPr>
          <w:rFonts w:eastAsia="Calibri"/>
          <w:szCs w:val="24"/>
        </w:rPr>
        <w:t>during 2009-2013</w:t>
      </w:r>
      <w:r w:rsidR="00935384" w:rsidRPr="008F6459">
        <w:rPr>
          <w:rFonts w:eastAsia="Calibri"/>
          <w:szCs w:val="24"/>
        </w:rPr>
        <w:t xml:space="preserve">. Agriculture and fishing </w:t>
      </w:r>
      <w:r w:rsidR="00EB674D">
        <w:rPr>
          <w:rFonts w:eastAsia="Calibri"/>
          <w:szCs w:val="24"/>
        </w:rPr>
        <w:t>is</w:t>
      </w:r>
      <w:r w:rsidR="00935384" w:rsidRPr="008F6459">
        <w:rPr>
          <w:rFonts w:eastAsia="Calibri"/>
          <w:szCs w:val="24"/>
        </w:rPr>
        <w:t xml:space="preserve"> the second large contributor to the growth with an average of 27.2</w:t>
      </w:r>
      <w:r w:rsidR="00480C06">
        <w:rPr>
          <w:rFonts w:eastAsia="Calibri"/>
          <w:szCs w:val="24"/>
        </w:rPr>
        <w:t xml:space="preserve"> percent</w:t>
      </w:r>
      <w:r w:rsidR="00935384" w:rsidRPr="008F6459">
        <w:rPr>
          <w:rFonts w:eastAsia="Calibri"/>
          <w:szCs w:val="24"/>
        </w:rPr>
        <w:t xml:space="preserve"> </w:t>
      </w:r>
      <w:r w:rsidR="00EB674D">
        <w:rPr>
          <w:rFonts w:eastAsia="Calibri"/>
          <w:szCs w:val="24"/>
        </w:rPr>
        <w:t>during this period</w:t>
      </w:r>
      <w:r w:rsidR="000A4319">
        <w:rPr>
          <w:rFonts w:eastAsia="Calibri"/>
          <w:szCs w:val="24"/>
        </w:rPr>
        <w:t xml:space="preserve"> (</w:t>
      </w:r>
      <w:r w:rsidR="005751E6">
        <w:rPr>
          <w:rFonts w:eastAsia="Calibri"/>
          <w:szCs w:val="24"/>
        </w:rPr>
        <w:t>WB</w:t>
      </w:r>
      <w:r w:rsidR="000A4319">
        <w:rPr>
          <w:rFonts w:eastAsia="Calibri"/>
          <w:szCs w:val="24"/>
        </w:rPr>
        <w:t>-</w:t>
      </w:r>
      <w:hyperlink r:id="rId9" w:history="1">
        <w:r w:rsidR="000A4319" w:rsidRPr="00F17CF8">
          <w:rPr>
            <w:rStyle w:val="Hyperlink"/>
            <w:rFonts w:eastAsia="Calibri"/>
            <w:szCs w:val="24"/>
          </w:rPr>
          <w:t>http://data.worldbank.org/country/tanzania</w:t>
        </w:r>
      </w:hyperlink>
      <w:r w:rsidR="000A4319">
        <w:t>)</w:t>
      </w:r>
      <w:r w:rsidR="00EB674D">
        <w:rPr>
          <w:rFonts w:eastAsia="Calibri"/>
          <w:szCs w:val="24"/>
        </w:rPr>
        <w:t>. I</w:t>
      </w:r>
      <w:r w:rsidR="00935384" w:rsidRPr="008F6459">
        <w:rPr>
          <w:rFonts w:eastAsia="Calibri"/>
          <w:szCs w:val="24"/>
        </w:rPr>
        <w:t xml:space="preserve">ndustry and construction </w:t>
      </w:r>
      <w:r w:rsidR="00EB674D">
        <w:rPr>
          <w:rFonts w:eastAsia="Calibri"/>
          <w:szCs w:val="24"/>
        </w:rPr>
        <w:t xml:space="preserve">is </w:t>
      </w:r>
      <w:r w:rsidR="00935384" w:rsidRPr="008F6459">
        <w:rPr>
          <w:rFonts w:eastAsia="Calibri"/>
          <w:szCs w:val="24"/>
        </w:rPr>
        <w:t>the third largest contrib</w:t>
      </w:r>
      <w:r w:rsidR="00A82FC6">
        <w:rPr>
          <w:rFonts w:eastAsia="Calibri"/>
          <w:szCs w:val="24"/>
        </w:rPr>
        <w:t>utor with an average of 21.35</w:t>
      </w:r>
      <w:r w:rsidR="00480C06">
        <w:rPr>
          <w:rFonts w:eastAsia="Calibri"/>
          <w:szCs w:val="24"/>
        </w:rPr>
        <w:t xml:space="preserve"> percent</w:t>
      </w:r>
      <w:r w:rsidR="00A82FC6">
        <w:rPr>
          <w:rFonts w:eastAsia="Calibri"/>
          <w:szCs w:val="24"/>
        </w:rPr>
        <w:t>.</w:t>
      </w:r>
    </w:p>
    <w:p w14:paraId="478E64FA" w14:textId="35ADC1FA" w:rsidR="00935384" w:rsidRPr="009E2160" w:rsidRDefault="00EB674D" w:rsidP="009E2160">
      <w:pPr>
        <w:spacing w:before="120" w:after="120"/>
        <w:ind w:right="72"/>
        <w:rPr>
          <w:rFonts w:eastAsia="Calibri"/>
          <w:szCs w:val="24"/>
        </w:rPr>
      </w:pPr>
      <w:r>
        <w:rPr>
          <w:rFonts w:eastAsia="Calibri"/>
          <w:szCs w:val="24"/>
        </w:rPr>
        <w:t>There have been fluctuations in inflation rates over the past ten years. In 2005 inflation rate stood at 4</w:t>
      </w:r>
      <w:r w:rsidR="00480C06">
        <w:rPr>
          <w:rFonts w:eastAsia="Calibri"/>
          <w:szCs w:val="24"/>
        </w:rPr>
        <w:t xml:space="preserve"> percent</w:t>
      </w:r>
      <w:r>
        <w:rPr>
          <w:rFonts w:eastAsia="Calibri"/>
          <w:szCs w:val="24"/>
        </w:rPr>
        <w:t xml:space="preserve"> but this has been increasing over time with the highest infla</w:t>
      </w:r>
      <w:r w:rsidR="00B43E65">
        <w:rPr>
          <w:rFonts w:eastAsia="Calibri"/>
          <w:szCs w:val="24"/>
        </w:rPr>
        <w:t>tion rate of 16</w:t>
      </w:r>
      <w:r w:rsidR="00480C06">
        <w:rPr>
          <w:rFonts w:eastAsia="Calibri"/>
          <w:szCs w:val="24"/>
        </w:rPr>
        <w:t xml:space="preserve"> percent</w:t>
      </w:r>
      <w:r w:rsidR="00B43E65">
        <w:rPr>
          <w:rFonts w:eastAsia="Calibri"/>
          <w:szCs w:val="24"/>
        </w:rPr>
        <w:t xml:space="preserve"> observed in 2012. In</w:t>
      </w:r>
      <w:r w:rsidR="000A4319">
        <w:rPr>
          <w:rFonts w:eastAsia="Calibri"/>
          <w:szCs w:val="24"/>
        </w:rPr>
        <w:t xml:space="preserve"> June</w:t>
      </w:r>
      <w:r w:rsidR="00B43E65">
        <w:rPr>
          <w:rFonts w:eastAsia="Calibri"/>
          <w:szCs w:val="24"/>
        </w:rPr>
        <w:t xml:space="preserve"> 2013 the level of inflation stood at 7.</w:t>
      </w:r>
      <w:r w:rsidR="000A4319">
        <w:rPr>
          <w:rFonts w:eastAsia="Calibri"/>
          <w:szCs w:val="24"/>
        </w:rPr>
        <w:t xml:space="preserve">6 </w:t>
      </w:r>
      <w:r w:rsidR="00480C06">
        <w:rPr>
          <w:rFonts w:eastAsia="Calibri"/>
          <w:szCs w:val="24"/>
        </w:rPr>
        <w:t xml:space="preserve">percent </w:t>
      </w:r>
      <w:r w:rsidR="00C01A1A">
        <w:rPr>
          <w:rFonts w:eastAsia="Calibri"/>
          <w:szCs w:val="24"/>
        </w:rPr>
        <w:fldChar w:fldCharType="begin"/>
      </w:r>
      <w:r w:rsidR="001E31C0">
        <w:rPr>
          <w:rFonts w:eastAsia="Calibri"/>
          <w:szCs w:val="24"/>
        </w:rPr>
        <w:instrText xml:space="preserve"> ADDIN EN.CITE &lt;EndNote&gt;&lt;Cite&gt;&lt;Author&gt;Bank of Tanzania&lt;/Author&gt;&lt;Year&gt;2013&lt;/Year&gt;&lt;RecNum&gt;870&lt;/RecNum&gt;&lt;record&gt;&lt;rec-number&gt;870&lt;/rec-number&gt;&lt;ref-type name="Report"&gt;27&lt;/ref-type&gt;&lt;contributors&gt;&lt;authors&gt;&lt;author&gt;Bank of Tanzania,&lt;/author&gt;&lt;/authors&gt;&lt;/contributors&gt;&lt;titles&gt;&lt;title&gt;Annual report 2012/13&lt;/title&gt;&lt;/titles&gt;&lt;dates&gt;&lt;year&gt;2013&lt;/year&gt;&lt;/dates&gt;&lt;pub-location&gt;Dar es Salaam&lt;/pub-location&gt;&lt;publisher&gt;Bank of Tanzania,&lt;/publisher&gt;&lt;urls&gt;&lt;/urls&gt;&lt;/record&gt;&lt;/Cite&gt;&lt;/EndNote&gt;</w:instrText>
      </w:r>
      <w:r w:rsidR="00C01A1A">
        <w:rPr>
          <w:rFonts w:eastAsia="Calibri"/>
          <w:szCs w:val="24"/>
        </w:rPr>
        <w:fldChar w:fldCharType="end"/>
      </w:r>
      <w:r w:rsidR="001E31C0">
        <w:rPr>
          <w:rFonts w:eastAsia="Calibri"/>
          <w:szCs w:val="24"/>
        </w:rPr>
        <w:t>(</w:t>
      </w:r>
      <w:r w:rsidR="009E2160">
        <w:rPr>
          <w:rFonts w:eastAsia="Calibri"/>
          <w:szCs w:val="24"/>
        </w:rPr>
        <w:t>BOT,</w:t>
      </w:r>
      <w:r w:rsidR="001E31C0">
        <w:rPr>
          <w:rFonts w:eastAsia="Calibri"/>
          <w:szCs w:val="24"/>
        </w:rPr>
        <w:t xml:space="preserve"> 2013)</w:t>
      </w:r>
      <w:r w:rsidR="00B43E65">
        <w:rPr>
          <w:rFonts w:eastAsia="Calibri"/>
          <w:szCs w:val="24"/>
        </w:rPr>
        <w:t>.</w:t>
      </w:r>
    </w:p>
    <w:p w14:paraId="3CC49B4B" w14:textId="77777777" w:rsidR="000A60D7" w:rsidRDefault="000A60D7" w:rsidP="000F4A1D">
      <w:pPr>
        <w:rPr>
          <w:b/>
        </w:rPr>
      </w:pPr>
    </w:p>
    <w:p w14:paraId="5D86693B" w14:textId="77777777" w:rsidR="000A60D7" w:rsidRDefault="000A60D7" w:rsidP="000F4A1D">
      <w:pPr>
        <w:rPr>
          <w:b/>
        </w:rPr>
      </w:pPr>
      <w:r w:rsidRPr="000A60D7">
        <w:rPr>
          <w:b/>
        </w:rPr>
        <w:t>Poverty</w:t>
      </w:r>
      <w:r w:rsidR="00C514DF">
        <w:rPr>
          <w:b/>
        </w:rPr>
        <w:t>, Inequality and HDI</w:t>
      </w:r>
    </w:p>
    <w:p w14:paraId="2DB0518E" w14:textId="262584D3" w:rsidR="00774B30" w:rsidRDefault="000A60D7" w:rsidP="000F4A1D">
      <w:r>
        <w:t>About 28 percent of the population lives below basic needs poverty line and</w:t>
      </w:r>
      <w:r w:rsidR="00A62A27">
        <w:t xml:space="preserve"> </w:t>
      </w:r>
      <w:r w:rsidR="00774B30">
        <w:t>9.7</w:t>
      </w:r>
      <w:r w:rsidR="00267347">
        <w:t xml:space="preserve"> percent</w:t>
      </w:r>
      <w:r w:rsidR="00774B30">
        <w:t xml:space="preserve"> in extreme poverty</w:t>
      </w:r>
      <w:r>
        <w:t xml:space="preserve"> (food poverty)</w:t>
      </w:r>
      <w:r w:rsidR="000A4319">
        <w:t xml:space="preserve"> </w:t>
      </w:r>
      <w:r w:rsidR="00C01A1A">
        <w:fldChar w:fldCharType="begin"/>
      </w:r>
      <w:r w:rsidR="001E31C0">
        <w:instrText xml:space="preserve"> ADDIN EN.CITE &lt;EndNote&gt;&lt;Cite&gt;&lt;Author&gt;National Bureau of Statistics&lt;/Author&gt;&lt;Year&gt;2014&lt;/Year&gt;&lt;RecNum&gt;871&lt;/RecNum&gt;&lt;record&gt;&lt;rec-number&gt;871&lt;/rec-number&gt;&lt;ref-type name="Report"&gt;27&lt;/ref-type&gt;&lt;contributors&gt;&lt;authors&gt;&lt;author&gt;National Bureau of Statistics,&lt;/author&gt;&lt;/authors&gt;&lt;/contributors&gt;&lt;titles&gt;&lt;title&gt;Household Budget Survey main report, 2011/12&lt;/title&gt;&lt;/titles&gt;&lt;dates&gt;&lt;year&gt;2014&lt;/year&gt;&lt;/dates&gt;&lt;pub-location&gt;Dar es Salaam&lt;/pub-location&gt;&lt;publisher&gt;National Bureau of Statistics,&lt;/publisher&gt;&lt;urls&gt;&lt;/urls&gt;&lt;/record&gt;&lt;/Cite&gt;&lt;/EndNote&gt;</w:instrText>
      </w:r>
      <w:r w:rsidR="00C01A1A">
        <w:fldChar w:fldCharType="end"/>
      </w:r>
      <w:r w:rsidR="001E31C0">
        <w:t>(</w:t>
      </w:r>
      <w:r w:rsidR="00C57C33">
        <w:t>NB</w:t>
      </w:r>
      <w:r w:rsidR="005751E6">
        <w:t>S,</w:t>
      </w:r>
      <w:r w:rsidR="001E31C0">
        <w:t xml:space="preserve"> 2014)</w:t>
      </w:r>
      <w:r w:rsidR="00A62A27">
        <w:t xml:space="preserve">. </w:t>
      </w:r>
      <w:r>
        <w:t xml:space="preserve">There are variations in poverty incidence </w:t>
      </w:r>
      <w:r>
        <w:lastRenderedPageBreak/>
        <w:t>between urban and rural localities with more poor people located in rural areas compared to urban areas (Table 1).</w:t>
      </w:r>
      <w:r w:rsidR="00774B30">
        <w:t xml:space="preserve"> </w:t>
      </w:r>
      <w:r w:rsidR="00A62A27">
        <w:t xml:space="preserve"> </w:t>
      </w:r>
    </w:p>
    <w:p w14:paraId="6035928B" w14:textId="77777777" w:rsidR="00606DDA" w:rsidRDefault="00606DDA" w:rsidP="00606DDA">
      <w:pPr>
        <w:pStyle w:val="Caption"/>
        <w:keepNext/>
      </w:pPr>
    </w:p>
    <w:p w14:paraId="0243D629" w14:textId="77777777" w:rsidR="00606DDA" w:rsidRDefault="00606DDA" w:rsidP="00606DDA">
      <w:pPr>
        <w:pStyle w:val="Caption"/>
        <w:keepNext/>
      </w:pPr>
      <w:r>
        <w:t xml:space="preserve">Table </w:t>
      </w:r>
      <w:r w:rsidR="00C01A1A">
        <w:fldChar w:fldCharType="begin"/>
      </w:r>
      <w:r w:rsidR="00434E4F">
        <w:instrText xml:space="preserve"> SEQ Table \* ARABIC </w:instrText>
      </w:r>
      <w:r w:rsidR="00C01A1A">
        <w:fldChar w:fldCharType="separate"/>
      </w:r>
      <w:r w:rsidR="00463644">
        <w:rPr>
          <w:noProof/>
        </w:rPr>
        <w:t>1</w:t>
      </w:r>
      <w:r w:rsidR="00C01A1A">
        <w:rPr>
          <w:noProof/>
        </w:rPr>
        <w:fldChar w:fldCharType="end"/>
      </w:r>
      <w:r>
        <w:t xml:space="preserve"> Poverty headcount rates by type of area, 2012</w:t>
      </w:r>
    </w:p>
    <w:tbl>
      <w:tblPr>
        <w:tblStyle w:val="TableGrid"/>
        <w:tblW w:w="0" w:type="auto"/>
        <w:tblLook w:val="04A0" w:firstRow="1" w:lastRow="0" w:firstColumn="1" w:lastColumn="0" w:noHBand="0" w:noVBand="1"/>
      </w:tblPr>
      <w:tblGrid>
        <w:gridCol w:w="2726"/>
        <w:gridCol w:w="1657"/>
        <w:gridCol w:w="1651"/>
        <w:gridCol w:w="1651"/>
        <w:gridCol w:w="1665"/>
      </w:tblGrid>
      <w:tr w:rsidR="00A62A27" w:rsidRPr="00A62A27" w14:paraId="05AAD45F" w14:textId="77777777" w:rsidTr="00A62A27">
        <w:tc>
          <w:tcPr>
            <w:tcW w:w="2808" w:type="dxa"/>
          </w:tcPr>
          <w:p w14:paraId="7F7B9970" w14:textId="77777777" w:rsidR="00A62A27" w:rsidRPr="00A62A27" w:rsidRDefault="00A62A27" w:rsidP="00A62A27">
            <w:pPr>
              <w:rPr>
                <w:sz w:val="20"/>
              </w:rPr>
            </w:pPr>
          </w:p>
        </w:tc>
        <w:tc>
          <w:tcPr>
            <w:tcW w:w="1692" w:type="dxa"/>
          </w:tcPr>
          <w:p w14:paraId="43BA66E2" w14:textId="77777777" w:rsidR="00A62A27" w:rsidRPr="00A62A27" w:rsidRDefault="00A62A27" w:rsidP="00A62A27">
            <w:pPr>
              <w:jc w:val="center"/>
              <w:rPr>
                <w:b/>
                <w:sz w:val="20"/>
              </w:rPr>
            </w:pPr>
            <w:r w:rsidRPr="00A62A27">
              <w:rPr>
                <w:b/>
                <w:sz w:val="20"/>
              </w:rPr>
              <w:t xml:space="preserve">Dar </w:t>
            </w:r>
            <w:proofErr w:type="spellStart"/>
            <w:r w:rsidRPr="00A62A27">
              <w:rPr>
                <w:b/>
                <w:sz w:val="20"/>
              </w:rPr>
              <w:t>es</w:t>
            </w:r>
            <w:proofErr w:type="spellEnd"/>
            <w:r w:rsidRPr="00A62A27">
              <w:rPr>
                <w:b/>
                <w:sz w:val="20"/>
              </w:rPr>
              <w:t xml:space="preserve"> Salaam</w:t>
            </w:r>
          </w:p>
        </w:tc>
        <w:tc>
          <w:tcPr>
            <w:tcW w:w="1692" w:type="dxa"/>
          </w:tcPr>
          <w:p w14:paraId="6109CCFB" w14:textId="77777777" w:rsidR="00A62A27" w:rsidRPr="00A62A27" w:rsidRDefault="00A62A27" w:rsidP="00A62A27">
            <w:pPr>
              <w:jc w:val="center"/>
              <w:rPr>
                <w:b/>
                <w:sz w:val="20"/>
              </w:rPr>
            </w:pPr>
            <w:r w:rsidRPr="00A62A27">
              <w:rPr>
                <w:b/>
                <w:sz w:val="20"/>
              </w:rPr>
              <w:t>Other urban areas</w:t>
            </w:r>
          </w:p>
        </w:tc>
        <w:tc>
          <w:tcPr>
            <w:tcW w:w="1692" w:type="dxa"/>
          </w:tcPr>
          <w:p w14:paraId="5009B411" w14:textId="77777777" w:rsidR="00A62A27" w:rsidRPr="00A62A27" w:rsidRDefault="00A62A27" w:rsidP="00A62A27">
            <w:pPr>
              <w:jc w:val="center"/>
              <w:rPr>
                <w:b/>
                <w:sz w:val="20"/>
              </w:rPr>
            </w:pPr>
            <w:r w:rsidRPr="00A62A27">
              <w:rPr>
                <w:b/>
                <w:sz w:val="20"/>
              </w:rPr>
              <w:t>Rural areas</w:t>
            </w:r>
          </w:p>
        </w:tc>
        <w:tc>
          <w:tcPr>
            <w:tcW w:w="1692" w:type="dxa"/>
          </w:tcPr>
          <w:p w14:paraId="1F4DC5D2" w14:textId="77777777" w:rsidR="00A62A27" w:rsidRPr="00A62A27" w:rsidRDefault="00A62A27" w:rsidP="00A62A27">
            <w:pPr>
              <w:jc w:val="center"/>
              <w:rPr>
                <w:b/>
                <w:sz w:val="20"/>
              </w:rPr>
            </w:pPr>
            <w:r w:rsidRPr="00A62A27">
              <w:rPr>
                <w:b/>
                <w:sz w:val="20"/>
              </w:rPr>
              <w:t>Tanzania mainland</w:t>
            </w:r>
          </w:p>
        </w:tc>
      </w:tr>
      <w:tr w:rsidR="00A62A27" w:rsidRPr="00A62A27" w14:paraId="273B281E" w14:textId="77777777" w:rsidTr="00A62A27">
        <w:tc>
          <w:tcPr>
            <w:tcW w:w="2808" w:type="dxa"/>
          </w:tcPr>
          <w:p w14:paraId="05A1F424" w14:textId="77777777" w:rsidR="00A62A27" w:rsidRPr="00A62A27" w:rsidRDefault="00A62A27" w:rsidP="00A62A27">
            <w:pPr>
              <w:jc w:val="left"/>
              <w:rPr>
                <w:sz w:val="20"/>
              </w:rPr>
            </w:pPr>
            <w:r w:rsidRPr="00A62A27">
              <w:rPr>
                <w:sz w:val="20"/>
              </w:rPr>
              <w:t>Basic needs poverty</w:t>
            </w:r>
          </w:p>
        </w:tc>
        <w:tc>
          <w:tcPr>
            <w:tcW w:w="1692" w:type="dxa"/>
            <w:vAlign w:val="center"/>
          </w:tcPr>
          <w:p w14:paraId="311FC253" w14:textId="77777777" w:rsidR="00A62A27" w:rsidRPr="00A62A27" w:rsidRDefault="00A62A27" w:rsidP="00A62A27">
            <w:pPr>
              <w:jc w:val="center"/>
              <w:rPr>
                <w:sz w:val="20"/>
              </w:rPr>
            </w:pPr>
            <w:r>
              <w:rPr>
                <w:sz w:val="20"/>
              </w:rPr>
              <w:t>4.2</w:t>
            </w:r>
            <w:r w:rsidR="00D94F1D">
              <w:rPr>
                <w:sz w:val="20"/>
              </w:rPr>
              <w:t>%</w:t>
            </w:r>
          </w:p>
        </w:tc>
        <w:tc>
          <w:tcPr>
            <w:tcW w:w="1692" w:type="dxa"/>
            <w:vAlign w:val="center"/>
          </w:tcPr>
          <w:p w14:paraId="2A6EBB4D" w14:textId="77777777" w:rsidR="00A62A27" w:rsidRPr="00A62A27" w:rsidRDefault="00A62A27" w:rsidP="00A62A27">
            <w:pPr>
              <w:jc w:val="center"/>
              <w:rPr>
                <w:sz w:val="20"/>
              </w:rPr>
            </w:pPr>
            <w:r>
              <w:rPr>
                <w:sz w:val="20"/>
              </w:rPr>
              <w:t>21.7</w:t>
            </w:r>
            <w:r w:rsidR="00D94F1D">
              <w:rPr>
                <w:sz w:val="20"/>
              </w:rPr>
              <w:t>%</w:t>
            </w:r>
          </w:p>
        </w:tc>
        <w:tc>
          <w:tcPr>
            <w:tcW w:w="1692" w:type="dxa"/>
            <w:vAlign w:val="center"/>
          </w:tcPr>
          <w:p w14:paraId="751447F2" w14:textId="77777777" w:rsidR="00A62A27" w:rsidRPr="00A62A27" w:rsidRDefault="00A62A27" w:rsidP="00A62A27">
            <w:pPr>
              <w:jc w:val="center"/>
              <w:rPr>
                <w:sz w:val="20"/>
              </w:rPr>
            </w:pPr>
            <w:r>
              <w:rPr>
                <w:sz w:val="20"/>
              </w:rPr>
              <w:t>33.3</w:t>
            </w:r>
            <w:r w:rsidR="00D94F1D">
              <w:rPr>
                <w:sz w:val="20"/>
              </w:rPr>
              <w:t>%</w:t>
            </w:r>
          </w:p>
        </w:tc>
        <w:tc>
          <w:tcPr>
            <w:tcW w:w="1692" w:type="dxa"/>
            <w:vAlign w:val="center"/>
          </w:tcPr>
          <w:p w14:paraId="2618F9FD" w14:textId="77777777" w:rsidR="00A62A27" w:rsidRPr="00A62A27" w:rsidRDefault="00A62A27" w:rsidP="00A62A27">
            <w:pPr>
              <w:jc w:val="center"/>
              <w:rPr>
                <w:sz w:val="20"/>
              </w:rPr>
            </w:pPr>
            <w:r>
              <w:rPr>
                <w:sz w:val="20"/>
              </w:rPr>
              <w:t>28.2</w:t>
            </w:r>
            <w:r w:rsidR="00D94F1D">
              <w:rPr>
                <w:sz w:val="20"/>
              </w:rPr>
              <w:t>%</w:t>
            </w:r>
          </w:p>
        </w:tc>
      </w:tr>
      <w:tr w:rsidR="00A62A27" w:rsidRPr="00A62A27" w14:paraId="5E78F0B4" w14:textId="77777777" w:rsidTr="00A62A27">
        <w:tc>
          <w:tcPr>
            <w:tcW w:w="2808" w:type="dxa"/>
          </w:tcPr>
          <w:p w14:paraId="237ECC22" w14:textId="77777777" w:rsidR="00A62A27" w:rsidRPr="00A62A27" w:rsidRDefault="00A62A27" w:rsidP="00A62A27">
            <w:pPr>
              <w:jc w:val="left"/>
              <w:rPr>
                <w:sz w:val="20"/>
              </w:rPr>
            </w:pPr>
            <w:r w:rsidRPr="00A62A27">
              <w:rPr>
                <w:sz w:val="20"/>
              </w:rPr>
              <w:t xml:space="preserve">Food poverty (extreme poverty) </w:t>
            </w:r>
          </w:p>
        </w:tc>
        <w:tc>
          <w:tcPr>
            <w:tcW w:w="1692" w:type="dxa"/>
            <w:vAlign w:val="center"/>
          </w:tcPr>
          <w:p w14:paraId="526A07E5" w14:textId="77777777" w:rsidR="00A62A27" w:rsidRPr="00A62A27" w:rsidRDefault="00A62A27" w:rsidP="00A62A27">
            <w:pPr>
              <w:jc w:val="center"/>
              <w:rPr>
                <w:sz w:val="20"/>
              </w:rPr>
            </w:pPr>
            <w:r>
              <w:rPr>
                <w:sz w:val="20"/>
              </w:rPr>
              <w:t>1.0</w:t>
            </w:r>
            <w:r w:rsidR="00D94F1D">
              <w:rPr>
                <w:sz w:val="20"/>
              </w:rPr>
              <w:t>%</w:t>
            </w:r>
          </w:p>
        </w:tc>
        <w:tc>
          <w:tcPr>
            <w:tcW w:w="1692" w:type="dxa"/>
            <w:vAlign w:val="center"/>
          </w:tcPr>
          <w:p w14:paraId="48BDCA56" w14:textId="77777777" w:rsidR="00A62A27" w:rsidRPr="00A62A27" w:rsidRDefault="00A62A27" w:rsidP="00A62A27">
            <w:pPr>
              <w:jc w:val="center"/>
              <w:rPr>
                <w:sz w:val="20"/>
              </w:rPr>
            </w:pPr>
            <w:r>
              <w:rPr>
                <w:sz w:val="20"/>
              </w:rPr>
              <w:t>8.7</w:t>
            </w:r>
            <w:r w:rsidR="00D94F1D">
              <w:rPr>
                <w:sz w:val="20"/>
              </w:rPr>
              <w:t>%</w:t>
            </w:r>
          </w:p>
        </w:tc>
        <w:tc>
          <w:tcPr>
            <w:tcW w:w="1692" w:type="dxa"/>
            <w:vAlign w:val="center"/>
          </w:tcPr>
          <w:p w14:paraId="34081F88" w14:textId="77777777" w:rsidR="00A62A27" w:rsidRPr="00A62A27" w:rsidRDefault="00A62A27" w:rsidP="00A62A27">
            <w:pPr>
              <w:jc w:val="center"/>
              <w:rPr>
                <w:sz w:val="20"/>
              </w:rPr>
            </w:pPr>
            <w:r>
              <w:rPr>
                <w:sz w:val="20"/>
              </w:rPr>
              <w:t>11.3</w:t>
            </w:r>
            <w:r w:rsidR="00D94F1D">
              <w:rPr>
                <w:sz w:val="20"/>
              </w:rPr>
              <w:t>%</w:t>
            </w:r>
          </w:p>
        </w:tc>
        <w:tc>
          <w:tcPr>
            <w:tcW w:w="1692" w:type="dxa"/>
            <w:vAlign w:val="center"/>
          </w:tcPr>
          <w:p w14:paraId="36AE7987" w14:textId="77777777" w:rsidR="00A62A27" w:rsidRPr="00A62A27" w:rsidRDefault="00A62A27" w:rsidP="00A62A27">
            <w:pPr>
              <w:jc w:val="center"/>
              <w:rPr>
                <w:sz w:val="20"/>
              </w:rPr>
            </w:pPr>
            <w:r>
              <w:rPr>
                <w:sz w:val="20"/>
              </w:rPr>
              <w:t>9.7</w:t>
            </w:r>
            <w:r w:rsidR="00D94F1D">
              <w:rPr>
                <w:sz w:val="20"/>
              </w:rPr>
              <w:t>%</w:t>
            </w:r>
          </w:p>
        </w:tc>
      </w:tr>
    </w:tbl>
    <w:p w14:paraId="60B7203A" w14:textId="68DBAEF4" w:rsidR="00A62A27" w:rsidRDefault="00A62A27" w:rsidP="00A62A27">
      <w:pPr>
        <w:rPr>
          <w:sz w:val="18"/>
          <w:szCs w:val="18"/>
          <w:lang w:bidi="en-US"/>
        </w:rPr>
      </w:pPr>
      <w:r w:rsidRPr="00A62A27">
        <w:rPr>
          <w:sz w:val="18"/>
          <w:szCs w:val="18"/>
          <w:lang w:bidi="en-US"/>
        </w:rPr>
        <w:t>Source: NBS (</w:t>
      </w:r>
      <w:r w:rsidR="00310F61" w:rsidRPr="00A62A27">
        <w:rPr>
          <w:sz w:val="18"/>
          <w:szCs w:val="18"/>
          <w:lang w:bidi="en-US"/>
        </w:rPr>
        <w:t>201</w:t>
      </w:r>
      <w:r w:rsidR="00310F61">
        <w:rPr>
          <w:sz w:val="18"/>
          <w:szCs w:val="18"/>
          <w:lang w:bidi="en-US"/>
        </w:rPr>
        <w:t>4</w:t>
      </w:r>
      <w:r w:rsidRPr="00A62A27">
        <w:rPr>
          <w:sz w:val="18"/>
          <w:szCs w:val="18"/>
          <w:lang w:bidi="en-US"/>
        </w:rPr>
        <w:t xml:space="preserve">) </w:t>
      </w:r>
      <w:r>
        <w:rPr>
          <w:sz w:val="18"/>
          <w:szCs w:val="18"/>
          <w:lang w:bidi="en-US"/>
        </w:rPr>
        <w:t>Household Budget Survey 2011/12</w:t>
      </w:r>
    </w:p>
    <w:p w14:paraId="6C5C2E0E" w14:textId="77777777" w:rsidR="008B7306" w:rsidRDefault="008B7306" w:rsidP="00A62A27">
      <w:pPr>
        <w:rPr>
          <w:sz w:val="18"/>
          <w:szCs w:val="18"/>
          <w:lang w:bidi="en-US"/>
        </w:rPr>
      </w:pPr>
    </w:p>
    <w:p w14:paraId="275FB8E3" w14:textId="086561B5" w:rsidR="000A60D7" w:rsidRDefault="00B43E65" w:rsidP="009E2160">
      <w:pPr>
        <w:spacing w:before="120" w:after="120"/>
        <w:rPr>
          <w:szCs w:val="24"/>
        </w:rPr>
      </w:pPr>
      <w:r>
        <w:rPr>
          <w:szCs w:val="24"/>
        </w:rPr>
        <w:t>There ha</w:t>
      </w:r>
      <w:r w:rsidR="00C514DF">
        <w:rPr>
          <w:szCs w:val="24"/>
        </w:rPr>
        <w:t>s</w:t>
      </w:r>
      <w:r>
        <w:rPr>
          <w:szCs w:val="24"/>
        </w:rPr>
        <w:t xml:space="preserve"> not been significant change in income inequality in Tanzania since 1990 although the distribution shows significant inequality. </w:t>
      </w:r>
      <w:r w:rsidR="008B7306">
        <w:rPr>
          <w:szCs w:val="24"/>
        </w:rPr>
        <w:t xml:space="preserve">The degree of income inequality </w:t>
      </w:r>
      <w:r>
        <w:rPr>
          <w:szCs w:val="24"/>
        </w:rPr>
        <w:t xml:space="preserve">observed in 2012 as measured by the GINI index was 0.34 same to the level observed in 1990 </w:t>
      </w:r>
      <w:r w:rsidR="00C01A1A">
        <w:rPr>
          <w:szCs w:val="24"/>
        </w:rPr>
        <w:fldChar w:fldCharType="begin"/>
      </w:r>
      <w:r w:rsidR="001E31C0">
        <w:rPr>
          <w:szCs w:val="24"/>
        </w:rPr>
        <w:instrText xml:space="preserve"> ADDIN EN.CITE &lt;EndNote&gt;&lt;Cite&gt;&lt;Author&gt;National Bureau of Statistics&lt;/Author&gt;&lt;Year&gt;2014&lt;/Year&gt;&lt;RecNum&gt;871&lt;/RecNum&gt;&lt;record&gt;&lt;rec-number&gt;871&lt;/rec-number&gt;&lt;ref-type name="Report"&gt;27&lt;/ref-type&gt;&lt;contributors&gt;&lt;authors&gt;&lt;author&gt;National Bureau of Statistics,&lt;/author&gt;&lt;/authors&gt;&lt;/contributors&gt;&lt;titles&gt;&lt;title&gt;Household Budget Survey main report, 2011/12&lt;/title&gt;&lt;/titles&gt;&lt;dates&gt;&lt;year&gt;2014&lt;/year&gt;&lt;/dates&gt;&lt;pub-location&gt;Dar es Salaam&lt;/pub-location&gt;&lt;publisher&gt;National Bureau of Statistics,&lt;/publisher&gt;&lt;urls&gt;&lt;/urls&gt;&lt;/record&gt;&lt;/Cite&gt;&lt;Cite&gt;&lt;Author&gt;National Bureau of Statistics&lt;/Author&gt;&lt;Year&gt;2014&lt;/Year&gt;&lt;RecNum&gt;871&lt;/RecNum&gt;&lt;record&gt;&lt;rec-number&gt;871&lt;/rec-number&gt;&lt;ref-type name="Report"&gt;27&lt;/ref-type&gt;&lt;contributors&gt;&lt;authors&gt;&lt;author&gt;National Bureau of Statistics,&lt;/author&gt;&lt;/authors&gt;&lt;/contributors&gt;&lt;titles&gt;&lt;title&gt;Household Budget Survey main report, 2011/12&lt;/title&gt;&lt;/titles&gt;&lt;dates&gt;&lt;year&gt;2014&lt;/year&gt;&lt;/dates&gt;&lt;pub-location&gt;Dar es Salaam&lt;/pub-location&gt;&lt;publisher&gt;National Bureau of Statistics,&lt;/publisher&gt;&lt;urls&gt;&lt;/urls&gt;&lt;/record&gt;&lt;/Cite&gt;&lt;/EndNote&gt;</w:instrText>
      </w:r>
      <w:r w:rsidR="00C01A1A">
        <w:rPr>
          <w:szCs w:val="24"/>
        </w:rPr>
        <w:fldChar w:fldCharType="end"/>
      </w:r>
      <w:r w:rsidR="001E31C0">
        <w:rPr>
          <w:szCs w:val="24"/>
        </w:rPr>
        <w:t>(</w:t>
      </w:r>
      <w:r w:rsidR="009E2160">
        <w:rPr>
          <w:szCs w:val="24"/>
        </w:rPr>
        <w:t>NBS</w:t>
      </w:r>
      <w:r w:rsidR="001E31C0">
        <w:rPr>
          <w:szCs w:val="24"/>
        </w:rPr>
        <w:t xml:space="preserve"> 2014)</w:t>
      </w:r>
      <w:r>
        <w:rPr>
          <w:szCs w:val="24"/>
        </w:rPr>
        <w:t>.</w:t>
      </w:r>
      <w:r w:rsidR="00C514DF">
        <w:rPr>
          <w:szCs w:val="24"/>
        </w:rPr>
        <w:t xml:space="preserve"> Despite the observed </w:t>
      </w:r>
      <w:r w:rsidR="007A3E3D">
        <w:rPr>
          <w:szCs w:val="24"/>
        </w:rPr>
        <w:t xml:space="preserve">inequality in </w:t>
      </w:r>
      <w:r w:rsidR="00C514DF">
        <w:rPr>
          <w:szCs w:val="24"/>
        </w:rPr>
        <w:t>income distribution</w:t>
      </w:r>
      <w:r w:rsidR="00480C06">
        <w:rPr>
          <w:szCs w:val="24"/>
        </w:rPr>
        <w:t>,</w:t>
      </w:r>
      <w:r w:rsidR="00C514DF">
        <w:rPr>
          <w:szCs w:val="24"/>
        </w:rPr>
        <w:t xml:space="preserve"> the country has been experiencing and increasing trend in Human Development Index (HDI). In 2012 HDI was 0.48 which is an increase from 0.40 in 2005</w:t>
      </w:r>
      <w:r w:rsidR="00310F61">
        <w:rPr>
          <w:szCs w:val="24"/>
        </w:rPr>
        <w:t xml:space="preserve"> </w:t>
      </w:r>
      <w:r w:rsidR="00C01A1A">
        <w:rPr>
          <w:szCs w:val="24"/>
        </w:rPr>
        <w:fldChar w:fldCharType="begin"/>
      </w:r>
      <w:r w:rsidR="001E31C0">
        <w:rPr>
          <w:szCs w:val="24"/>
        </w:rPr>
        <w:instrText xml:space="preserve"> ADDIN EN.CITE &lt;EndNote&gt;&lt;Cite&gt;&lt;Author&gt;United Nations Development Programme&lt;/Author&gt;&lt;Year&gt;2013&lt;/Year&gt;&lt;RecNum&gt;872&lt;/RecNum&gt;&lt;record&gt;&lt;rec-number&gt;872&lt;/rec-number&gt;&lt;ref-type name="Report"&gt;27&lt;/ref-type&gt;&lt;contributors&gt;&lt;authors&gt;&lt;author&gt;United Nations Development Programme,&lt;/author&gt;&lt;/authors&gt;&lt;/contributors&gt;&lt;titles&gt;&lt;title&gt;Human Development Report: The rise of the South-explantory note on 2013 HDR composite indices, Tanzania&lt;/title&gt;&lt;/titles&gt;&lt;dates&gt;&lt;year&gt;2013&lt;/year&gt;&lt;/dates&gt;&lt;publisher&gt;UNDP&lt;/publisher&gt;&lt;urls&gt;&lt;/urls&gt;&lt;/record&gt;&lt;/Cite&gt;&lt;/EndNote&gt;</w:instrText>
      </w:r>
      <w:r w:rsidR="00C01A1A">
        <w:rPr>
          <w:szCs w:val="24"/>
        </w:rPr>
        <w:fldChar w:fldCharType="end"/>
      </w:r>
      <w:r w:rsidR="001E31C0">
        <w:rPr>
          <w:szCs w:val="24"/>
        </w:rPr>
        <w:t>(</w:t>
      </w:r>
      <w:r w:rsidR="009E2160">
        <w:rPr>
          <w:szCs w:val="24"/>
        </w:rPr>
        <w:t>UNDP</w:t>
      </w:r>
      <w:r w:rsidR="001E31C0">
        <w:rPr>
          <w:szCs w:val="24"/>
        </w:rPr>
        <w:t xml:space="preserve"> 2013)</w:t>
      </w:r>
      <w:r w:rsidR="00C514DF">
        <w:rPr>
          <w:szCs w:val="24"/>
        </w:rPr>
        <w:t xml:space="preserve">.  </w:t>
      </w:r>
    </w:p>
    <w:p w14:paraId="2F9148BD" w14:textId="77777777" w:rsidR="00362633" w:rsidRDefault="00362633" w:rsidP="009E2160">
      <w:pPr>
        <w:spacing w:before="120" w:after="120"/>
        <w:rPr>
          <w:szCs w:val="24"/>
        </w:rPr>
      </w:pPr>
    </w:p>
    <w:p w14:paraId="4A1042AB" w14:textId="77777777" w:rsidR="000A60D7" w:rsidRPr="000A60D7" w:rsidRDefault="000A60D7" w:rsidP="00362633">
      <w:pPr>
        <w:spacing w:line="240" w:lineRule="auto"/>
        <w:rPr>
          <w:b/>
        </w:rPr>
      </w:pPr>
      <w:r w:rsidRPr="000A60D7">
        <w:rPr>
          <w:b/>
        </w:rPr>
        <w:t>Employment</w:t>
      </w:r>
    </w:p>
    <w:p w14:paraId="6CDA6B6A" w14:textId="0AEBB0D2" w:rsidR="00935384" w:rsidRDefault="00B43E65" w:rsidP="00362633">
      <w:pPr>
        <w:spacing w:before="120" w:after="120" w:line="240" w:lineRule="auto"/>
        <w:rPr>
          <w:rFonts w:eastAsia="Symbol"/>
          <w:szCs w:val="24"/>
        </w:rPr>
      </w:pPr>
      <w:r>
        <w:rPr>
          <w:rFonts w:eastAsia="Symbol"/>
          <w:szCs w:val="24"/>
        </w:rPr>
        <w:t xml:space="preserve">About </w:t>
      </w:r>
      <w:r w:rsidR="00935384">
        <w:rPr>
          <w:rFonts w:eastAsia="Symbol"/>
          <w:szCs w:val="24"/>
        </w:rPr>
        <w:t>40</w:t>
      </w:r>
      <w:r w:rsidR="006A2669">
        <w:rPr>
          <w:rFonts w:eastAsia="Symbol"/>
          <w:szCs w:val="24"/>
        </w:rPr>
        <w:t xml:space="preserve"> percent</w:t>
      </w:r>
      <w:r w:rsidR="00935384">
        <w:rPr>
          <w:rFonts w:eastAsia="Symbol"/>
          <w:szCs w:val="24"/>
        </w:rPr>
        <w:t xml:space="preserve"> of </w:t>
      </w:r>
      <w:r>
        <w:rPr>
          <w:rFonts w:eastAsia="Symbol"/>
          <w:szCs w:val="24"/>
        </w:rPr>
        <w:t xml:space="preserve">Tanzania population was employed in the informal sector in 2006, an increase from </w:t>
      </w:r>
      <w:r w:rsidR="00935384">
        <w:rPr>
          <w:rFonts w:eastAsia="Symbol"/>
          <w:szCs w:val="24"/>
        </w:rPr>
        <w:t>35</w:t>
      </w:r>
      <w:r w:rsidR="006A2669">
        <w:rPr>
          <w:rFonts w:eastAsia="Symbol"/>
          <w:szCs w:val="24"/>
        </w:rPr>
        <w:t xml:space="preserve"> percent</w:t>
      </w:r>
      <w:r w:rsidR="00935384">
        <w:rPr>
          <w:rFonts w:eastAsia="Symbol"/>
          <w:szCs w:val="24"/>
        </w:rPr>
        <w:t xml:space="preserve"> in 2001 </w:t>
      </w:r>
      <w:r w:rsidR="00C01A1A">
        <w:rPr>
          <w:rFonts w:eastAsia="Symbol"/>
          <w:szCs w:val="24"/>
        </w:rPr>
        <w:fldChar w:fldCharType="begin"/>
      </w:r>
      <w:r w:rsidR="001E31C0">
        <w:rPr>
          <w:rFonts w:eastAsia="Symbol"/>
          <w:szCs w:val="24"/>
        </w:rPr>
        <w:instrText xml:space="preserve"> ADDIN EN.CITE &lt;EndNote&gt;&lt;Cite&gt;&lt;Author&gt;National Bureau of Statistics&lt;/Author&gt;&lt;Year&gt;2006&lt;/Year&gt;&lt;RecNum&gt;625&lt;/RecNum&gt;&lt;record&gt;&lt;rec-number&gt;625&lt;/rec-number&gt;&lt;ref-type name="Government Document"&gt;46&lt;/ref-type&gt;&lt;contributors&gt;&lt;authors&gt;&lt;author&gt;National Bureau of Statistics,&lt;/author&gt;&lt;/authors&gt;&lt;/contributors&gt;&lt;titles&gt;&lt;title&gt;Integrated Labour Force Survey: analytical report&lt;/title&gt;&lt;/titles&gt;&lt;dates&gt;&lt;year&gt;2006&lt;/year&gt;&lt;/dates&gt;&lt;pub-location&gt;Dar es Salaam&lt;/pub-location&gt;&lt;publisher&gt;National Bureau of Statistics&lt;/publisher&gt;&lt;urls&gt;&lt;/urls&gt;&lt;/record&gt;&lt;/Cite&gt;&lt;/EndNote&gt;</w:instrText>
      </w:r>
      <w:r w:rsidR="00C01A1A">
        <w:rPr>
          <w:rFonts w:eastAsia="Symbol"/>
          <w:szCs w:val="24"/>
        </w:rPr>
        <w:fldChar w:fldCharType="separate"/>
      </w:r>
      <w:r w:rsidR="001E31C0">
        <w:rPr>
          <w:rFonts w:eastAsia="Symbol"/>
          <w:szCs w:val="24"/>
        </w:rPr>
        <w:t>(</w:t>
      </w:r>
      <w:r w:rsidR="009E2160">
        <w:rPr>
          <w:rFonts w:eastAsia="Symbol"/>
          <w:szCs w:val="24"/>
        </w:rPr>
        <w:t>NBS,</w:t>
      </w:r>
      <w:r w:rsidR="001E31C0">
        <w:rPr>
          <w:rFonts w:eastAsia="Symbol"/>
          <w:szCs w:val="24"/>
        </w:rPr>
        <w:t xml:space="preserve"> 2006)</w:t>
      </w:r>
      <w:r w:rsidR="00C01A1A">
        <w:rPr>
          <w:rFonts w:eastAsia="Symbol"/>
          <w:szCs w:val="24"/>
        </w:rPr>
        <w:fldChar w:fldCharType="end"/>
      </w:r>
      <w:r w:rsidR="00935384">
        <w:rPr>
          <w:rFonts w:eastAsia="Symbol"/>
          <w:szCs w:val="24"/>
        </w:rPr>
        <w:t xml:space="preserve">. </w:t>
      </w:r>
      <w:r>
        <w:rPr>
          <w:rFonts w:eastAsia="Symbol"/>
          <w:szCs w:val="24"/>
        </w:rPr>
        <w:t>The proportion of the population working in the informal sector is higher in urban areas (66</w:t>
      </w:r>
      <w:r w:rsidR="006A2669">
        <w:rPr>
          <w:rFonts w:eastAsia="Symbol"/>
          <w:szCs w:val="24"/>
        </w:rPr>
        <w:t xml:space="preserve"> percent</w:t>
      </w:r>
      <w:r>
        <w:rPr>
          <w:rFonts w:eastAsia="Symbol"/>
          <w:szCs w:val="24"/>
        </w:rPr>
        <w:t>) than in rural localities (27</w:t>
      </w:r>
      <w:r w:rsidR="006A2669">
        <w:rPr>
          <w:rFonts w:eastAsia="Symbol"/>
          <w:szCs w:val="24"/>
        </w:rPr>
        <w:t xml:space="preserve"> percent</w:t>
      </w:r>
      <w:r>
        <w:rPr>
          <w:rFonts w:eastAsia="Symbol"/>
          <w:szCs w:val="24"/>
        </w:rPr>
        <w:t xml:space="preserve">). </w:t>
      </w:r>
      <w:r w:rsidR="006A2669">
        <w:rPr>
          <w:rFonts w:eastAsia="Symbol"/>
          <w:szCs w:val="24"/>
        </w:rPr>
        <w:t xml:space="preserve">About 75 percent of the population works in </w:t>
      </w:r>
      <w:r w:rsidR="00480C06">
        <w:rPr>
          <w:rFonts w:eastAsia="Symbol"/>
          <w:szCs w:val="24"/>
        </w:rPr>
        <w:t xml:space="preserve">the </w:t>
      </w:r>
      <w:r w:rsidR="006A2669">
        <w:rPr>
          <w:rFonts w:eastAsia="Symbol"/>
          <w:szCs w:val="24"/>
        </w:rPr>
        <w:t>agriculture sector</w:t>
      </w:r>
      <w:r w:rsidR="00935384">
        <w:rPr>
          <w:rFonts w:eastAsia="Symbol"/>
          <w:szCs w:val="24"/>
        </w:rPr>
        <w:t>.</w:t>
      </w:r>
      <w:r w:rsidR="006A2669">
        <w:rPr>
          <w:rFonts w:eastAsia="Symbol"/>
          <w:szCs w:val="24"/>
        </w:rPr>
        <w:t xml:space="preserve"> Only about 12 percent of the population is employed in the formal sector </w:t>
      </w:r>
      <w:r w:rsidR="00C01A1A">
        <w:rPr>
          <w:rFonts w:eastAsia="Symbol"/>
          <w:szCs w:val="24"/>
        </w:rPr>
        <w:fldChar w:fldCharType="begin"/>
      </w:r>
      <w:r w:rsidR="001E31C0">
        <w:rPr>
          <w:rFonts w:eastAsia="Symbol"/>
          <w:szCs w:val="24"/>
        </w:rPr>
        <w:instrText xml:space="preserve"> ADDIN EN.CITE &lt;EndNote&gt;&lt;Cite&gt;&lt;Author&gt;National Bureau of Statistics&lt;/Author&gt;&lt;Year&gt;2006&lt;/Year&gt;&lt;RecNum&gt;625&lt;/RecNum&gt;&lt;record&gt;&lt;rec-number&gt;625&lt;/rec-number&gt;&lt;ref-type name="Government Document"&gt;46&lt;/ref-type&gt;&lt;contributors&gt;&lt;authors&gt;&lt;author&gt;National Bureau of Statistics,&lt;/author&gt;&lt;/authors&gt;&lt;/contributors&gt;&lt;titles&gt;&lt;title&gt;Integrated Labour Force Survey: analytical report&lt;/title&gt;&lt;/titles&gt;&lt;dates&gt;&lt;year&gt;2006&lt;/year&gt;&lt;/dates&gt;&lt;pub-location&gt;Dar es Salaam&lt;/pub-location&gt;&lt;publisher&gt;National Bureau of Statistics&lt;/publisher&gt;&lt;urls&gt;&lt;/urls&gt;&lt;/record&gt;&lt;/Cite&gt;&lt;/EndNote&gt;</w:instrText>
      </w:r>
      <w:r w:rsidR="00C01A1A">
        <w:rPr>
          <w:rFonts w:eastAsia="Symbol"/>
          <w:szCs w:val="24"/>
        </w:rPr>
        <w:fldChar w:fldCharType="separate"/>
      </w:r>
      <w:r w:rsidR="001E31C0">
        <w:rPr>
          <w:rFonts w:eastAsia="Symbol"/>
          <w:szCs w:val="24"/>
        </w:rPr>
        <w:t>(</w:t>
      </w:r>
      <w:r w:rsidR="00C57C33">
        <w:rPr>
          <w:rFonts w:eastAsia="Symbol"/>
          <w:szCs w:val="24"/>
        </w:rPr>
        <w:t>NBS</w:t>
      </w:r>
      <w:r w:rsidR="009E2160">
        <w:rPr>
          <w:rFonts w:eastAsia="Symbol"/>
          <w:szCs w:val="24"/>
        </w:rPr>
        <w:t>,</w:t>
      </w:r>
      <w:r w:rsidR="001E31C0">
        <w:rPr>
          <w:rFonts w:eastAsia="Symbol"/>
          <w:szCs w:val="24"/>
        </w:rPr>
        <w:t xml:space="preserve"> 2006)</w:t>
      </w:r>
      <w:r w:rsidR="00C01A1A">
        <w:rPr>
          <w:rFonts w:eastAsia="Symbol"/>
          <w:szCs w:val="24"/>
        </w:rPr>
        <w:fldChar w:fldCharType="end"/>
      </w:r>
      <w:r w:rsidR="006A2669">
        <w:rPr>
          <w:rFonts w:eastAsia="Symbol"/>
          <w:szCs w:val="24"/>
        </w:rPr>
        <w:t>.</w:t>
      </w:r>
    </w:p>
    <w:p w14:paraId="74D0C0E5" w14:textId="77777777" w:rsidR="005751E6" w:rsidRDefault="005751E6" w:rsidP="009E2160">
      <w:pPr>
        <w:spacing w:before="120" w:after="120"/>
        <w:rPr>
          <w:rFonts w:eastAsia="Symbol"/>
          <w:szCs w:val="24"/>
        </w:rPr>
      </w:pPr>
    </w:p>
    <w:p w14:paraId="0784F5C0" w14:textId="77777777" w:rsidR="005751E6" w:rsidRDefault="005751E6" w:rsidP="009E2160">
      <w:pPr>
        <w:spacing w:before="120" w:after="120"/>
        <w:rPr>
          <w:rFonts w:eastAsia="Symbol"/>
          <w:szCs w:val="24"/>
        </w:rPr>
      </w:pPr>
    </w:p>
    <w:p w14:paraId="12D4713D" w14:textId="77777777" w:rsidR="005751E6" w:rsidRDefault="005751E6" w:rsidP="009E2160">
      <w:pPr>
        <w:spacing w:before="120" w:after="120"/>
        <w:rPr>
          <w:rFonts w:eastAsia="Symbol"/>
          <w:szCs w:val="24"/>
        </w:rPr>
      </w:pPr>
    </w:p>
    <w:p w14:paraId="7B08E442" w14:textId="77777777" w:rsidR="005751E6" w:rsidRDefault="005751E6" w:rsidP="009E2160">
      <w:pPr>
        <w:spacing w:before="120" w:after="120"/>
        <w:rPr>
          <w:rFonts w:eastAsia="Symbol"/>
          <w:szCs w:val="24"/>
        </w:rPr>
      </w:pPr>
    </w:p>
    <w:p w14:paraId="1F29B389" w14:textId="77777777" w:rsidR="005751E6" w:rsidRDefault="005751E6" w:rsidP="009E2160">
      <w:pPr>
        <w:spacing w:before="120" w:after="120"/>
        <w:rPr>
          <w:rFonts w:eastAsia="Symbol"/>
          <w:szCs w:val="24"/>
        </w:rPr>
      </w:pPr>
    </w:p>
    <w:p w14:paraId="1DD9567A" w14:textId="77777777" w:rsidR="005751E6" w:rsidRDefault="005751E6" w:rsidP="009E2160">
      <w:pPr>
        <w:spacing w:before="120" w:after="120"/>
        <w:rPr>
          <w:rFonts w:eastAsia="Symbol"/>
          <w:szCs w:val="24"/>
        </w:rPr>
      </w:pPr>
    </w:p>
    <w:p w14:paraId="35D759A4" w14:textId="77777777" w:rsidR="005751E6" w:rsidRDefault="005751E6" w:rsidP="009E2160">
      <w:pPr>
        <w:spacing w:before="120" w:after="120"/>
        <w:rPr>
          <w:rFonts w:eastAsia="Symbol"/>
          <w:szCs w:val="24"/>
        </w:rPr>
      </w:pPr>
    </w:p>
    <w:p w14:paraId="2196C1D2" w14:textId="77777777" w:rsidR="005751E6" w:rsidRDefault="005751E6" w:rsidP="009E2160">
      <w:pPr>
        <w:spacing w:before="120" w:after="120"/>
        <w:rPr>
          <w:rFonts w:eastAsia="Symbol"/>
          <w:szCs w:val="24"/>
        </w:rPr>
      </w:pPr>
    </w:p>
    <w:p w14:paraId="2F965594" w14:textId="77777777" w:rsidR="005751E6" w:rsidRDefault="005751E6" w:rsidP="009E2160">
      <w:pPr>
        <w:spacing w:before="120" w:after="120"/>
        <w:rPr>
          <w:rFonts w:eastAsia="Symbol"/>
          <w:szCs w:val="24"/>
        </w:rPr>
      </w:pPr>
    </w:p>
    <w:p w14:paraId="355DE2C3" w14:textId="77777777" w:rsidR="005751E6" w:rsidRDefault="005751E6" w:rsidP="009E2160">
      <w:pPr>
        <w:spacing w:before="120" w:after="120"/>
        <w:rPr>
          <w:rFonts w:eastAsia="Symbol"/>
          <w:szCs w:val="24"/>
        </w:rPr>
      </w:pPr>
    </w:p>
    <w:p w14:paraId="6DD11E11" w14:textId="77777777" w:rsidR="005751E6" w:rsidRDefault="005751E6" w:rsidP="009E2160">
      <w:pPr>
        <w:spacing w:before="120" w:after="120"/>
        <w:rPr>
          <w:rFonts w:eastAsia="Symbol"/>
          <w:szCs w:val="24"/>
        </w:rPr>
      </w:pPr>
    </w:p>
    <w:p w14:paraId="76F4B596" w14:textId="77777777" w:rsidR="005751E6" w:rsidRPr="00130E17" w:rsidRDefault="005751E6" w:rsidP="009E2160">
      <w:pPr>
        <w:spacing w:before="120" w:after="120"/>
        <w:rPr>
          <w:rFonts w:eastAsia="Symbol"/>
          <w:szCs w:val="24"/>
        </w:rPr>
      </w:pPr>
    </w:p>
    <w:p w14:paraId="4C250F7C" w14:textId="77777777" w:rsidR="0023565D" w:rsidRPr="0023565D" w:rsidRDefault="002C3E91" w:rsidP="002C3E91">
      <w:pPr>
        <w:pStyle w:val="Heading1"/>
        <w:rPr>
          <w:rFonts w:eastAsia="Calibri"/>
        </w:rPr>
      </w:pPr>
      <w:bookmarkStart w:id="6" w:name="_Toc411949913"/>
      <w:r>
        <w:rPr>
          <w:rFonts w:eastAsia="Calibri"/>
        </w:rPr>
        <w:lastRenderedPageBreak/>
        <w:t>Health Financing Overview</w:t>
      </w:r>
      <w:bookmarkEnd w:id="6"/>
    </w:p>
    <w:p w14:paraId="44CFF84A" w14:textId="77777777" w:rsidR="0023565D" w:rsidRPr="0023565D" w:rsidRDefault="002C3E91" w:rsidP="002C3E91">
      <w:pPr>
        <w:pStyle w:val="Heading2"/>
        <w:rPr>
          <w:rFonts w:eastAsia="Calibri"/>
        </w:rPr>
      </w:pPr>
      <w:bookmarkStart w:id="7" w:name="_Toc411949914"/>
      <w:r>
        <w:rPr>
          <w:rFonts w:eastAsia="Calibri"/>
        </w:rPr>
        <w:t>Governance</w:t>
      </w:r>
      <w:bookmarkEnd w:id="7"/>
    </w:p>
    <w:p w14:paraId="74EA4FEC" w14:textId="4B08BA88" w:rsidR="00A82FC6" w:rsidRDefault="00C006D8" w:rsidP="005751E6">
      <w:pPr>
        <w:autoSpaceDE w:val="0"/>
        <w:autoSpaceDN w:val="0"/>
        <w:adjustRightInd w:val="0"/>
        <w:rPr>
          <w:rFonts w:eastAsia="Calibri" w:cs="Arial"/>
          <w:szCs w:val="24"/>
        </w:rPr>
      </w:pPr>
      <w:r>
        <w:rPr>
          <w:rFonts w:eastAsia="Calibri" w:cs="Arial"/>
          <w:szCs w:val="24"/>
        </w:rPr>
        <w:t>T</w:t>
      </w:r>
      <w:r w:rsidR="0023565D" w:rsidRPr="0023565D">
        <w:rPr>
          <w:rFonts w:eastAsia="Calibri" w:cs="Arial"/>
          <w:szCs w:val="24"/>
        </w:rPr>
        <w:t xml:space="preserve">he </w:t>
      </w:r>
      <w:proofErr w:type="spellStart"/>
      <w:r w:rsidR="009E2160">
        <w:rPr>
          <w:rFonts w:eastAsia="Calibri" w:cs="Arial"/>
          <w:szCs w:val="24"/>
        </w:rPr>
        <w:t>MoHSW</w:t>
      </w:r>
      <w:proofErr w:type="spellEnd"/>
      <w:r w:rsidR="0023565D" w:rsidRPr="00822359">
        <w:t xml:space="preserve"> is </w:t>
      </w:r>
      <w:r w:rsidR="00E665CA">
        <w:t xml:space="preserve">mandated with </w:t>
      </w:r>
      <w:r w:rsidR="0023565D" w:rsidRPr="00822359">
        <w:t xml:space="preserve">overall stewardship of the health sector. The Ministry is responsible for policy development, strategic planning, resource </w:t>
      </w:r>
      <w:r w:rsidR="00E665CA">
        <w:t>mobilization,</w:t>
      </w:r>
      <w:r w:rsidR="0023565D" w:rsidRPr="00822359">
        <w:t xml:space="preserve"> and monitoring and evaluation </w:t>
      </w:r>
      <w:r w:rsidR="00E665CA">
        <w:t xml:space="preserve">for the sector as a whole. </w:t>
      </w:r>
      <w:r w:rsidR="0023565D" w:rsidRPr="00822359">
        <w:t>The relatio</w:t>
      </w:r>
      <w:r w:rsidR="00267347">
        <w:t>nship</w:t>
      </w:r>
      <w:r w:rsidR="0023565D" w:rsidRPr="00822359">
        <w:t xml:space="preserve"> and roles of </w:t>
      </w:r>
      <w:r w:rsidR="00E665CA">
        <w:t xml:space="preserve">different </w:t>
      </w:r>
      <w:r w:rsidR="0023565D" w:rsidRPr="00822359">
        <w:t>M</w:t>
      </w:r>
      <w:r w:rsidR="004C52A2">
        <w:t>inistries, Departments and Agencies (M</w:t>
      </w:r>
      <w:r w:rsidR="0023565D" w:rsidRPr="00822359">
        <w:t>DAs</w:t>
      </w:r>
      <w:r w:rsidR="004C52A2">
        <w:t>)</w:t>
      </w:r>
      <w:r w:rsidR="0023565D" w:rsidRPr="00822359">
        <w:t xml:space="preserve"> in the health sector is shown in Figure </w:t>
      </w:r>
      <w:r w:rsidR="00A62A27">
        <w:t>2</w:t>
      </w:r>
      <w:r w:rsidR="00822359" w:rsidRPr="00822359">
        <w:t xml:space="preserve"> below</w:t>
      </w:r>
      <w:r w:rsidR="0023565D" w:rsidRPr="0023565D">
        <w:rPr>
          <w:rFonts w:eastAsia="Calibri" w:cs="Arial"/>
          <w:szCs w:val="24"/>
        </w:rPr>
        <w:t>.</w:t>
      </w:r>
      <w:r w:rsidR="00C03055">
        <w:rPr>
          <w:rFonts w:eastAsia="Calibri" w:cs="Arial"/>
          <w:szCs w:val="24"/>
        </w:rPr>
        <w:t xml:space="preserve">  </w:t>
      </w:r>
    </w:p>
    <w:p w14:paraId="59EEADC9" w14:textId="77777777" w:rsidR="005751E6" w:rsidRDefault="005751E6" w:rsidP="005751E6">
      <w:pPr>
        <w:autoSpaceDE w:val="0"/>
        <w:autoSpaceDN w:val="0"/>
        <w:adjustRightInd w:val="0"/>
        <w:rPr>
          <w:rFonts w:eastAsia="Calibri" w:cs="Arial"/>
          <w:szCs w:val="24"/>
        </w:rPr>
      </w:pPr>
    </w:p>
    <w:p w14:paraId="42F0A9A9" w14:textId="12F913F1" w:rsidR="00822359" w:rsidRPr="005751E6" w:rsidRDefault="00822359" w:rsidP="00822359">
      <w:pPr>
        <w:pStyle w:val="Caption"/>
        <w:rPr>
          <w:rFonts w:eastAsia="Calibri" w:cs="Arial"/>
          <w:i/>
          <w:szCs w:val="24"/>
        </w:rPr>
      </w:pPr>
      <w:r w:rsidRPr="005751E6">
        <w:rPr>
          <w:i/>
        </w:rPr>
        <w:t xml:space="preserve">Figure </w:t>
      </w:r>
      <w:r w:rsidR="00C01A1A" w:rsidRPr="005751E6">
        <w:rPr>
          <w:i/>
        </w:rPr>
        <w:fldChar w:fldCharType="begin"/>
      </w:r>
      <w:r w:rsidR="00434E4F" w:rsidRPr="005751E6">
        <w:rPr>
          <w:i/>
        </w:rPr>
        <w:instrText xml:space="preserve"> SEQ Figure \* ARABIC </w:instrText>
      </w:r>
      <w:r w:rsidR="00C01A1A" w:rsidRPr="005751E6">
        <w:rPr>
          <w:i/>
        </w:rPr>
        <w:fldChar w:fldCharType="separate"/>
      </w:r>
      <w:r w:rsidR="00463644">
        <w:rPr>
          <w:i/>
          <w:noProof/>
        </w:rPr>
        <w:t>2</w:t>
      </w:r>
      <w:r w:rsidR="00C01A1A" w:rsidRPr="005751E6">
        <w:rPr>
          <w:i/>
          <w:noProof/>
        </w:rPr>
        <w:fldChar w:fldCharType="end"/>
      </w:r>
      <w:r w:rsidR="002266EC">
        <w:rPr>
          <w:i/>
          <w:noProof/>
        </w:rPr>
        <w:t>.1</w:t>
      </w:r>
      <w:r w:rsidRPr="005751E6">
        <w:rPr>
          <w:i/>
        </w:rPr>
        <w:t>:  Ministries, Departments and Agencies, and their responsibility in health sector</w:t>
      </w:r>
    </w:p>
    <w:p w14:paraId="25A9995B" w14:textId="77777777" w:rsidR="0023565D" w:rsidRPr="0023565D" w:rsidRDefault="0023565D" w:rsidP="002E07C5">
      <w:pPr>
        <w:autoSpaceDE w:val="0"/>
        <w:autoSpaceDN w:val="0"/>
        <w:adjustRightInd w:val="0"/>
        <w:spacing w:line="240" w:lineRule="auto"/>
        <w:rPr>
          <w:rFonts w:eastAsia="Calibri" w:cs="Arial"/>
          <w:szCs w:val="24"/>
        </w:rPr>
      </w:pPr>
      <w:r w:rsidRPr="0023565D">
        <w:rPr>
          <w:rFonts w:eastAsia="Calibri" w:cs="Arial"/>
          <w:szCs w:val="24"/>
        </w:rPr>
        <w:t xml:space="preserve">  </w:t>
      </w:r>
    </w:p>
    <w:p w14:paraId="766CED2E" w14:textId="2D412E13" w:rsidR="0023565D" w:rsidRPr="0023565D" w:rsidRDefault="00EC4EC9" w:rsidP="002E07C5">
      <w:pPr>
        <w:ind w:left="-142"/>
        <w:rPr>
          <w:rFonts w:eastAsia="Calibri" w:cs="Arial"/>
          <w:szCs w:val="24"/>
          <w:lang w:val="en-GB"/>
        </w:rPr>
      </w:pPr>
      <w:r>
        <w:rPr>
          <w:rFonts w:eastAsia="Calibri" w:cs="Arial"/>
          <w:noProof/>
          <w:szCs w:val="24"/>
          <w:lang w:val="en-GB" w:eastAsia="en-GB"/>
        </w:rPr>
        <mc:AlternateContent>
          <mc:Choice Requires="wpc">
            <w:drawing>
              <wp:inline distT="0" distB="0" distL="0" distR="0" wp14:anchorId="2E1724ED" wp14:editId="2FCE581C">
                <wp:extent cx="6689090" cy="4702812"/>
                <wp:effectExtent l="0" t="0" r="0" b="21590"/>
                <wp:docPr id="38" name="Canvas 103"/>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wps:wsp>
                        <wps:cNvPr id="1" name="AutoShape 22"/>
                        <wps:cNvCnPr>
                          <a:cxnSpLocks noChangeShapeType="1"/>
                        </wps:cNvCnPr>
                        <wps:spPr bwMode="auto">
                          <a:xfrm rot="16200000" flipH="1">
                            <a:off x="3129744" y="3289224"/>
                            <a:ext cx="434403" cy="313704"/>
                          </a:xfrm>
                          <a:prstGeom prst="bentConnector3">
                            <a:avLst>
                              <a:gd name="adj1" fmla="val 111398"/>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2" name="AutoShape 31"/>
                        <wps:cNvCnPr>
                          <a:cxnSpLocks noChangeShapeType="1"/>
                        </wps:cNvCnPr>
                        <wps:spPr bwMode="auto">
                          <a:xfrm rot="16200000" flipH="1">
                            <a:off x="5613477" y="2523420"/>
                            <a:ext cx="548604" cy="129502"/>
                          </a:xfrm>
                          <a:prstGeom prst="bentConnector2">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3" name="AutoShape 30"/>
                        <wps:cNvCnPr>
                          <a:cxnSpLocks noChangeShapeType="1"/>
                        </wps:cNvCnPr>
                        <wps:spPr bwMode="auto">
                          <a:xfrm rot="16200000" flipH="1">
                            <a:off x="4259659" y="2435818"/>
                            <a:ext cx="547304" cy="306104"/>
                          </a:xfrm>
                          <a:prstGeom prst="bentConnector2">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7" name="AutoShape 23"/>
                        <wps:cNvCnPr>
                          <a:cxnSpLocks noChangeShapeType="1"/>
                        </wps:cNvCnPr>
                        <wps:spPr bwMode="auto">
                          <a:xfrm rot="5400000" flipV="1">
                            <a:off x="3375245" y="-1552924"/>
                            <a:ext cx="700" cy="4894666"/>
                          </a:xfrm>
                          <a:prstGeom prst="bentConnector3">
                            <a:avLst>
                              <a:gd name="adj1" fmla="val -36000000"/>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8" name="AutoShape 24"/>
                        <wps:cNvCnPr>
                          <a:cxnSpLocks noChangeShapeType="1"/>
                        </wps:cNvCnPr>
                        <wps:spPr bwMode="auto">
                          <a:xfrm rot="16200000" flipH="1">
                            <a:off x="985715" y="1257009"/>
                            <a:ext cx="447703" cy="562608"/>
                          </a:xfrm>
                          <a:prstGeom prst="bentConnector3">
                            <a:avLst>
                              <a:gd name="adj1" fmla="val 49931"/>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9" name="AutoShape 25"/>
                        <wps:cNvCnPr>
                          <a:cxnSpLocks noChangeShapeType="1"/>
                        </wps:cNvCnPr>
                        <wps:spPr bwMode="auto">
                          <a:xfrm rot="5400000">
                            <a:off x="466608" y="1300510"/>
                            <a:ext cx="447703" cy="475606"/>
                          </a:xfrm>
                          <a:prstGeom prst="bentConnector3">
                            <a:avLst>
                              <a:gd name="adj1" fmla="val 49931"/>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10" name="AutoShape 26"/>
                        <wps:cNvCnPr>
                          <a:cxnSpLocks noChangeShapeType="1"/>
                        </wps:cNvCnPr>
                        <wps:spPr bwMode="auto">
                          <a:xfrm rot="16200000" flipH="1">
                            <a:off x="1304520" y="2500319"/>
                            <a:ext cx="615304" cy="242603"/>
                          </a:xfrm>
                          <a:prstGeom prst="bentConnector2">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11" name="AutoShape 27"/>
                        <wps:cNvCnPr>
                          <a:cxnSpLocks noChangeShapeType="1"/>
                        </wps:cNvCnPr>
                        <wps:spPr bwMode="auto">
                          <a:xfrm rot="16200000" flipH="1">
                            <a:off x="161604" y="2605020"/>
                            <a:ext cx="701005" cy="118802"/>
                          </a:xfrm>
                          <a:prstGeom prst="bentConnector2">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12" name="AutoShape 28"/>
                        <wps:cNvCnPr>
                          <a:cxnSpLocks noChangeShapeType="1"/>
                        </wps:cNvCnPr>
                        <wps:spPr bwMode="auto">
                          <a:xfrm rot="16200000" flipH="1">
                            <a:off x="-283599" y="3050223"/>
                            <a:ext cx="1591311" cy="118802"/>
                          </a:xfrm>
                          <a:prstGeom prst="bentConnector2">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13" name="AutoShape 29"/>
                        <wps:cNvCnPr>
                          <a:cxnSpLocks noChangeShapeType="1"/>
                        </wps:cNvCnPr>
                        <wps:spPr bwMode="auto">
                          <a:xfrm>
                            <a:off x="2954440" y="2039217"/>
                            <a:ext cx="165102" cy="80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 name="AutoShape 32"/>
                        <wps:cNvCnPr>
                          <a:cxnSpLocks noChangeShapeType="1"/>
                        </wps:cNvCnPr>
                        <wps:spPr bwMode="auto">
                          <a:xfrm rot="5400000">
                            <a:off x="4256258" y="771308"/>
                            <a:ext cx="247602"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 name="AutoShape 33"/>
                        <wps:cNvCnPr>
                          <a:cxnSpLocks noChangeShapeType="1"/>
                        </wps:cNvCnPr>
                        <wps:spPr bwMode="auto">
                          <a:xfrm rot="16200000" flipH="1">
                            <a:off x="2996393" y="3822678"/>
                            <a:ext cx="723905" cy="336505"/>
                          </a:xfrm>
                          <a:prstGeom prst="bentConnector2">
                            <a:avLst/>
                          </a:prstGeom>
                          <a:noFill/>
                          <a:ln w="25400">
                            <a:solidFill>
                              <a:srgbClr val="000000"/>
                            </a:solidFill>
                            <a:prstDash val="dash"/>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6" name="AutoShape 6"/>
                        <wps:cNvSpPr>
                          <a:spLocks noChangeArrowheads="1"/>
                        </wps:cNvSpPr>
                        <wps:spPr bwMode="auto">
                          <a:xfrm>
                            <a:off x="2067028" y="1761815"/>
                            <a:ext cx="887412" cy="553104"/>
                          </a:xfrm>
                          <a:prstGeom prst="flowChartAlternateProcess">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060A35D" w14:textId="77777777" w:rsidR="00C92C73" w:rsidRPr="0028485C" w:rsidRDefault="00C92C73" w:rsidP="0023565D">
                              <w:pPr>
                                <w:jc w:val="center"/>
                                <w:rPr>
                                  <w:sz w:val="16"/>
                                  <w:szCs w:val="16"/>
                                </w:rPr>
                              </w:pPr>
                              <w:r>
                                <w:rPr>
                                  <w:sz w:val="16"/>
                                  <w:szCs w:val="16"/>
                                </w:rPr>
                                <w:t>Regional Health Management Team</w:t>
                              </w:r>
                            </w:p>
                          </w:txbxContent>
                        </wps:txbx>
                        <wps:bodyPr rot="0" vert="horz" wrap="square" lIns="91440" tIns="45720" rIns="91440" bIns="45720" anchor="t" anchorCtr="0" upright="1">
                          <a:noAutofit/>
                        </wps:bodyPr>
                      </wps:wsp>
                      <wps:wsp>
                        <wps:cNvPr id="17" name="AutoShape 7"/>
                        <wps:cNvSpPr>
                          <a:spLocks noChangeArrowheads="1"/>
                        </wps:cNvSpPr>
                        <wps:spPr bwMode="auto">
                          <a:xfrm>
                            <a:off x="1056614" y="1761815"/>
                            <a:ext cx="868412" cy="552304"/>
                          </a:xfrm>
                          <a:prstGeom prst="flowChartAlternateProcess">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935ADA0" w14:textId="77777777" w:rsidR="00C92C73" w:rsidRPr="0028485C" w:rsidRDefault="00C92C73" w:rsidP="0023565D">
                              <w:pPr>
                                <w:jc w:val="center"/>
                                <w:rPr>
                                  <w:sz w:val="16"/>
                                  <w:szCs w:val="16"/>
                                </w:rPr>
                              </w:pPr>
                              <w:r>
                                <w:rPr>
                                  <w:sz w:val="16"/>
                                  <w:szCs w:val="16"/>
                                </w:rPr>
                                <w:t>National and Regional Hospitals</w:t>
                              </w:r>
                            </w:p>
                          </w:txbxContent>
                        </wps:txbx>
                        <wps:bodyPr rot="0" vert="horz" wrap="square" lIns="91440" tIns="45720" rIns="91440" bIns="45720" anchor="t" anchorCtr="0" upright="1">
                          <a:noAutofit/>
                        </wps:bodyPr>
                      </wps:wsp>
                      <wps:wsp>
                        <wps:cNvPr id="18" name="AutoShape 8"/>
                        <wps:cNvSpPr>
                          <a:spLocks noChangeArrowheads="1"/>
                        </wps:cNvSpPr>
                        <wps:spPr bwMode="auto">
                          <a:xfrm>
                            <a:off x="0" y="1761815"/>
                            <a:ext cx="905512" cy="552304"/>
                          </a:xfrm>
                          <a:prstGeom prst="flowChartAlternateProcess">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BD6C785" w14:textId="77777777" w:rsidR="00C92C73" w:rsidRPr="0028485C" w:rsidRDefault="00C92C73" w:rsidP="0023565D">
                              <w:pPr>
                                <w:tabs>
                                  <w:tab w:val="left" w:pos="90"/>
                                </w:tabs>
                                <w:jc w:val="center"/>
                                <w:rPr>
                                  <w:sz w:val="16"/>
                                  <w:szCs w:val="16"/>
                                </w:rPr>
                              </w:pPr>
                              <w:r>
                                <w:rPr>
                                  <w:sz w:val="16"/>
                                  <w:szCs w:val="16"/>
                                </w:rPr>
                                <w:t>Departments and Agencies, Training Centers</w:t>
                              </w:r>
                            </w:p>
                          </w:txbxContent>
                        </wps:txbx>
                        <wps:bodyPr rot="0" vert="horz" wrap="square" lIns="91440" tIns="45720" rIns="91440" bIns="45720" anchor="t" anchorCtr="0" upright="1">
                          <a:noAutofit/>
                        </wps:bodyPr>
                      </wps:wsp>
                      <wps:wsp>
                        <wps:cNvPr id="19" name="AutoShape 9"/>
                        <wps:cNvSpPr>
                          <a:spLocks noChangeArrowheads="1"/>
                        </wps:cNvSpPr>
                        <wps:spPr bwMode="auto">
                          <a:xfrm>
                            <a:off x="571208" y="3591127"/>
                            <a:ext cx="752810" cy="628104"/>
                          </a:xfrm>
                          <a:prstGeom prst="flowChartAlternateProcess">
                            <a:avLst/>
                          </a:prstGeom>
                          <a:gradFill rotWithShape="0">
                            <a:gsLst>
                              <a:gs pos="0">
                                <a:srgbClr val="FFFFFF"/>
                              </a:gs>
                              <a:gs pos="100000">
                                <a:srgbClr val="B9CDE5"/>
                              </a:gs>
                            </a:gsLst>
                            <a:lin ang="5400000" scaled="1"/>
                          </a:gradFill>
                          <a:ln w="12700">
                            <a:solidFill>
                              <a:srgbClr val="95B3D7"/>
                            </a:solidFill>
                            <a:miter lim="800000"/>
                            <a:headEnd/>
                            <a:tailEnd/>
                          </a:ln>
                          <a:effectLst>
                            <a:outerShdw dist="28398" dir="3806097" algn="ctr" rotWithShape="0">
                              <a:srgbClr val="254061">
                                <a:alpha val="50000"/>
                              </a:srgbClr>
                            </a:outerShdw>
                          </a:effectLst>
                        </wps:spPr>
                        <wps:txbx>
                          <w:txbxContent>
                            <w:p w14:paraId="358701C1" w14:textId="77777777" w:rsidR="00C92C73" w:rsidRPr="0028485C" w:rsidRDefault="00C92C73" w:rsidP="0023565D">
                              <w:pPr>
                                <w:rPr>
                                  <w:sz w:val="16"/>
                                  <w:szCs w:val="16"/>
                                </w:rPr>
                              </w:pPr>
                              <w:r>
                                <w:rPr>
                                  <w:sz w:val="16"/>
                                  <w:szCs w:val="16"/>
                                </w:rPr>
                                <w:t>Training of Health Staff</w:t>
                              </w:r>
                            </w:p>
                          </w:txbxContent>
                        </wps:txbx>
                        <wps:bodyPr rot="0" vert="horz" wrap="square" lIns="91440" tIns="45720" rIns="91440" bIns="45720" anchor="t" anchorCtr="0" upright="1">
                          <a:noAutofit/>
                        </wps:bodyPr>
                      </wps:wsp>
                      <wps:wsp>
                        <wps:cNvPr id="20" name="AutoShape 10"/>
                        <wps:cNvSpPr>
                          <a:spLocks noChangeArrowheads="1"/>
                        </wps:cNvSpPr>
                        <wps:spPr bwMode="auto">
                          <a:xfrm>
                            <a:off x="571208" y="2628621"/>
                            <a:ext cx="836111" cy="703605"/>
                          </a:xfrm>
                          <a:prstGeom prst="flowChartAlternateProcess">
                            <a:avLst/>
                          </a:prstGeom>
                          <a:gradFill rotWithShape="0">
                            <a:gsLst>
                              <a:gs pos="0">
                                <a:srgbClr val="FFFFFF"/>
                              </a:gs>
                              <a:gs pos="100000">
                                <a:srgbClr val="B9CDE5"/>
                              </a:gs>
                            </a:gsLst>
                            <a:lin ang="5400000" scaled="1"/>
                          </a:gradFill>
                          <a:ln w="12700">
                            <a:solidFill>
                              <a:srgbClr val="95B3D7"/>
                            </a:solidFill>
                            <a:miter lim="800000"/>
                            <a:headEnd/>
                            <a:tailEnd/>
                          </a:ln>
                          <a:effectLst>
                            <a:outerShdw dist="28398" dir="3806097" algn="ctr" rotWithShape="0">
                              <a:srgbClr val="254061">
                                <a:alpha val="50000"/>
                              </a:srgbClr>
                            </a:outerShdw>
                          </a:effectLst>
                        </wps:spPr>
                        <wps:txbx>
                          <w:txbxContent>
                            <w:p w14:paraId="1A7EC8AD" w14:textId="77777777" w:rsidR="00C92C73" w:rsidRPr="0028485C" w:rsidRDefault="00C92C73" w:rsidP="0023565D">
                              <w:pPr>
                                <w:jc w:val="center"/>
                                <w:rPr>
                                  <w:sz w:val="16"/>
                                  <w:szCs w:val="16"/>
                                </w:rPr>
                              </w:pPr>
                              <w:r>
                                <w:rPr>
                                  <w:sz w:val="16"/>
                                  <w:szCs w:val="16"/>
                                </w:rPr>
                                <w:t>Support functions in the health sector</w:t>
                              </w:r>
                            </w:p>
                          </w:txbxContent>
                        </wps:txbx>
                        <wps:bodyPr rot="0" vert="horz" wrap="square" lIns="91440" tIns="45720" rIns="91440" bIns="45720" anchor="t" anchorCtr="0" upright="1">
                          <a:noAutofit/>
                        </wps:bodyPr>
                      </wps:wsp>
                      <wps:wsp>
                        <wps:cNvPr id="21" name="AutoShape 11"/>
                        <wps:cNvSpPr>
                          <a:spLocks noChangeArrowheads="1"/>
                        </wps:cNvSpPr>
                        <wps:spPr bwMode="auto">
                          <a:xfrm>
                            <a:off x="5952580" y="2581520"/>
                            <a:ext cx="695909" cy="562204"/>
                          </a:xfrm>
                          <a:prstGeom prst="flowChartAlternateProcess">
                            <a:avLst/>
                          </a:prstGeom>
                          <a:gradFill rotWithShape="0">
                            <a:gsLst>
                              <a:gs pos="0">
                                <a:srgbClr val="FFFFFF"/>
                              </a:gs>
                              <a:gs pos="100000">
                                <a:srgbClr val="B9CDE5"/>
                              </a:gs>
                            </a:gsLst>
                            <a:lin ang="5400000" scaled="1"/>
                          </a:gradFill>
                          <a:ln w="12700">
                            <a:solidFill>
                              <a:srgbClr val="95B3D7"/>
                            </a:solidFill>
                            <a:miter lim="800000"/>
                            <a:headEnd/>
                            <a:tailEnd/>
                          </a:ln>
                          <a:effectLst>
                            <a:outerShdw dist="28398" dir="3806097" algn="ctr" rotWithShape="0">
                              <a:srgbClr val="254061">
                                <a:alpha val="50000"/>
                              </a:srgbClr>
                            </a:outerShdw>
                          </a:effectLst>
                        </wps:spPr>
                        <wps:txbx>
                          <w:txbxContent>
                            <w:p w14:paraId="522014D1" w14:textId="77777777" w:rsidR="00C92C73" w:rsidRPr="0028485C" w:rsidRDefault="00C92C73" w:rsidP="0023565D">
                              <w:pPr>
                                <w:jc w:val="center"/>
                                <w:rPr>
                                  <w:sz w:val="16"/>
                                  <w:szCs w:val="16"/>
                                </w:rPr>
                              </w:pPr>
                              <w:r>
                                <w:rPr>
                                  <w:sz w:val="16"/>
                                  <w:szCs w:val="16"/>
                                </w:rPr>
                                <w:t>Training of Health Staff</w:t>
                              </w:r>
                            </w:p>
                          </w:txbxContent>
                        </wps:txbx>
                        <wps:bodyPr rot="0" vert="horz" wrap="square" lIns="91440" tIns="45720" rIns="91440" bIns="45720" anchor="t" anchorCtr="0" upright="1">
                          <a:noAutofit/>
                        </wps:bodyPr>
                      </wps:wsp>
                      <wps:wsp>
                        <wps:cNvPr id="22" name="AutoShape 12"/>
                        <wps:cNvSpPr>
                          <a:spLocks noChangeArrowheads="1"/>
                        </wps:cNvSpPr>
                        <wps:spPr bwMode="auto">
                          <a:xfrm>
                            <a:off x="4686263" y="2581520"/>
                            <a:ext cx="924612" cy="562204"/>
                          </a:xfrm>
                          <a:prstGeom prst="flowChartAlternateProcess">
                            <a:avLst/>
                          </a:prstGeom>
                          <a:gradFill rotWithShape="0">
                            <a:gsLst>
                              <a:gs pos="0">
                                <a:srgbClr val="FFFFFF"/>
                              </a:gs>
                              <a:gs pos="100000">
                                <a:srgbClr val="B9CDE5"/>
                              </a:gs>
                            </a:gsLst>
                            <a:lin ang="5400000" scaled="1"/>
                          </a:gradFill>
                          <a:ln w="12700">
                            <a:solidFill>
                              <a:srgbClr val="95B3D7"/>
                            </a:solidFill>
                            <a:miter lim="800000"/>
                            <a:headEnd/>
                            <a:tailEnd/>
                          </a:ln>
                          <a:effectLst>
                            <a:outerShdw dist="28398" dir="3806097" algn="ctr" rotWithShape="0">
                              <a:srgbClr val="254061">
                                <a:alpha val="50000"/>
                              </a:srgbClr>
                            </a:outerShdw>
                          </a:effectLst>
                        </wps:spPr>
                        <wps:txbx>
                          <w:txbxContent>
                            <w:p w14:paraId="1F3ADBFD" w14:textId="77777777" w:rsidR="00C92C73" w:rsidRPr="0028485C" w:rsidRDefault="00C92C73" w:rsidP="0023565D">
                              <w:pPr>
                                <w:jc w:val="center"/>
                                <w:rPr>
                                  <w:sz w:val="16"/>
                                  <w:szCs w:val="16"/>
                                </w:rPr>
                              </w:pPr>
                              <w:r>
                                <w:rPr>
                                  <w:sz w:val="16"/>
                                  <w:szCs w:val="16"/>
                                </w:rPr>
                                <w:t>Disbursement of funds, financial reporting</w:t>
                              </w:r>
                            </w:p>
                          </w:txbxContent>
                        </wps:txbx>
                        <wps:bodyPr rot="0" vert="horz" wrap="square" lIns="91440" tIns="45720" rIns="91440" bIns="45720" anchor="t" anchorCtr="0" upright="1">
                          <a:noAutofit/>
                        </wps:bodyPr>
                      </wps:wsp>
                      <wps:wsp>
                        <wps:cNvPr id="23" name="AutoShape 13"/>
                        <wps:cNvSpPr>
                          <a:spLocks noChangeArrowheads="1"/>
                        </wps:cNvSpPr>
                        <wps:spPr bwMode="auto">
                          <a:xfrm>
                            <a:off x="1733523" y="2628621"/>
                            <a:ext cx="818811" cy="600304"/>
                          </a:xfrm>
                          <a:prstGeom prst="flowChartAlternateProcess">
                            <a:avLst/>
                          </a:prstGeom>
                          <a:gradFill rotWithShape="0">
                            <a:gsLst>
                              <a:gs pos="0">
                                <a:srgbClr val="FFFFFF"/>
                              </a:gs>
                              <a:gs pos="100000">
                                <a:srgbClr val="B9CDE5"/>
                              </a:gs>
                            </a:gsLst>
                            <a:lin ang="5400000" scaled="1"/>
                          </a:gradFill>
                          <a:ln w="12700">
                            <a:solidFill>
                              <a:srgbClr val="95B3D7"/>
                            </a:solidFill>
                            <a:miter lim="800000"/>
                            <a:headEnd/>
                            <a:tailEnd/>
                          </a:ln>
                          <a:effectLst>
                            <a:outerShdw dist="28398" dir="3806097" algn="ctr" rotWithShape="0">
                              <a:srgbClr val="254061">
                                <a:alpha val="50000"/>
                              </a:srgbClr>
                            </a:outerShdw>
                          </a:effectLst>
                        </wps:spPr>
                        <wps:txbx>
                          <w:txbxContent>
                            <w:p w14:paraId="6032A6CC" w14:textId="77777777" w:rsidR="00C92C73" w:rsidRPr="0028485C" w:rsidRDefault="00C92C73" w:rsidP="0023565D">
                              <w:pPr>
                                <w:jc w:val="center"/>
                                <w:rPr>
                                  <w:sz w:val="16"/>
                                  <w:szCs w:val="16"/>
                                </w:rPr>
                              </w:pPr>
                              <w:r>
                                <w:rPr>
                                  <w:sz w:val="16"/>
                                  <w:szCs w:val="16"/>
                                </w:rPr>
                                <w:t>Provision of health services</w:t>
                              </w:r>
                            </w:p>
                          </w:txbxContent>
                        </wps:txbx>
                        <wps:bodyPr rot="0" vert="horz" wrap="square" lIns="91440" tIns="45720" rIns="91440" bIns="45720" anchor="t" anchorCtr="0" upright="1">
                          <a:noAutofit/>
                        </wps:bodyPr>
                      </wps:wsp>
                      <wps:wsp>
                        <wps:cNvPr id="24" name="AutoShape 15"/>
                        <wps:cNvSpPr>
                          <a:spLocks noChangeArrowheads="1"/>
                        </wps:cNvSpPr>
                        <wps:spPr bwMode="auto">
                          <a:xfrm>
                            <a:off x="3503947" y="3381926"/>
                            <a:ext cx="1150715" cy="590004"/>
                          </a:xfrm>
                          <a:prstGeom prst="flowChartAlternateProcess">
                            <a:avLst/>
                          </a:prstGeom>
                          <a:gradFill rotWithShape="0">
                            <a:gsLst>
                              <a:gs pos="0">
                                <a:srgbClr val="FFFFFF"/>
                              </a:gs>
                              <a:gs pos="100000">
                                <a:srgbClr val="B9CDE5"/>
                              </a:gs>
                            </a:gsLst>
                            <a:lin ang="5400000" scaled="1"/>
                          </a:gradFill>
                          <a:ln w="12700">
                            <a:solidFill>
                              <a:srgbClr val="95B3D7"/>
                            </a:solidFill>
                            <a:miter lim="800000"/>
                            <a:headEnd/>
                            <a:tailEnd/>
                          </a:ln>
                          <a:effectLst>
                            <a:outerShdw dist="28398" dir="3806097" algn="ctr" rotWithShape="0">
                              <a:srgbClr val="254061">
                                <a:alpha val="50000"/>
                              </a:srgbClr>
                            </a:outerShdw>
                          </a:effectLst>
                        </wps:spPr>
                        <wps:txbx>
                          <w:txbxContent>
                            <w:p w14:paraId="325C4EC0" w14:textId="77777777" w:rsidR="00C92C73" w:rsidRPr="0028485C" w:rsidRDefault="00C92C73" w:rsidP="0023565D">
                              <w:pPr>
                                <w:jc w:val="center"/>
                                <w:rPr>
                                  <w:sz w:val="16"/>
                                  <w:szCs w:val="16"/>
                                </w:rPr>
                              </w:pPr>
                              <w:r>
                                <w:rPr>
                                  <w:sz w:val="16"/>
                                  <w:szCs w:val="16"/>
                                </w:rPr>
                                <w:t>Provision of primary health and hospital services</w:t>
                              </w:r>
                            </w:p>
                          </w:txbxContent>
                        </wps:txbx>
                        <wps:bodyPr rot="0" vert="horz" wrap="square" lIns="91440" tIns="45720" rIns="91440" bIns="45720" anchor="t" anchorCtr="0" upright="1">
                          <a:noAutofit/>
                        </wps:bodyPr>
                      </wps:wsp>
                      <wps:wsp>
                        <wps:cNvPr id="25" name="AutoShape 16"/>
                        <wps:cNvSpPr>
                          <a:spLocks noChangeArrowheads="1"/>
                        </wps:cNvSpPr>
                        <wps:spPr bwMode="auto">
                          <a:xfrm>
                            <a:off x="3535548" y="4219232"/>
                            <a:ext cx="1151615" cy="457303"/>
                          </a:xfrm>
                          <a:prstGeom prst="flowChartAlternateProcess">
                            <a:avLst/>
                          </a:prstGeom>
                          <a:gradFill rotWithShape="0">
                            <a:gsLst>
                              <a:gs pos="0">
                                <a:srgbClr val="FFFFFF"/>
                              </a:gs>
                              <a:gs pos="100000">
                                <a:srgbClr val="D7E4BD"/>
                              </a:gs>
                            </a:gsLst>
                            <a:lin ang="5400000" scaled="1"/>
                          </a:gradFill>
                          <a:ln w="12700">
                            <a:solidFill>
                              <a:srgbClr val="C3D69B"/>
                            </a:solidFill>
                            <a:miter lim="800000"/>
                            <a:headEnd/>
                            <a:tailEnd/>
                          </a:ln>
                          <a:effectLst>
                            <a:outerShdw dist="28398" dir="3806097" algn="ctr" rotWithShape="0">
                              <a:srgbClr val="4F6228">
                                <a:alpha val="50000"/>
                              </a:srgbClr>
                            </a:outerShdw>
                          </a:effectLst>
                        </wps:spPr>
                        <wps:txbx>
                          <w:txbxContent>
                            <w:p w14:paraId="09DA08CC" w14:textId="77777777" w:rsidR="00C92C73" w:rsidRPr="0028485C" w:rsidRDefault="00C92C73" w:rsidP="0023565D">
                              <w:pPr>
                                <w:jc w:val="center"/>
                                <w:rPr>
                                  <w:sz w:val="16"/>
                                  <w:szCs w:val="16"/>
                                </w:rPr>
                              </w:pPr>
                              <w:r>
                                <w:rPr>
                                  <w:sz w:val="16"/>
                                  <w:szCs w:val="16"/>
                                </w:rPr>
                                <w:t>Private Health Providers</w:t>
                              </w:r>
                            </w:p>
                          </w:txbxContent>
                        </wps:txbx>
                        <wps:bodyPr rot="0" vert="horz" wrap="square" lIns="91440" tIns="45720" rIns="91440" bIns="45720" anchor="t" anchorCtr="0" upright="1">
                          <a:noAutofit/>
                        </wps:bodyPr>
                      </wps:wsp>
                      <wps:wsp>
                        <wps:cNvPr id="26" name="AutoShape 17"/>
                        <wps:cNvSpPr>
                          <a:spLocks noChangeArrowheads="1"/>
                        </wps:cNvSpPr>
                        <wps:spPr bwMode="auto">
                          <a:xfrm>
                            <a:off x="2552334" y="9403"/>
                            <a:ext cx="1132615" cy="428403"/>
                          </a:xfrm>
                          <a:prstGeom prst="flowChartAlternateProcess">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29C0062" w14:textId="77777777" w:rsidR="00C92C73" w:rsidRPr="00FD6999" w:rsidRDefault="00C92C73" w:rsidP="0023565D">
                              <w:pPr>
                                <w:jc w:val="center"/>
                                <w:rPr>
                                  <w:sz w:val="18"/>
                                  <w:szCs w:val="18"/>
                                </w:rPr>
                              </w:pPr>
                              <w:r>
                                <w:rPr>
                                  <w:sz w:val="18"/>
                                  <w:szCs w:val="18"/>
                                </w:rPr>
                                <w:t>Government of Tanzania</w:t>
                              </w:r>
                            </w:p>
                          </w:txbxContent>
                        </wps:txbx>
                        <wps:bodyPr rot="0" vert="horz" wrap="square" lIns="91440" tIns="45720" rIns="91440" bIns="45720" anchor="t" anchorCtr="0" upright="1">
                          <a:noAutofit/>
                        </wps:bodyPr>
                      </wps:wsp>
                      <wps:wsp>
                        <wps:cNvPr id="27" name="AutoShape 18"/>
                        <wps:cNvSpPr>
                          <a:spLocks noChangeArrowheads="1"/>
                        </wps:cNvSpPr>
                        <wps:spPr bwMode="auto">
                          <a:xfrm>
                            <a:off x="5276471" y="851408"/>
                            <a:ext cx="1093015" cy="779205"/>
                          </a:xfrm>
                          <a:prstGeom prst="flowChartAlternateProcess">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D44E708" w14:textId="77777777" w:rsidR="00C92C73" w:rsidRPr="0087627F" w:rsidRDefault="00C92C73" w:rsidP="0023565D">
                              <w:pPr>
                                <w:jc w:val="center"/>
                                <w:rPr>
                                  <w:sz w:val="18"/>
                                  <w:szCs w:val="18"/>
                                </w:rPr>
                              </w:pPr>
                              <w:r w:rsidRPr="0087627F">
                                <w:rPr>
                                  <w:sz w:val="18"/>
                                  <w:szCs w:val="18"/>
                                </w:rPr>
                                <w:t>Ministry of Education and Vocational Training</w:t>
                              </w:r>
                            </w:p>
                          </w:txbxContent>
                        </wps:txbx>
                        <wps:bodyPr rot="0" vert="horz" wrap="square" lIns="91440" tIns="45720" rIns="91440" bIns="45720" anchor="t" anchorCtr="0" upright="1">
                          <a:noAutofit/>
                        </wps:bodyPr>
                      </wps:wsp>
                      <wps:wsp>
                        <wps:cNvPr id="28" name="AutoShape 19"/>
                        <wps:cNvSpPr>
                          <a:spLocks noChangeArrowheads="1"/>
                        </wps:cNvSpPr>
                        <wps:spPr bwMode="auto">
                          <a:xfrm>
                            <a:off x="3836852" y="895109"/>
                            <a:ext cx="1087215" cy="563804"/>
                          </a:xfrm>
                          <a:prstGeom prst="flowChartAlternateProcess">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90BFC68" w14:textId="77777777" w:rsidR="00C92C73" w:rsidRPr="0087627F" w:rsidRDefault="00C92C73" w:rsidP="0023565D">
                              <w:pPr>
                                <w:jc w:val="center"/>
                                <w:rPr>
                                  <w:szCs w:val="24"/>
                                </w:rPr>
                              </w:pPr>
                              <w:r w:rsidRPr="0087627F">
                                <w:rPr>
                                  <w:szCs w:val="24"/>
                                </w:rPr>
                                <w:t xml:space="preserve">Ministry of Finance </w:t>
                              </w:r>
                            </w:p>
                          </w:txbxContent>
                        </wps:txbx>
                        <wps:bodyPr rot="0" vert="horz" wrap="square" lIns="91440" tIns="45720" rIns="91440" bIns="45720" anchor="t" anchorCtr="0" upright="1">
                          <a:noAutofit/>
                        </wps:bodyPr>
                      </wps:wsp>
                      <wps:wsp>
                        <wps:cNvPr id="29" name="AutoShape 21"/>
                        <wps:cNvSpPr>
                          <a:spLocks noChangeArrowheads="1"/>
                        </wps:cNvSpPr>
                        <wps:spPr bwMode="auto">
                          <a:xfrm>
                            <a:off x="323504" y="894309"/>
                            <a:ext cx="1209416" cy="420103"/>
                          </a:xfrm>
                          <a:prstGeom prst="flowChartAlternateProcess">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1932DE" w14:textId="77777777" w:rsidR="00C92C73" w:rsidRPr="002343C4" w:rsidRDefault="00C92C73" w:rsidP="0023565D">
                              <w:pPr>
                                <w:jc w:val="center"/>
                                <w:rPr>
                                  <w:szCs w:val="24"/>
                                </w:rPr>
                              </w:pPr>
                              <w:r w:rsidRPr="002343C4">
                                <w:rPr>
                                  <w:szCs w:val="24"/>
                                </w:rPr>
                                <w:t>MOHSW</w:t>
                              </w:r>
                            </w:p>
                          </w:txbxContent>
                        </wps:txbx>
                        <wps:bodyPr rot="0" vert="horz" wrap="square" lIns="91440" tIns="45720" rIns="91440" bIns="45720" anchor="t" anchorCtr="0" upright="1">
                          <a:noAutofit/>
                        </wps:bodyPr>
                      </wps:wsp>
                      <wps:wsp>
                        <wps:cNvPr id="30" name="AutoShape 14"/>
                        <wps:cNvSpPr>
                          <a:spLocks noChangeArrowheads="1"/>
                        </wps:cNvSpPr>
                        <wps:spPr bwMode="auto">
                          <a:xfrm>
                            <a:off x="2695236" y="2628621"/>
                            <a:ext cx="989713" cy="600304"/>
                          </a:xfrm>
                          <a:prstGeom prst="flowChartAlternateProcess">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64C3483" w14:textId="77777777" w:rsidR="00C92C73" w:rsidRPr="0028485C" w:rsidRDefault="00C92C73" w:rsidP="0023565D">
                              <w:pPr>
                                <w:jc w:val="center"/>
                                <w:rPr>
                                  <w:sz w:val="16"/>
                                  <w:szCs w:val="16"/>
                                </w:rPr>
                              </w:pPr>
                              <w:r>
                                <w:rPr>
                                  <w:sz w:val="16"/>
                                  <w:szCs w:val="16"/>
                                </w:rPr>
                                <w:t>Local Government Authorities</w:t>
                              </w:r>
                            </w:p>
                          </w:txbxContent>
                        </wps:txbx>
                        <wps:bodyPr rot="0" vert="horz" wrap="square" lIns="91440" tIns="45720" rIns="91440" bIns="45720" anchor="t" anchorCtr="0" upright="1">
                          <a:noAutofit/>
                        </wps:bodyPr>
                      </wps:wsp>
                      <wps:wsp>
                        <wps:cNvPr id="31" name="AutoShape 20"/>
                        <wps:cNvSpPr>
                          <a:spLocks noChangeArrowheads="1"/>
                        </wps:cNvSpPr>
                        <wps:spPr bwMode="auto">
                          <a:xfrm>
                            <a:off x="2552334" y="894309"/>
                            <a:ext cx="1038514" cy="563004"/>
                          </a:xfrm>
                          <a:prstGeom prst="flowChartAlternateProcess">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32C2CC4" w14:textId="77777777" w:rsidR="00C92C73" w:rsidRPr="002343C4" w:rsidRDefault="00C92C73" w:rsidP="0023565D">
                              <w:pPr>
                                <w:jc w:val="center"/>
                                <w:rPr>
                                  <w:szCs w:val="24"/>
                                </w:rPr>
                              </w:pPr>
                              <w:r w:rsidRPr="002343C4">
                                <w:rPr>
                                  <w:szCs w:val="24"/>
                                </w:rPr>
                                <w:t>PMO-RALG</w:t>
                              </w:r>
                            </w:p>
                          </w:txbxContent>
                        </wps:txbx>
                        <wps:bodyPr rot="0" vert="horz" wrap="square" lIns="91440" tIns="45720" rIns="91440" bIns="45720" anchor="t" anchorCtr="0" upright="1">
                          <a:noAutofit/>
                        </wps:bodyPr>
                      </wps:wsp>
                      <wps:wsp>
                        <wps:cNvPr id="32" name="AutoShape 5"/>
                        <wps:cNvSpPr>
                          <a:spLocks noChangeArrowheads="1"/>
                        </wps:cNvSpPr>
                        <wps:spPr bwMode="auto">
                          <a:xfrm>
                            <a:off x="3836852" y="1857615"/>
                            <a:ext cx="1087215" cy="457303"/>
                          </a:xfrm>
                          <a:prstGeom prst="flowChartAlternateProcess">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16C5A77" w14:textId="77777777" w:rsidR="00C92C73" w:rsidRPr="0028485C" w:rsidRDefault="00C92C73" w:rsidP="0023565D">
                              <w:pPr>
                                <w:jc w:val="center"/>
                                <w:rPr>
                                  <w:sz w:val="16"/>
                                  <w:szCs w:val="16"/>
                                </w:rPr>
                              </w:pPr>
                              <w:r>
                                <w:rPr>
                                  <w:sz w:val="16"/>
                                  <w:szCs w:val="16"/>
                                </w:rPr>
                                <w:t>Government and Holding Accounts</w:t>
                              </w:r>
                            </w:p>
                          </w:txbxContent>
                        </wps:txbx>
                        <wps:bodyPr rot="0" vert="horz" wrap="square" lIns="91440" tIns="45720" rIns="91440" bIns="45720" anchor="t" anchorCtr="0" upright="1">
                          <a:noAutofit/>
                        </wps:bodyPr>
                      </wps:wsp>
                      <wps:wsp>
                        <wps:cNvPr id="33" name="AutoShape 4"/>
                        <wps:cNvSpPr>
                          <a:spLocks noChangeArrowheads="1"/>
                        </wps:cNvSpPr>
                        <wps:spPr bwMode="auto">
                          <a:xfrm>
                            <a:off x="5276471" y="1855915"/>
                            <a:ext cx="1093015" cy="458203"/>
                          </a:xfrm>
                          <a:prstGeom prst="flowChartAlternateProcess">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1C88E58" w14:textId="77777777" w:rsidR="00C92C73" w:rsidRPr="0028485C" w:rsidRDefault="00C92C73" w:rsidP="0023565D">
                              <w:pPr>
                                <w:jc w:val="center"/>
                                <w:rPr>
                                  <w:sz w:val="16"/>
                                  <w:szCs w:val="16"/>
                                </w:rPr>
                              </w:pPr>
                              <w:r>
                                <w:rPr>
                                  <w:sz w:val="16"/>
                                  <w:szCs w:val="16"/>
                                </w:rPr>
                                <w:t>Universities and Colleges</w:t>
                              </w:r>
                            </w:p>
                          </w:txbxContent>
                        </wps:txbx>
                        <wps:bodyPr rot="0" vert="horz" wrap="square" lIns="91440" tIns="45720" rIns="91440" bIns="45720" anchor="t" anchorCtr="0" upright="1">
                          <a:noAutofit/>
                        </wps:bodyPr>
                      </wps:wsp>
                      <wps:wsp>
                        <wps:cNvPr id="34" name="AutoShape 36"/>
                        <wps:cNvCnPr>
                          <a:cxnSpLocks noChangeShapeType="1"/>
                        </wps:cNvCnPr>
                        <wps:spPr bwMode="auto">
                          <a:xfrm flipH="1">
                            <a:off x="5822978" y="1630614"/>
                            <a:ext cx="0" cy="225502"/>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5" name="AutoShape 37"/>
                        <wps:cNvCnPr>
                          <a:cxnSpLocks noChangeShapeType="1"/>
                        </wps:cNvCnPr>
                        <wps:spPr bwMode="auto">
                          <a:xfrm>
                            <a:off x="4380059" y="1458913"/>
                            <a:ext cx="800" cy="398703"/>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6" name="AutoShape 38"/>
                        <wps:cNvCnPr>
                          <a:cxnSpLocks noChangeShapeType="1"/>
                        </wps:cNvCnPr>
                        <wps:spPr bwMode="auto">
                          <a:xfrm>
                            <a:off x="3119142" y="438106"/>
                            <a:ext cx="600" cy="457203"/>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7" name="AutoShape 39"/>
                        <wps:cNvCnPr>
                          <a:cxnSpLocks noChangeShapeType="1"/>
                        </wps:cNvCnPr>
                        <wps:spPr bwMode="auto">
                          <a:xfrm>
                            <a:off x="3119542" y="1458913"/>
                            <a:ext cx="800" cy="1180408"/>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2E1724ED" id="Canvas 103" o:spid="_x0000_s1026" editas="canvas" style="width:526.7pt;height:370.3pt;mso-position-horizontal-relative:char;mso-position-vertical-relative:line" coordsize="66890,47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6890;height:47028;visibility:visible;mso-wrap-style:square" filled="t">
                  <v:fill o:detectmouseclick="t"/>
                  <v:path o:connecttype="none"/>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2" o:spid="_x0000_s1028" type="#_x0000_t34" style="position:absolute;left:31297;top:32891;width:4344;height:3137;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fwI8IAAADaAAAADwAAAGRycy9kb3ducmV2LnhtbERPS2vCQBC+F/oflhF6KbqxBanRVYql&#10;pRcFH4jHMTsmwexs2N3GmF/vCkJPw8f3nOm8NZVoyPnSsoLhIAFBnFldcq5gt/3uf4DwAVljZZkU&#10;XMnDfPb8NMVU2wuvqdmEXMQQ9ikqKEKoUyl9VpBBP7A1ceRO1hkMEbpcaoeXGG4q+ZYkI2mw5NhQ&#10;YE2LgrLz5s8oODZdc6Bu341Hy5+v3JWr9/H6VamXXvs5ARGoDf/ih/tXx/lwf+V+5ew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WfwI8IAAADaAAAADwAAAAAAAAAAAAAA&#10;AAChAgAAZHJzL2Rvd25yZXYueG1sUEsFBgAAAAAEAAQA+QAAAJADAAAAAA==&#10;" adj="24062" strokeweight="2pt"/>
                <v:shapetype id="_x0000_t33" coordsize="21600,21600" o:spt="33" o:oned="t" path="m,l21600,r,21600e" filled="f">
                  <v:stroke joinstyle="miter"/>
                  <v:path arrowok="t" fillok="f" o:connecttype="none"/>
                  <o:lock v:ext="edit" shapetype="t"/>
                </v:shapetype>
                <v:shape id="AutoShape 31" o:spid="_x0000_s1029" type="#_x0000_t33" style="position:absolute;left:56135;top:25233;width:5486;height:1295;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z66cIAAADaAAAADwAAAGRycy9kb3ducmV2LnhtbESPQWsCMRSE70L/Q3gFL1KzFd3arVGk&#10;WPDaVXp+JK+bpZuXJUl19983gtDjMDPfMJvd4DpxoRBbzwqe5wUIYu1Ny42C8+njaQ0iJmSDnWdS&#10;MFKE3fZhssHK+Ct/0qVOjcgQjhUqsCn1lZRRW3IY574nzt63Dw5TlqGRJuA1w10nF0VRSoct5wWL&#10;Pb1b0j/1r1PQnsb9aqwP+mW2CmXZ2fXy61UrNX0c9m8gEg3pP3xvH42CBdyu5Bsgt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sz66cIAAADaAAAADwAAAAAAAAAAAAAA&#10;AAChAgAAZHJzL2Rvd25yZXYueG1sUEsFBgAAAAAEAAQA+QAAAJADAAAAAA==&#10;" strokeweight="2pt"/>
                <v:shape id="AutoShape 30" o:spid="_x0000_s1030" type="#_x0000_t33" style="position:absolute;left:42596;top:24358;width:5473;height:3061;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fcsIAAADaAAAADwAAAGRycy9kb3ducmV2LnhtbESPUUvDMBSF3wX/Q7iCL+JS3VZrbTaG&#10;TNjrOvH5klybYnNTkri1/94Igo+Hc853OM12coM4U4i9ZwUPiwIEsfam507B++ntvgIRE7LBwTMp&#10;mCnCdnN91WBt/IWPdG5TJzKEY40KbEpjLWXUlhzGhR+Js/fpg8OUZeikCXjJcDfIx6IopcOe84LF&#10;kV4t6a/22ynoT/NuPbd7/XS3DmU52Gr18ayVur2Zdi8gEk3pP/zXPhgFS/i9km+A3P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BfcsIAAADaAAAADwAAAAAAAAAAAAAA&#10;AAChAgAAZHJzL2Rvd25yZXYueG1sUEsFBgAAAAAEAAQA+QAAAJADAAAAAA==&#10;" strokeweight="2pt"/>
                <v:shape id="AutoShape 23" o:spid="_x0000_s1031" type="#_x0000_t34" style="position:absolute;left:33752;top:-15530;width:7;height:48947;rotation:-9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ESS8IAAADaAAAADwAAAGRycy9kb3ducmV2LnhtbESPT4vCMBTE74LfITzBm6YuqLVrFNk/&#10;6E23LrjHR/NsyzYvpclq/PZGEPY4zMxvmOU6mEZcqHO1ZQWTcQKCuLC65lLB9/FzlIJwHlljY5kU&#10;3MjBetXvLTHT9spfdMl9KSKEXYYKKu/bTEpXVGTQjW1LHL2z7Qz6KLtS6g6vEW4a+ZIkM2mw5rhQ&#10;YUtvFRW/+Z9RcLYf+8M2X6ThPbjZD7cnOT2clBoOwuYVhKfg/8PP9k4rmMPjSrwBcn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bESS8IAAADaAAAADwAAAAAAAAAAAAAA&#10;AAChAgAAZHJzL2Rvd25yZXYueG1sUEsFBgAAAAAEAAQA+QAAAJADAAAAAA==&#10;" adj="-7776000" strokeweight="2pt"/>
                <v:shape id="AutoShape 24" o:spid="_x0000_s1032" type="#_x0000_t34" style="position:absolute;left:9856;top:12570;width:4477;height:5626;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2gvr8AAADaAAAADwAAAGRycy9kb3ducmV2LnhtbERPu2rDMBTdC/0HcQtZQiPHQ2jcKKEE&#10;Ai6ZmraZL9atZWJdGUn16+urIdDxcN67w2hb0ZMPjWMF61UGgrhyuuFawdfn6fkFRIjIGlvHpGCi&#10;AIf948MOC+0G/qD+EmuRQjgUqMDE2BVShsqQxbByHXHifpy3GBP0tdQehxRuW5ln2UZabDg1GOzo&#10;aKi6XX6tAjTn8pvmcvDxNr9Py+tyu85JqcXT+PYKItIY/8V3d6kVpK3pSroBcv8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R2gvr8AAADaAAAADwAAAAAAAAAAAAAAAACh&#10;AgAAZHJzL2Rvd25yZXYueG1sUEsFBgAAAAAEAAQA+QAAAI0DAAAAAA==&#10;" adj="10785" strokeweight="2pt"/>
                <v:shape id="AutoShape 25" o:spid="_x0000_s1033" type="#_x0000_t34" style="position:absolute;left:4665;top:13005;width:4477;height:4756;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G40vcMAAADaAAAADwAAAGRycy9kb3ducmV2LnhtbESPQWvCQBSE7wX/w/KEXopu6qHY6Coi&#10;SOtBxFQ8P7PPJJh9G7KvJu2vdwsFj8PMN8PMl72r1Y3aUHk28DpOQBHn3lZcGDh+bUZTUEGQLdae&#10;ycAPBVguBk9zTK3v+EC3TAoVSzikaKAUaVKtQ16SwzD2DXH0Lr51KFG2hbYtdrHc1XqSJG/aYcVx&#10;ocSG1iXl1+zbGXjPXsS77XWy/W1kd/6oT91ufzLmedivZqCEenmE/+lPGzn4uxJvgF7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RuNL3DAAAA2gAAAA8AAAAAAAAAAAAA&#10;AAAAoQIAAGRycy9kb3ducmV2LnhtbFBLBQYAAAAABAAEAPkAAACRAwAAAAA=&#10;" adj="10785" strokeweight="2pt"/>
                <v:shape id="AutoShape 26" o:spid="_x0000_s1034" type="#_x0000_t33" style="position:absolute;left:13044;top:25003;width:6153;height:2426;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wZIcMAAADbAAAADwAAAGRycy9kb3ducmV2LnhtbESPQU/DMAyF70j8h8hIXNCWgljZyrJp&#10;QiBxpZs4W4lpKhqnSsLW/nt8QOJm6z2/93m7n8KgzpRyH9nA/bICRWyj67kzcDq+LdagckF2OEQm&#10;AzNl2O+ur7bYuHjhDzq3pVMSwrlBA76UsdE6W08B8zKOxKJ9xRSwyJo67RJeJDwM+qGqah2wZ2nw&#10;ONKLJ/vd/gQD/XE+rOb21T7drVJdD379+LmxxtzeTIdnUIWm8m/+u353gi/08osMoH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n8GSHDAAAA2wAAAA8AAAAAAAAAAAAA&#10;AAAAoQIAAGRycy9kb3ducmV2LnhtbFBLBQYAAAAABAAEAPkAAACRAwAAAAA=&#10;" strokeweight="2pt"/>
                <v:shape id="AutoShape 27" o:spid="_x0000_s1035" type="#_x0000_t33" style="position:absolute;left:1616;top:26050;width:7010;height:1188;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C8usAAAADbAAAADwAAAGRycy9kb3ducmV2LnhtbERPTWsCMRC9F/ofwhR6KZpV6lZXo4i0&#10;0Kur9Dwk42bpZrIkqe7++6ZQ8DaP9zmb3eA6caUQW88KZtMCBLH2puVGwfn0MVmCiAnZYOeZFIwU&#10;Ybd9fNhgZfyNj3StUyNyCMcKFdiU+krKqC05jFPfE2fu4oPDlGFopAl4y+Guk/OiKKXDlnODxZ4O&#10;lvR3/eMUtKdxvxjrd/32sghl2dnl69dKK/X8NOzXIBIN6S7+d3+aPH8Gf7/kA+T2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awvLrAAAAA2wAAAA8AAAAAAAAAAAAAAAAA&#10;oQIAAGRycy9kb3ducmV2LnhtbFBLBQYAAAAABAAEAPkAAACOAwAAAAA=&#10;" strokeweight="2pt"/>
                <v:shape id="AutoShape 28" o:spid="_x0000_s1036" type="#_x0000_t33" style="position:absolute;left:-2837;top:30502;width:15913;height:1188;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IizcAAAADbAAAADwAAAGRycy9kb3ducmV2LnhtbERPTWsCMRC9C/0PYQpepGYrurVbo0ix&#10;4LWr9Dwk083SzWRJUt39940g9DaP9zmb3eA6caEQW88KnucFCGLtTcuNgvPp42kNIiZkg51nUjBS&#10;hN32YbLByvgrf9KlTo3IIRwrVGBT6ispo7bkMM59T5y5bx8cpgxDI03Aaw53nVwURSkdtpwbLPb0&#10;bkn/1L9OQXsa96uxPuiX2SqUZWfXy69XrdT0cdi/gUg0pH/x3X00ef4Cbr/kA+T2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ZiIs3AAAAA2wAAAA8AAAAAAAAAAAAAAAAA&#10;oQIAAGRycy9kb3ducmV2LnhtbFBLBQYAAAAABAAEAPkAAACOAwAAAAA=&#10;" strokeweight="2pt"/>
                <v:shapetype id="_x0000_t32" coordsize="21600,21600" o:spt="32" o:oned="t" path="m,l21600,21600e" filled="f">
                  <v:path arrowok="t" fillok="f" o:connecttype="none"/>
                  <o:lock v:ext="edit" shapetype="t"/>
                </v:shapetype>
                <v:shape id="AutoShape 29" o:spid="_x0000_s1037" type="#_x0000_t32" style="position:absolute;left:29544;top:20392;width:1651;height: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KTy+sEAAADbAAAADwAAAGRycy9kb3ducmV2LnhtbERPTYvCMBC9C/6HMII3TVfFXatRFkEU&#10;QUVX9Do0s23ZZlKaWOu/N4Kwt3m8z5ktGlOImiqXW1bw0Y9AECdW55wqOP+sel8gnEfWWFgmBQ9y&#10;sJi3WzOMtb3zkeqTT0UIYRejgsz7MpbSJRkZdH1bEgfu11YGfYBVKnWF9xBuCjmIorE0mHNoyLCk&#10;ZUbJ3+lmFNSHy/5zVdbrg08vo+N2NLmi2SnV7TTfUxCeGv8vfrs3OswfwuuXcI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opPL6wQAAANsAAAAPAAAAAAAAAAAAAAAA&#10;AKECAABkcnMvZG93bnJldi54bWxQSwUGAAAAAAQABAD5AAAAjwMAAAAA&#10;" strokeweight="2pt"/>
                <v:shape id="AutoShape 32" o:spid="_x0000_s1038" type="#_x0000_t32" style="position:absolute;left:42562;top:7713;width:2476;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vA4cAAAADbAAAADwAAAGRycy9kb3ducmV2LnhtbERPS2vCQBC+F/wPywi91U1FWkldJQpi&#10;r/UBHofsNBubnQ3ZMab/visIvc3H95zFavCN6qmLdWADr5MMFHEZbM2VgeNh+zIHFQXZYhOYDPxS&#10;hNVy9LTA3IYbf1G/l0qlEI45GnAiba51LB15jJPQEifuO3QeJcGu0rbDWwr3jZ5m2Zv2WHNqcNjS&#10;xlH5s796A6f20EwLXx/tefceLv3FSSFrY57HQ/EBSmiQf/HD/WnT/Bncf0kH6OU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7rwOHAAAAA2wAAAA8AAAAAAAAAAAAAAAAA&#10;oQIAAGRycy9kb3ducmV2LnhtbFBLBQYAAAAABAAEAPkAAACOAwAAAAA=&#10;" strokeweight="2pt"/>
                <v:shape id="AutoShape 33" o:spid="_x0000_s1039" type="#_x0000_t33" style="position:absolute;left:29963;top:38226;width:7239;height:3365;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8aicEAAADbAAAADwAAAGRycy9kb3ducmV2LnhtbERP24rCMBB9X/Afwgi+ralKVapRRN1l&#10;1wfBywcMzdgUm0ltstr9+82C4NscznXmy9ZW4k6NLx0rGPQTEMS50yUXCs6nj/cpCB+QNVaOScEv&#10;eVguOm9zzLR78IHux1CIGMI+QwUmhDqT0ueGLPq+q4kjd3GNxRBhU0jd4COG20oOk2QsLZYcGwzW&#10;tDaUX48/VsG21Wa0+95PXJXe0mRntpvPwVWpXrddzUAEasNL/HR/6Tg/hf9f4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YjxqJwQAAANsAAAAPAAAAAAAAAAAAAAAA&#10;AKECAABkcnMvZG93bnJldi54bWxQSwUGAAAAAAQABAD5AAAAjwMAAAAA&#10;" strokeweight="2pt">
                  <v:stroke dashstyle="dash"/>
                  <v:shadow color="#868686"/>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6" o:spid="_x0000_s1040" type="#_x0000_t176" style="position:absolute;left:20670;top:17618;width:8874;height:5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v8t8EA&#10;AADbAAAADwAAAGRycy9kb3ducmV2LnhtbERPPW/CMBDdkfgP1iF1A4eqpFXAIEQLasdCF7ZTfInd&#10;xuc0NhD+fV0Jie2e3uctVr1rxJm6YD0rmE4yEMSl15ZrBV+H7fgFRIjIGhvPpOBKAVbL4WCBhfYX&#10;/qTzPtYihXAoUIGJsS2kDKUhh2HiW+LEVb5zGBPsaqk7vKRw18jHLMulQ8upwWBLG0Plz/7kFFSV&#10;yS01s+en793b4Siv9uP3daPUw6hfz0FE6uNdfHO/6zQ/h/9f0gF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7/LfBAAAA2wAAAA8AAAAAAAAAAAAAAAAAmAIAAGRycy9kb3du&#10;cmV2LnhtbFBLBQYAAAAABAAEAPUAAACGAwAAAAA=&#10;" filled="f">
                  <v:textbox>
                    <w:txbxContent>
                      <w:p w14:paraId="2060A35D" w14:textId="77777777" w:rsidR="00C92C73" w:rsidRPr="0028485C" w:rsidRDefault="00C92C73" w:rsidP="0023565D">
                        <w:pPr>
                          <w:jc w:val="center"/>
                          <w:rPr>
                            <w:sz w:val="16"/>
                            <w:szCs w:val="16"/>
                          </w:rPr>
                        </w:pPr>
                        <w:r>
                          <w:rPr>
                            <w:sz w:val="16"/>
                            <w:szCs w:val="16"/>
                          </w:rPr>
                          <w:t>Regional Health Management Team</w:t>
                        </w:r>
                      </w:p>
                    </w:txbxContent>
                  </v:textbox>
                </v:shape>
                <v:shape id="AutoShape 7" o:spid="_x0000_s1041" type="#_x0000_t176" style="position:absolute;left:10566;top:17618;width:8684;height:55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dZLMEA&#10;AADbAAAADwAAAGRycy9kb3ducmV2LnhtbERPyW7CMBC9V+o/WFOpt+JQsVQBgyoKiB5ZLr2N4kls&#10;iMdp7EL4e4xUids8vXWm887V4kxtsJ4V9HsZCOLCa8uVgsN+9fYBIkRkjbVnUnClAPPZ89MUc+0v&#10;vKXzLlYihXDIUYGJscmlDIUhh6HnG+LElb51GBNsK6lbvKRwV8v3LBtJh5ZTg8GGFoaK0+7PKShL&#10;M7JUD8eD43q5/5FX+/37tVDq9aX7nICI1MWH+N+90Wn+GO6/pAPk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13WSzBAAAA2wAAAA8AAAAAAAAAAAAAAAAAmAIAAGRycy9kb3du&#10;cmV2LnhtbFBLBQYAAAAABAAEAPUAAACGAwAAAAA=&#10;" filled="f">
                  <v:textbox>
                    <w:txbxContent>
                      <w:p w14:paraId="4935ADA0" w14:textId="77777777" w:rsidR="00C92C73" w:rsidRPr="0028485C" w:rsidRDefault="00C92C73" w:rsidP="0023565D">
                        <w:pPr>
                          <w:jc w:val="center"/>
                          <w:rPr>
                            <w:sz w:val="16"/>
                            <w:szCs w:val="16"/>
                          </w:rPr>
                        </w:pPr>
                        <w:r>
                          <w:rPr>
                            <w:sz w:val="16"/>
                            <w:szCs w:val="16"/>
                          </w:rPr>
                          <w:t>National and Regional Hospitals</w:t>
                        </w:r>
                      </w:p>
                    </w:txbxContent>
                  </v:textbox>
                </v:shape>
                <v:shape id="AutoShape 8" o:spid="_x0000_s1042" type="#_x0000_t176" style="position:absolute;top:17618;width:9055;height:55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jNXsQA&#10;AADbAAAADwAAAGRycy9kb3ducmV2LnhtbESPQU8CMRCF7yT+h2ZMvElXA2hWCjEIRI+AF2+T7ey2&#10;up2u2wrLv2cOJtxm8t689818OYRWHalPPrKBh3EBiriK1nNj4POwuX8GlTKyxTYyGThTguXiZjTH&#10;0sYT7+i4z42SEE4lGnA5d6XWqXIUMI1jRyxaHfuAWda+0bbHk4SHVj8WxUwH9CwNDjtaOap+9n/B&#10;QF27mad2+jT53q4PX/rsP37fVsbc3Q6vL6AyDflq/r9+t4IvsPKLDK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ozV7EAAAA2wAAAA8AAAAAAAAAAAAAAAAAmAIAAGRycy9k&#10;b3ducmV2LnhtbFBLBQYAAAAABAAEAPUAAACJAwAAAAA=&#10;" filled="f">
                  <v:textbox>
                    <w:txbxContent>
                      <w:p w14:paraId="1BD6C785" w14:textId="77777777" w:rsidR="00C92C73" w:rsidRPr="0028485C" w:rsidRDefault="00C92C73" w:rsidP="0023565D">
                        <w:pPr>
                          <w:tabs>
                            <w:tab w:val="left" w:pos="90"/>
                          </w:tabs>
                          <w:jc w:val="center"/>
                          <w:rPr>
                            <w:sz w:val="16"/>
                            <w:szCs w:val="16"/>
                          </w:rPr>
                        </w:pPr>
                        <w:r>
                          <w:rPr>
                            <w:sz w:val="16"/>
                            <w:szCs w:val="16"/>
                          </w:rPr>
                          <w:t>Departments and Agencies, Training Centers</w:t>
                        </w:r>
                      </w:p>
                    </w:txbxContent>
                  </v:textbox>
                </v:shape>
                <v:shape id="AutoShape 9" o:spid="_x0000_s1043" type="#_x0000_t176" style="position:absolute;left:5712;top:35911;width:7528;height:6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3+4cMA&#10;AADbAAAADwAAAGRycy9kb3ducmV2LnhtbERPTWvCQBC9C/0PyxR60409FBtdRQShh1baREFv4+6Y&#10;RLOzIbtq7K/vFgRv83ifM5l1thYXan3lWMFwkIAg1s5UXChY58v+CIQPyAZrx6TgRh5m06feBFPj&#10;rvxDlywUIoawT1FBGUKTSul1SRb9wDXEkTu41mKIsC2kafEaw20tX5PkTVqsODaU2NCiJH3KzlbB&#10;1+Y3z46fu+887I/L7W018oXWSr08d/MxiEBdeIjv7g8T57/D/y/xAD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33+4cMAAADbAAAADwAAAAAAAAAAAAAAAACYAgAAZHJzL2Rv&#10;d25yZXYueG1sUEsFBgAAAAAEAAQA9QAAAIgDAAAAAA==&#10;" strokecolor="#95b3d7" strokeweight="1pt">
                  <v:fill color2="#b9cde5" focus="100%" type="gradient"/>
                  <v:shadow on="t" color="#254061" opacity=".5" offset="1pt"/>
                  <v:textbox>
                    <w:txbxContent>
                      <w:p w14:paraId="358701C1" w14:textId="77777777" w:rsidR="00C92C73" w:rsidRPr="0028485C" w:rsidRDefault="00C92C73" w:rsidP="0023565D">
                        <w:pPr>
                          <w:rPr>
                            <w:sz w:val="16"/>
                            <w:szCs w:val="16"/>
                          </w:rPr>
                        </w:pPr>
                        <w:r>
                          <w:rPr>
                            <w:sz w:val="16"/>
                            <w:szCs w:val="16"/>
                          </w:rPr>
                          <w:t>Training of Health Staff</w:t>
                        </w:r>
                      </w:p>
                    </w:txbxContent>
                  </v:textbox>
                </v:shape>
                <v:shape id="AutoShape 10" o:spid="_x0000_s1044" type="#_x0000_t176" style="position:absolute;left:5712;top:26286;width:8361;height:70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udwcIA&#10;AADbAAAADwAAAGRycy9kb3ducmV2LnhtbERPz2vCMBS+C/sfwhvsZtN5GNIZRQRhB5WtVdhub8mz&#10;rTYvpYla/evNQfD48f2ezHrbiDN1vnas4D1JQRBrZ2ouFWyL5XAMwgdkg41jUnAlD7Ppy2CCmXEX&#10;/qFzHkoRQ9hnqKAKoc2k9Loiiz5xLXHk9q6zGCLsSmk6vMRw28hRmn5IizXHhgpbWlSkj/nJKljv&#10;bkV+WP19F+H/sPy9bsa+1Fqpt9d+/gkiUB+e4of7yygYxfXxS/wBcn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K53BwgAAANsAAAAPAAAAAAAAAAAAAAAAAJgCAABkcnMvZG93&#10;bnJldi54bWxQSwUGAAAAAAQABAD1AAAAhwMAAAAA&#10;" strokecolor="#95b3d7" strokeweight="1pt">
                  <v:fill color2="#b9cde5" focus="100%" type="gradient"/>
                  <v:shadow on="t" color="#254061" opacity=".5" offset="1pt"/>
                  <v:textbox>
                    <w:txbxContent>
                      <w:p w14:paraId="1A7EC8AD" w14:textId="77777777" w:rsidR="00C92C73" w:rsidRPr="0028485C" w:rsidRDefault="00C92C73" w:rsidP="0023565D">
                        <w:pPr>
                          <w:jc w:val="center"/>
                          <w:rPr>
                            <w:sz w:val="16"/>
                            <w:szCs w:val="16"/>
                          </w:rPr>
                        </w:pPr>
                        <w:r>
                          <w:rPr>
                            <w:sz w:val="16"/>
                            <w:szCs w:val="16"/>
                          </w:rPr>
                          <w:t>Support functions in the health sector</w:t>
                        </w:r>
                      </w:p>
                    </w:txbxContent>
                  </v:textbox>
                </v:shape>
                <v:shape id="AutoShape 11" o:spid="_x0000_s1045" type="#_x0000_t176" style="position:absolute;left:59525;top:25815;width:6959;height:56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c4WsYA&#10;AADbAAAADwAAAGRycy9kb3ducmV2LnhtbESPT2sCMRTE74LfITyhN83qochqlCIseLCl3W3B3l6T&#10;1/3j5mXZpLr20zcFweMwM79h1tvBtuJMva8dK5jPEhDE2pmaSwXvRTZdgvAB2WDrmBRcycN2Mx6t&#10;MTXuwm90zkMpIoR9igqqELpUSq8rsuhnriOO3rfrLYYo+1KaHi8Rblu5SJJHabHmuFBhR7uK9Cn/&#10;sQqeP36LvDl8vhbhq8mO15elL7VW6mEyPK1ABBrCPXxr742CxRz+v8QfID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2c4WsYAAADbAAAADwAAAAAAAAAAAAAAAACYAgAAZHJz&#10;L2Rvd25yZXYueG1sUEsFBgAAAAAEAAQA9QAAAIsDAAAAAA==&#10;" strokecolor="#95b3d7" strokeweight="1pt">
                  <v:fill color2="#b9cde5" focus="100%" type="gradient"/>
                  <v:shadow on="t" color="#254061" opacity=".5" offset="1pt"/>
                  <v:textbox>
                    <w:txbxContent>
                      <w:p w14:paraId="522014D1" w14:textId="77777777" w:rsidR="00C92C73" w:rsidRPr="0028485C" w:rsidRDefault="00C92C73" w:rsidP="0023565D">
                        <w:pPr>
                          <w:jc w:val="center"/>
                          <w:rPr>
                            <w:sz w:val="16"/>
                            <w:szCs w:val="16"/>
                          </w:rPr>
                        </w:pPr>
                        <w:r>
                          <w:rPr>
                            <w:sz w:val="16"/>
                            <w:szCs w:val="16"/>
                          </w:rPr>
                          <w:t>Training of Health Staff</w:t>
                        </w:r>
                      </w:p>
                    </w:txbxContent>
                  </v:textbox>
                </v:shape>
                <v:shape id="AutoShape 12" o:spid="_x0000_s1046" type="#_x0000_t176" style="position:absolute;left:46862;top:25815;width:9246;height:56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WmLcUA&#10;AADbAAAADwAAAGRycy9kb3ducmV2LnhtbESPQWvCQBSE74X+h+UVvNWNOYikriKC4MGKTSzo7bn7&#10;TKLZtyG71dhf3y0Uehxm5htmOu9tI27U+dqxgtEwAUGsnam5VLAvVq8TED4gG2wck4IHeZjPnp+m&#10;mBl35w+65aEUEcI+QwVVCG0mpdcVWfRD1xJH7+w6iyHKrpSmw3uE20amSTKWFmuOCxW2tKxIX/Mv&#10;q+D987vIL5vjrginy+rw2E58qbVSg5d+8QYiUB/+w3/ttVGQpvD7Jf4AO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taYtxQAAANsAAAAPAAAAAAAAAAAAAAAAAJgCAABkcnMv&#10;ZG93bnJldi54bWxQSwUGAAAAAAQABAD1AAAAigMAAAAA&#10;" strokecolor="#95b3d7" strokeweight="1pt">
                  <v:fill color2="#b9cde5" focus="100%" type="gradient"/>
                  <v:shadow on="t" color="#254061" opacity=".5" offset="1pt"/>
                  <v:textbox>
                    <w:txbxContent>
                      <w:p w14:paraId="1F3ADBFD" w14:textId="77777777" w:rsidR="00C92C73" w:rsidRPr="0028485C" w:rsidRDefault="00C92C73" w:rsidP="0023565D">
                        <w:pPr>
                          <w:jc w:val="center"/>
                          <w:rPr>
                            <w:sz w:val="16"/>
                            <w:szCs w:val="16"/>
                          </w:rPr>
                        </w:pPr>
                        <w:r>
                          <w:rPr>
                            <w:sz w:val="16"/>
                            <w:szCs w:val="16"/>
                          </w:rPr>
                          <w:t>Disbursement of funds, financial reporting</w:t>
                        </w:r>
                      </w:p>
                    </w:txbxContent>
                  </v:textbox>
                </v:shape>
                <v:shape id="AutoShape 13" o:spid="_x0000_s1047" type="#_x0000_t176" style="position:absolute;left:17335;top:26286;width:8188;height:60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kDtsUA&#10;AADbAAAADwAAAGRycy9kb3ducmV2LnhtbESPQWvCQBSE7wX/w/IEb3WjQpHoKkUQPLTSJi3o7bn7&#10;mkSzb0N21dhf3y0IHoeZ+YaZLztbiwu1vnKsYDRMQBBrZyouFHzl6+cpCB+QDdaOScGNPCwXvac5&#10;psZd+ZMuWShEhLBPUUEZQpNK6XVJFv3QNcTR+3GtxRBlW0jT4jXCbS3HSfIiLVYcF0psaFWSPmVn&#10;q+D9+zfPjm/7jzwcjuvdbTv1hdZKDfrd6wxEoC48wvf2xigYT+D/S/wB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QO2xQAAANsAAAAPAAAAAAAAAAAAAAAAAJgCAABkcnMv&#10;ZG93bnJldi54bWxQSwUGAAAAAAQABAD1AAAAigMAAAAA&#10;" strokecolor="#95b3d7" strokeweight="1pt">
                  <v:fill color2="#b9cde5" focus="100%" type="gradient"/>
                  <v:shadow on="t" color="#254061" opacity=".5" offset="1pt"/>
                  <v:textbox>
                    <w:txbxContent>
                      <w:p w14:paraId="6032A6CC" w14:textId="77777777" w:rsidR="00C92C73" w:rsidRPr="0028485C" w:rsidRDefault="00C92C73" w:rsidP="0023565D">
                        <w:pPr>
                          <w:jc w:val="center"/>
                          <w:rPr>
                            <w:sz w:val="16"/>
                            <w:szCs w:val="16"/>
                          </w:rPr>
                        </w:pPr>
                        <w:r>
                          <w:rPr>
                            <w:sz w:val="16"/>
                            <w:szCs w:val="16"/>
                          </w:rPr>
                          <w:t>Provision of health services</w:t>
                        </w:r>
                      </w:p>
                    </w:txbxContent>
                  </v:textbox>
                </v:shape>
                <v:shape id="AutoShape 15" o:spid="_x0000_s1048" type="#_x0000_t176" style="position:absolute;left:35039;top:33819;width:11507;height:5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CbwsUA&#10;AADbAAAADwAAAGRycy9kb3ducmV2LnhtbESPQWvCQBSE7wX/w/IEb3WjSJHoKkUQPLTSJi3o7bn7&#10;mkSzb0N21dhf3y0IHoeZ+YaZLztbiwu1vnKsYDRMQBBrZyouFHzl6+cpCB+QDdaOScGNPCwXvac5&#10;psZd+ZMuWShEhLBPUUEZQpNK6XVJFv3QNcTR+3GtxRBlW0jT4jXCbS3HSfIiLVYcF0psaFWSPmVn&#10;q+D9+zfPjm/7jzwcjuvdbTv1hdZKDfrd6wxEoC48wvf2xigYT+D/S/wB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EJvCxQAAANsAAAAPAAAAAAAAAAAAAAAAAJgCAABkcnMv&#10;ZG93bnJldi54bWxQSwUGAAAAAAQABAD1AAAAigMAAAAA&#10;" strokecolor="#95b3d7" strokeweight="1pt">
                  <v:fill color2="#b9cde5" focus="100%" type="gradient"/>
                  <v:shadow on="t" color="#254061" opacity=".5" offset="1pt"/>
                  <v:textbox>
                    <w:txbxContent>
                      <w:p w14:paraId="325C4EC0" w14:textId="77777777" w:rsidR="00C92C73" w:rsidRPr="0028485C" w:rsidRDefault="00C92C73" w:rsidP="0023565D">
                        <w:pPr>
                          <w:jc w:val="center"/>
                          <w:rPr>
                            <w:sz w:val="16"/>
                            <w:szCs w:val="16"/>
                          </w:rPr>
                        </w:pPr>
                        <w:r>
                          <w:rPr>
                            <w:sz w:val="16"/>
                            <w:szCs w:val="16"/>
                          </w:rPr>
                          <w:t>Provision of primary health and hospital services</w:t>
                        </w:r>
                      </w:p>
                    </w:txbxContent>
                  </v:textbox>
                </v:shape>
                <v:shape id="AutoShape 16" o:spid="_x0000_s1049" type="#_x0000_t176" style="position:absolute;left:35355;top:42192;width:11516;height:4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hfCcYA&#10;AADbAAAADwAAAGRycy9kb3ducmV2LnhtbESPQWvCQBSE7wX/w/KEXkQ3CVTa6CpiKbQqhWoPPT6y&#10;zySYfRuy2yTNr3cFocdhZr5hluveVKKlxpWWFcSzCARxZnXJuYLv09v0GYTzyBory6TgjxysV6OH&#10;JabadvxF7dHnIkDYpaig8L5OpXRZQQbdzNbEwTvbxqAPssmlbrALcFPJJIrm0mDJYaHAmrYFZZfj&#10;r1Hwuv/ZTGj7MachGlx/+YxfdodYqcdxv1mA8NT7//C9/a4VJE9w+xJ+gF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EhfCcYAAADbAAAADwAAAAAAAAAAAAAAAACYAgAAZHJz&#10;L2Rvd25yZXYueG1sUEsFBgAAAAAEAAQA9QAAAIsDAAAAAA==&#10;" strokecolor="#c3d69b" strokeweight="1pt">
                  <v:fill color2="#d7e4bd" focus="100%" type="gradient"/>
                  <v:shadow on="t" color="#4f6228" opacity=".5" offset="1pt"/>
                  <v:textbox>
                    <w:txbxContent>
                      <w:p w14:paraId="09DA08CC" w14:textId="77777777" w:rsidR="00C92C73" w:rsidRPr="0028485C" w:rsidRDefault="00C92C73" w:rsidP="0023565D">
                        <w:pPr>
                          <w:jc w:val="center"/>
                          <w:rPr>
                            <w:sz w:val="16"/>
                            <w:szCs w:val="16"/>
                          </w:rPr>
                        </w:pPr>
                        <w:r>
                          <w:rPr>
                            <w:sz w:val="16"/>
                            <w:szCs w:val="16"/>
                          </w:rPr>
                          <w:t>Private Health Providers</w:t>
                        </w:r>
                      </w:p>
                    </w:txbxContent>
                  </v:textbox>
                </v:shape>
                <v:shape id="AutoShape 17" o:spid="_x0000_s1050" type="#_x0000_t176" style="position:absolute;left:25523;top:94;width:11326;height:4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c2CsQA&#10;AADbAAAADwAAAGRycy9kb3ducmV2LnhtbESPS2/CMBCE75X4D9YicQOniIYqxaCKPgRHHpfeVvEm&#10;dhuv09iF8O8xElKPo5n5RrNY9a4RJ+qC9azgcZKBIC69tlwrOB4+xs8gQkTW2HgmBRcKsFoOHhZY&#10;aH/mHZ32sRYJwqFABSbGtpAylIYcholviZNX+c5hTLKrpe7wnOCukdMsy6VDy2nBYEtrQ+XP/s8p&#10;qCqTW2qe5rPvz/fDl7zY7e/bWqnRsH99ARGpj//he3ujFUxzuH1JP0A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XNgrEAAAA2wAAAA8AAAAAAAAAAAAAAAAAmAIAAGRycy9k&#10;b3ducmV2LnhtbFBLBQYAAAAABAAEAPUAAACJAwAAAAA=&#10;" filled="f">
                  <v:textbox>
                    <w:txbxContent>
                      <w:p w14:paraId="129C0062" w14:textId="77777777" w:rsidR="00C92C73" w:rsidRPr="00FD6999" w:rsidRDefault="00C92C73" w:rsidP="0023565D">
                        <w:pPr>
                          <w:jc w:val="center"/>
                          <w:rPr>
                            <w:sz w:val="18"/>
                            <w:szCs w:val="18"/>
                          </w:rPr>
                        </w:pPr>
                        <w:r>
                          <w:rPr>
                            <w:sz w:val="18"/>
                            <w:szCs w:val="18"/>
                          </w:rPr>
                          <w:t>Government of Tanzania</w:t>
                        </w:r>
                      </w:p>
                    </w:txbxContent>
                  </v:textbox>
                </v:shape>
                <v:shape id="AutoShape 18" o:spid="_x0000_s1051" type="#_x0000_t176" style="position:absolute;left:52764;top:8514;width:10930;height:7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uTkcMA&#10;AADbAAAADwAAAGRycy9kb3ducmV2LnhtbESPQWsCMRSE74L/ITyhN80qrZbVKKJt0WO1F2+PzdtN&#10;2s3Lukl1/feNIPQ4zMw3zGLVuVpcqA3Ws4LxKANBXHhtuVLwdXwfvoIIEVlj7ZkU3CjAatnvLTDX&#10;/sqfdDnESiQIhxwVmBibXMpQGHIYRr4hTl7pW4cxybaSusVrgrtaTrJsKh1aTgsGG9oYKn4Ov05B&#10;WZqppfpl9vz98XY8yZvdn7cbpZ4G3XoOIlIX/8OP9k4rmMzg/iX9A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xuTkcMAAADbAAAADwAAAAAAAAAAAAAAAACYAgAAZHJzL2Rv&#10;d25yZXYueG1sUEsFBgAAAAAEAAQA9QAAAIgDAAAAAA==&#10;" filled="f">
                  <v:textbox>
                    <w:txbxContent>
                      <w:p w14:paraId="4D44E708" w14:textId="77777777" w:rsidR="00C92C73" w:rsidRPr="0087627F" w:rsidRDefault="00C92C73" w:rsidP="0023565D">
                        <w:pPr>
                          <w:jc w:val="center"/>
                          <w:rPr>
                            <w:sz w:val="18"/>
                            <w:szCs w:val="18"/>
                          </w:rPr>
                        </w:pPr>
                        <w:r w:rsidRPr="0087627F">
                          <w:rPr>
                            <w:sz w:val="18"/>
                            <w:szCs w:val="18"/>
                          </w:rPr>
                          <w:t>Ministry of Education and Vocational Training</w:t>
                        </w:r>
                      </w:p>
                    </w:txbxContent>
                  </v:textbox>
                </v:shape>
                <v:shape id="AutoShape 19" o:spid="_x0000_s1052" type="#_x0000_t176" style="position:absolute;left:38368;top:8951;width:10872;height:56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QH48AA&#10;AADbAAAADwAAAGRycy9kb3ducmV2LnhtbERPu27CMBTdkfoP1q3EVpwiHlXAoIoCakegC9tVfBMb&#10;4us0NhD+Hg+VGI/Oe77sXC2u1AbrWcH7IANBXHhtuVLwe9i8fYAIEVlj7ZkU3CnAcvHSm2Ou/Y13&#10;dN3HSqQQDjkqMDE2uZShMOQwDHxDnLjStw5jgm0ldYu3FO5qOcyyiXRoOTUYbGhlqDjvL05BWZqJ&#10;pXo8HZ2268NR3u3P39dKqf5r9zkDEamLT/G/+1srGKax6Uv6AXL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oQH48AAAADbAAAADwAAAAAAAAAAAAAAAACYAgAAZHJzL2Rvd25y&#10;ZXYueG1sUEsFBgAAAAAEAAQA9QAAAIUDAAAAAA==&#10;" filled="f">
                  <v:textbox>
                    <w:txbxContent>
                      <w:p w14:paraId="690BFC68" w14:textId="77777777" w:rsidR="00C92C73" w:rsidRPr="0087627F" w:rsidRDefault="00C92C73" w:rsidP="0023565D">
                        <w:pPr>
                          <w:jc w:val="center"/>
                          <w:rPr>
                            <w:szCs w:val="24"/>
                          </w:rPr>
                        </w:pPr>
                        <w:r w:rsidRPr="0087627F">
                          <w:rPr>
                            <w:szCs w:val="24"/>
                          </w:rPr>
                          <w:t xml:space="preserve">Ministry of Finance </w:t>
                        </w:r>
                      </w:p>
                    </w:txbxContent>
                  </v:textbox>
                </v:shape>
                <v:shape id="AutoShape 21" o:spid="_x0000_s1053" type="#_x0000_t176" style="position:absolute;left:3235;top:8943;width:12094;height:4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iieMQA&#10;AADbAAAADwAAAGRycy9kb3ducmV2LnhtbESPS2/CMBCE75X4D9YicSsOiPIIGIToQ+2xwIXbKt7E&#10;hnidxi6Ef19XqtTjaGa+0aw2navFldpgPSsYDTMQxIXXlisFx8Pr4xxEiMgaa8+k4E4BNuvewwpz&#10;7W/8Sdd9rESCcMhRgYmxyaUMhSGHYegb4uSVvnUYk2wrqVu8Jbir5TjLptKh5bRgsKGdoeKy/3YK&#10;ytJMLdVPs8n57eVwknf78fW8U2rQ77ZLEJG6+B/+a79rBeMF/H5JP0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3IonjEAAAA2wAAAA8AAAAAAAAAAAAAAAAAmAIAAGRycy9k&#10;b3ducmV2LnhtbFBLBQYAAAAABAAEAPUAAACJAwAAAAA=&#10;" filled="f">
                  <v:textbox>
                    <w:txbxContent>
                      <w:p w14:paraId="0A1932DE" w14:textId="77777777" w:rsidR="00C92C73" w:rsidRPr="002343C4" w:rsidRDefault="00C92C73" w:rsidP="0023565D">
                        <w:pPr>
                          <w:jc w:val="center"/>
                          <w:rPr>
                            <w:szCs w:val="24"/>
                          </w:rPr>
                        </w:pPr>
                        <w:r w:rsidRPr="002343C4">
                          <w:rPr>
                            <w:szCs w:val="24"/>
                          </w:rPr>
                          <w:t>MOHSW</w:t>
                        </w:r>
                      </w:p>
                    </w:txbxContent>
                  </v:textbox>
                </v:shape>
                <v:shape id="AutoShape 14" o:spid="_x0000_s1054" type="#_x0000_t176" style="position:absolute;left:26952;top:26286;width:9897;height:60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udOMEA&#10;AADbAAAADwAAAGRycy9kb3ducmV2LnhtbERPPW/CMBDdkfgP1iF1A6eUhipgEKKlascCS7dTfIlN&#10;43MauxD+fT0gMT697+W6d404UxesZwWPkwwEcem15VrB8bAbv4AIEVlj45kUXCnAejUcLLHQ/sJf&#10;dN7HWqQQDgUqMDG2hZShNOQwTHxLnLjKdw5jgl0tdYeXFO4aOc2yXDq0nBoMtrQ1VP7s/5yCqjK5&#10;peZ5Pju9vx2+5dV+/r5ulXoY9ZsFiEh9vItv7g+t4CmtT1/SD5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rnTjBAAAA2wAAAA8AAAAAAAAAAAAAAAAAmAIAAGRycy9kb3du&#10;cmV2LnhtbFBLBQYAAAAABAAEAPUAAACGAwAAAAA=&#10;" filled="f">
                  <v:textbox>
                    <w:txbxContent>
                      <w:p w14:paraId="264C3483" w14:textId="77777777" w:rsidR="00C92C73" w:rsidRPr="0028485C" w:rsidRDefault="00C92C73" w:rsidP="0023565D">
                        <w:pPr>
                          <w:jc w:val="center"/>
                          <w:rPr>
                            <w:sz w:val="16"/>
                            <w:szCs w:val="16"/>
                          </w:rPr>
                        </w:pPr>
                        <w:r>
                          <w:rPr>
                            <w:sz w:val="16"/>
                            <w:szCs w:val="16"/>
                          </w:rPr>
                          <w:t>Local Government Authorities</w:t>
                        </w:r>
                      </w:p>
                    </w:txbxContent>
                  </v:textbox>
                </v:shape>
                <v:shape id="AutoShape 20" o:spid="_x0000_s1055" type="#_x0000_t176" style="position:absolute;left:25523;top:8943;width:10385;height:5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c4o8QA&#10;AADbAAAADwAAAGRycy9kb3ducmV2LnhtbESPwW7CMBBE70j9B2sr9QYOtKUoYBCCFsGx0Etvq3gT&#10;u43XIXYh/D1GqsRxNDNvNLNF52pxojZYzwqGgwwEceG15UrB1+GjPwERIrLG2jMpuFCAxfyhN8Nc&#10;+zN/0mkfK5EgHHJUYGJscilDYchhGPiGOHmlbx3GJNtK6hbPCe5qOcqysXRoOS0YbGhlqPjd/zkF&#10;ZWnGlurXt5efzfvhW17s7rheKfX02C2nICJ18R7+b2+1guch3L6kHy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nOKPEAAAA2wAAAA8AAAAAAAAAAAAAAAAAmAIAAGRycy9k&#10;b3ducmV2LnhtbFBLBQYAAAAABAAEAPUAAACJAwAAAAA=&#10;" filled="f">
                  <v:textbox>
                    <w:txbxContent>
                      <w:p w14:paraId="632C2CC4" w14:textId="77777777" w:rsidR="00C92C73" w:rsidRPr="002343C4" w:rsidRDefault="00C92C73" w:rsidP="0023565D">
                        <w:pPr>
                          <w:jc w:val="center"/>
                          <w:rPr>
                            <w:szCs w:val="24"/>
                          </w:rPr>
                        </w:pPr>
                        <w:r w:rsidRPr="002343C4">
                          <w:rPr>
                            <w:szCs w:val="24"/>
                          </w:rPr>
                          <w:t>PMO-RALG</w:t>
                        </w:r>
                      </w:p>
                    </w:txbxContent>
                  </v:textbox>
                </v:shape>
                <v:shape id="AutoShape 5" o:spid="_x0000_s1056" type="#_x0000_t176" style="position:absolute;left:38368;top:18576;width:10872;height:4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Wm1MQA&#10;AADbAAAADwAAAGRycy9kb3ducmV2LnhtbESPS2/CMBCE75X4D9YicSsO0AIKGIToQ+2Rx4XbKt7E&#10;hnidxi6Ef19XqtTjaGa+0SzXnavFldpgPSsYDTMQxIXXlisFx8Pb4xxEiMgaa8+k4E4B1qvewxJz&#10;7W+8o+s+ViJBOOSowMTY5FKGwpDDMPQNcfJK3zqMSbaV1C3eEtzVcpxlU+nQclow2NDWUHHZfzsF&#10;ZWmmlurn2dP5/fVwknf7+fWyVWrQ7zYLEJG6+B/+a39oBZMx/H5JP0C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1ptTEAAAA2wAAAA8AAAAAAAAAAAAAAAAAmAIAAGRycy9k&#10;b3ducmV2LnhtbFBLBQYAAAAABAAEAPUAAACJAwAAAAA=&#10;" filled="f">
                  <v:textbox>
                    <w:txbxContent>
                      <w:p w14:paraId="116C5A77" w14:textId="77777777" w:rsidR="00C92C73" w:rsidRPr="0028485C" w:rsidRDefault="00C92C73" w:rsidP="0023565D">
                        <w:pPr>
                          <w:jc w:val="center"/>
                          <w:rPr>
                            <w:sz w:val="16"/>
                            <w:szCs w:val="16"/>
                          </w:rPr>
                        </w:pPr>
                        <w:r>
                          <w:rPr>
                            <w:sz w:val="16"/>
                            <w:szCs w:val="16"/>
                          </w:rPr>
                          <w:t>Government and Holding Accounts</w:t>
                        </w:r>
                      </w:p>
                    </w:txbxContent>
                  </v:textbox>
                </v:shape>
                <v:shape id="AutoShape 4" o:spid="_x0000_s1057" type="#_x0000_t176" style="position:absolute;left:52764;top:18559;width:10930;height:4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kDT8QA&#10;AADbAAAADwAAAGRycy9kb3ducmV2LnhtbESPwW7CMBBE70j9B2sr9QZOC6UoYFBFAZVjoZfeVvEm&#10;NsTrNDYQ/h5XqsRxNDNvNLNF52pxpjZYzwqeBxkI4sJry5WC7/26PwERIrLG2jMpuFKAxfyhN8Nc&#10;+wt/0XkXK5EgHHJUYGJscilDYchhGPiGOHmlbx3GJNtK6hYvCe5q+ZJlY+nQclow2NDSUHHcnZyC&#10;sjRjS/Xr2+iwWe1/5NVufz+WSj09du9TEJG6eA//tz+1guEQ/r6kHyD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5A0/EAAAA2wAAAA8AAAAAAAAAAAAAAAAAmAIAAGRycy9k&#10;b3ducmV2LnhtbFBLBQYAAAAABAAEAPUAAACJAwAAAAA=&#10;" filled="f">
                  <v:textbox>
                    <w:txbxContent>
                      <w:p w14:paraId="51C88E58" w14:textId="77777777" w:rsidR="00C92C73" w:rsidRPr="0028485C" w:rsidRDefault="00C92C73" w:rsidP="0023565D">
                        <w:pPr>
                          <w:jc w:val="center"/>
                          <w:rPr>
                            <w:sz w:val="16"/>
                            <w:szCs w:val="16"/>
                          </w:rPr>
                        </w:pPr>
                        <w:r>
                          <w:rPr>
                            <w:sz w:val="16"/>
                            <w:szCs w:val="16"/>
                          </w:rPr>
                          <w:t>Universities and Colleges</w:t>
                        </w:r>
                      </w:p>
                    </w:txbxContent>
                  </v:textbox>
                </v:shape>
                <v:shape id="AutoShape 36" o:spid="_x0000_s1058" type="#_x0000_t32" style="position:absolute;left:58229;top:16306;width:0;height:225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LJp8EAAADbAAAADwAAAGRycy9kb3ducmV2LnhtbESPQYvCMBSE78L+h/AWvGm6KiJdo8iC&#10;KIIsVmGvj+bZFpOX0kSN/94ICx6HmfmGmS+jNeJGnW8cK/gaZiCIS6cbrhScjuvBDIQPyBqNY1Lw&#10;IA/LxUdvjrl2dz7QrQiVSBD2OSqoQ2hzKX1Zk0U/dC1x8s6usxiS7CqpO7wnuDVylGVTabHhtFBj&#10;Sz81lZfiahX8jjdmElGbWPydZ/g47HfSaqX6n3H1DSJQDO/wf3urFYwn8PqSfoBcP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2wsmnwQAAANsAAAAPAAAAAAAAAAAAAAAA&#10;AKECAABkcnMvZG93bnJldi54bWxQSwUGAAAAAAQABAD5AAAAjwMAAAAA&#10;" strokeweight="2pt"/>
                <v:shape id="AutoShape 37" o:spid="_x0000_s1059" type="#_x0000_t32" style="position:absolute;left:43800;top:14589;width:8;height:39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7STdcUAAADbAAAADwAAAGRycy9kb3ducmV2LnhtbESP3WrCQBSE7wXfYTlC73TT1p+aukop&#10;iFJog6mkt4fsaRKaPRuya4xv3xUEL4eZ+YZZbXpTi45aV1lW8DiJQBDnVldcKDh+b8cvIJxH1lhb&#10;JgUXcrBZDwcrjLU984G61BciQNjFqKD0vomldHlJBt3ENsTB+7WtQR9kW0jd4jnATS2fomguDVYc&#10;Fkps6L2k/C89GQVdkn0ttk23S3yRTQ8f0+UPmk+lHkb92ysIT72/h2/tvVbwPIPrl/A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7STdcUAAADbAAAADwAAAAAAAAAA&#10;AAAAAAChAgAAZHJzL2Rvd25yZXYueG1sUEsFBgAAAAAEAAQA+QAAAJMDAAAAAA==&#10;" strokeweight="2pt"/>
                <v:shape id="AutoShape 38" o:spid="_x0000_s1060" type="#_x0000_t32" style="position:absolute;left:31191;top:4381;width:6;height:45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2YNAsUAAADbAAAADwAAAGRycy9kb3ducmV2LnhtbESPS2vDMBCE74X8B7GB3mo5jcnDiRJK&#10;ILQU2pAHznWxNraJtTKWarv/vioUehxm5htmvR1MLTpqXWVZwSSKQRDnVldcKLic908LEM4ja6wt&#10;k4JvcrDdjB7WmGrb85G6ky9EgLBLUUHpfZNK6fKSDLrINsTBu9nWoA+yLaRusQ9wU8vnOJ5JgxWH&#10;hRIb2pWU309fRkF3yD7n+6Z7PfgiS47vyfKK5kOpx/HwsgLhafD/4b/2m1YwncHvl/AD5O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2YNAsUAAADbAAAADwAAAAAAAAAA&#10;AAAAAAChAgAAZHJzL2Rvd25yZXYueG1sUEsFBgAAAAAEAAQA+QAAAJMDAAAAAA==&#10;" strokeweight="2pt"/>
                <v:shape id="AutoShape 39" o:spid="_x0000_s1061" type="#_x0000_t32" style="position:absolute;left:31195;top:14589;width:8;height:118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qomcUAAADbAAAADwAAAGRycy9kb3ducmV2LnhtbESPQWvCQBSE7wX/w/KE3uqmrRhNXaUU&#10;QqWgEhV7fWRfk9Ds25DdJvHfdwXB4zAz3zDL9WBq0VHrKssKnicRCOLc6ooLBadj+jQH4Tyyxtoy&#10;KbiQg/Vq9LDERNueM+oOvhABwi5BBaX3TSKly0sy6Ca2IQ7ej20N+iDbQuoW+wA3tXyJopk0WHFY&#10;KLGhj5Ly38OfUdDtz7s4bbrPvS/O0+xruvhGs1XqcTy8v4HwNPh7+NbeaAWvMVy/hB8g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CqomcUAAADbAAAADwAAAAAAAAAA&#10;AAAAAAChAgAAZHJzL2Rvd25yZXYueG1sUEsFBgAAAAAEAAQA+QAAAJMDAAAAAA==&#10;" strokeweight="2pt"/>
                <w10:anchorlock/>
              </v:group>
            </w:pict>
          </mc:Fallback>
        </mc:AlternateContent>
      </w:r>
    </w:p>
    <w:p w14:paraId="4BD3F599" w14:textId="77777777" w:rsidR="0023565D" w:rsidRPr="0023565D" w:rsidRDefault="0023565D" w:rsidP="002E07C5">
      <w:pPr>
        <w:autoSpaceDE w:val="0"/>
        <w:autoSpaceDN w:val="0"/>
        <w:adjustRightInd w:val="0"/>
        <w:spacing w:line="240" w:lineRule="auto"/>
        <w:rPr>
          <w:rFonts w:eastAsia="Calibri" w:cs="Arial"/>
          <w:szCs w:val="24"/>
        </w:rPr>
      </w:pPr>
    </w:p>
    <w:p w14:paraId="1D81BA0A" w14:textId="77777777" w:rsidR="0023565D" w:rsidRPr="0023565D" w:rsidRDefault="00E665CA" w:rsidP="00A62A27">
      <w:r>
        <w:t xml:space="preserve">Under the GOT </w:t>
      </w:r>
      <w:r w:rsidR="0023565D" w:rsidRPr="0023565D">
        <w:t>policy of devolution</w:t>
      </w:r>
      <w:r>
        <w:t xml:space="preserve">, </w:t>
      </w:r>
      <w:r w:rsidR="0023565D" w:rsidRPr="0023565D">
        <w:t xml:space="preserve">LGAs </w:t>
      </w:r>
      <w:r>
        <w:t xml:space="preserve">are </w:t>
      </w:r>
      <w:r w:rsidR="0023565D" w:rsidRPr="0023565D">
        <w:t xml:space="preserve">responsible for </w:t>
      </w:r>
      <w:r>
        <w:t xml:space="preserve">the operation and management of primary level </w:t>
      </w:r>
      <w:r w:rsidR="0023565D" w:rsidRPr="0023565D">
        <w:t xml:space="preserve">health services, </w:t>
      </w:r>
      <w:r>
        <w:t xml:space="preserve">while </w:t>
      </w:r>
      <w:r w:rsidR="0023565D" w:rsidRPr="0023565D">
        <w:t xml:space="preserve">regions </w:t>
      </w:r>
      <w:r>
        <w:t xml:space="preserve">are </w:t>
      </w:r>
      <w:r w:rsidR="0023565D" w:rsidRPr="0023565D">
        <w:t xml:space="preserve">responsible for </w:t>
      </w:r>
      <w:r w:rsidR="004C52A2">
        <w:t xml:space="preserve">LGA </w:t>
      </w:r>
      <w:r w:rsidR="0023565D" w:rsidRPr="0023565D">
        <w:t>supervision</w:t>
      </w:r>
      <w:r w:rsidR="004C52A2">
        <w:t>, and also management of the regional hospitals</w:t>
      </w:r>
      <w:r w:rsidR="0023565D" w:rsidRPr="0023565D">
        <w:t xml:space="preserve">. The </w:t>
      </w:r>
      <w:proofErr w:type="spellStart"/>
      <w:r w:rsidR="0023565D" w:rsidRPr="0023565D">
        <w:t>MoHSW</w:t>
      </w:r>
      <w:proofErr w:type="spellEnd"/>
      <w:r w:rsidR="0023565D" w:rsidRPr="0023565D">
        <w:t xml:space="preserve"> plays a major role in policy</w:t>
      </w:r>
      <w:r w:rsidR="0023565D" w:rsidRPr="0023565D">
        <w:rPr>
          <w:lang w:val="en-GB"/>
        </w:rPr>
        <w:t xml:space="preserve"> </w:t>
      </w:r>
      <w:r w:rsidR="0023565D" w:rsidRPr="0023565D">
        <w:t>development and articulating the case of health</w:t>
      </w:r>
      <w:r w:rsidR="004C52A2">
        <w:t>,</w:t>
      </w:r>
      <w:r w:rsidR="0023565D" w:rsidRPr="0023565D">
        <w:t xml:space="preserve"> and shares regulatory and </w:t>
      </w:r>
      <w:r w:rsidR="0023565D" w:rsidRPr="0023565D">
        <w:lastRenderedPageBreak/>
        <w:t>accountability functions with other Government MDAs, especially with the Prime Minister’s Office for Regional Administration and Local Government (PMO-RALG).</w:t>
      </w:r>
    </w:p>
    <w:p w14:paraId="14CAC1BD" w14:textId="77777777" w:rsidR="0023565D" w:rsidRPr="0023565D" w:rsidRDefault="0023565D" w:rsidP="00A62A27"/>
    <w:p w14:paraId="59CADC05" w14:textId="1C711264" w:rsidR="0023565D" w:rsidRPr="0023565D" w:rsidRDefault="0023565D" w:rsidP="00A62A27">
      <w:r w:rsidRPr="0023565D">
        <w:t>At the local level, the MOHSW maintains technical relations with the Regional Health Management Team (RHMT) and the Council Health Management Team (CHMT).</w:t>
      </w:r>
      <w:r w:rsidR="00480C06">
        <w:t xml:space="preserve"> </w:t>
      </w:r>
      <w:r w:rsidR="004C52A2">
        <w:t>A</w:t>
      </w:r>
      <w:r w:rsidRPr="0023565D">
        <w:t>ll Councils produce a</w:t>
      </w:r>
      <w:r w:rsidR="004C52A2">
        <w:t xml:space="preserve">n annual </w:t>
      </w:r>
      <w:r w:rsidRPr="0023565D">
        <w:t xml:space="preserve">Comprehensive Council Health Plan (CCHP), which incorporates all activities </w:t>
      </w:r>
      <w:r w:rsidR="004C52A2">
        <w:t xml:space="preserve">related to </w:t>
      </w:r>
      <w:r w:rsidRPr="0023565D">
        <w:t xml:space="preserve">District Health Services, and all sources of funding at the council level (government funds, locally generated funds, local donor funds, etc.). </w:t>
      </w:r>
    </w:p>
    <w:p w14:paraId="5667A2F4" w14:textId="77777777" w:rsidR="0023565D" w:rsidRPr="0023565D" w:rsidRDefault="0023565D" w:rsidP="002E07C5">
      <w:pPr>
        <w:autoSpaceDE w:val="0"/>
        <w:autoSpaceDN w:val="0"/>
        <w:adjustRightInd w:val="0"/>
        <w:spacing w:line="240" w:lineRule="auto"/>
        <w:rPr>
          <w:rFonts w:eastAsia="Calibri" w:cs="Arial"/>
          <w:szCs w:val="24"/>
        </w:rPr>
      </w:pPr>
    </w:p>
    <w:p w14:paraId="60E33D23" w14:textId="34C6FCEA" w:rsidR="0023565D" w:rsidRPr="0023565D" w:rsidRDefault="0023565D" w:rsidP="004C52A2">
      <w:r w:rsidRPr="0023565D">
        <w:t>Important in the governance structure of the health sector in Tanzania is the use of a Sector Wide Approach (</w:t>
      </w:r>
      <w:proofErr w:type="spellStart"/>
      <w:r w:rsidRPr="0023565D">
        <w:t>SWAp</w:t>
      </w:r>
      <w:proofErr w:type="spellEnd"/>
      <w:r w:rsidRPr="0023565D">
        <w:t>)</w:t>
      </w:r>
      <w:r w:rsidR="00C006D8">
        <w:t xml:space="preserve"> since </w:t>
      </w:r>
      <w:r w:rsidR="004C52A2">
        <w:t xml:space="preserve">the mid-late 1990s. </w:t>
      </w:r>
      <w:r w:rsidRPr="0023565D">
        <w:t xml:space="preserve">The </w:t>
      </w:r>
      <w:proofErr w:type="spellStart"/>
      <w:r w:rsidRPr="0023565D">
        <w:t>SWAp</w:t>
      </w:r>
      <w:proofErr w:type="spellEnd"/>
      <w:r w:rsidRPr="0023565D">
        <w:t xml:space="preserve"> provides the framework of collaboration among stakeholders</w:t>
      </w:r>
      <w:r w:rsidR="004C52A2">
        <w:t xml:space="preserve"> including </w:t>
      </w:r>
      <w:r w:rsidRPr="0023565D">
        <w:t>MOHSW, PMO-RALG, Ministry of Finance (</w:t>
      </w:r>
      <w:proofErr w:type="spellStart"/>
      <w:r w:rsidRPr="0023565D">
        <w:t>MoF</w:t>
      </w:r>
      <w:proofErr w:type="spellEnd"/>
      <w:r w:rsidRPr="0023565D">
        <w:t xml:space="preserve">), civil society, private sector and </w:t>
      </w:r>
      <w:r w:rsidR="00DA5089">
        <w:t>d</w:t>
      </w:r>
      <w:r w:rsidRPr="0023565D">
        <w:t xml:space="preserve">evelopment </w:t>
      </w:r>
      <w:r w:rsidR="00DA5089">
        <w:t>p</w:t>
      </w:r>
      <w:r w:rsidRPr="0023565D">
        <w:t xml:space="preserve">artners (DPs) including United Nations (UN) agencies active in </w:t>
      </w:r>
      <w:r w:rsidR="00DA5089">
        <w:t>h</w:t>
      </w:r>
      <w:r w:rsidRPr="0023565D">
        <w:t xml:space="preserve">ealth. It </w:t>
      </w:r>
      <w:r w:rsidR="00C006D8">
        <w:t xml:space="preserve">aims to </w:t>
      </w:r>
      <w:r w:rsidRPr="0023565D">
        <w:t>coordinat</w:t>
      </w:r>
      <w:r w:rsidR="00C006D8">
        <w:t>e</w:t>
      </w:r>
      <w:r w:rsidRPr="0023565D">
        <w:t xml:space="preserve"> financing, planning, and monitoring mechanisms. </w:t>
      </w:r>
    </w:p>
    <w:p w14:paraId="08AD4108" w14:textId="77777777" w:rsidR="0023565D" w:rsidRPr="0023565D" w:rsidRDefault="0023565D" w:rsidP="004C52A2"/>
    <w:p w14:paraId="79A49729" w14:textId="5F1423F2" w:rsidR="0023565D" w:rsidRDefault="0023565D" w:rsidP="004C52A2">
      <w:r w:rsidRPr="0023565D">
        <w:t>Other key stakeholders in the health governance structure include the Tanzania Insurance Regulatory Authority (TIRA) and the Social Security Regulat</w:t>
      </w:r>
      <w:r w:rsidR="005751E6">
        <w:t>ory Authority (SSRA) which deal</w:t>
      </w:r>
      <w:r w:rsidRPr="0023565D">
        <w:t xml:space="preserve"> with the specifics of </w:t>
      </w:r>
      <w:r w:rsidR="005751E6">
        <w:t>(</w:t>
      </w:r>
      <w:r w:rsidRPr="0023565D">
        <w:t>health</w:t>
      </w:r>
      <w:r w:rsidR="005751E6">
        <w:t>)</w:t>
      </w:r>
      <w:r w:rsidRPr="0023565D">
        <w:t xml:space="preserve"> insurance </w:t>
      </w:r>
      <w:r w:rsidR="00C006D8">
        <w:t xml:space="preserve">regulation. </w:t>
      </w:r>
    </w:p>
    <w:p w14:paraId="3A47F622" w14:textId="77777777" w:rsidR="00656F50" w:rsidRDefault="00656F50" w:rsidP="004C52A2">
      <w:pPr>
        <w:rPr>
          <w:lang w:val="en-GB"/>
        </w:rPr>
      </w:pPr>
    </w:p>
    <w:p w14:paraId="75BA421A" w14:textId="22B3F400" w:rsidR="00E20319" w:rsidRDefault="003926A3" w:rsidP="004C52A2">
      <w:pPr>
        <w:rPr>
          <w:lang w:val="en-GB"/>
        </w:rPr>
      </w:pPr>
      <w:r>
        <w:rPr>
          <w:lang w:val="en-GB"/>
        </w:rPr>
        <w:t>NHIF was tasked in 2009 b</w:t>
      </w:r>
      <w:r w:rsidR="00E20319" w:rsidRPr="006878E5">
        <w:rPr>
          <w:lang w:val="en-GB"/>
        </w:rPr>
        <w:t>y M</w:t>
      </w:r>
      <w:r w:rsidR="004C52A2">
        <w:rPr>
          <w:lang w:val="en-GB"/>
        </w:rPr>
        <w:t>emorandum of Understanding (MO</w:t>
      </w:r>
      <w:r w:rsidR="00E20319" w:rsidRPr="006878E5">
        <w:rPr>
          <w:lang w:val="en-GB"/>
        </w:rPr>
        <w:t>U</w:t>
      </w:r>
      <w:r w:rsidR="004C52A2">
        <w:rPr>
          <w:lang w:val="en-GB"/>
        </w:rPr>
        <w:t>)</w:t>
      </w:r>
      <w:r w:rsidR="00E20319" w:rsidRPr="006878E5">
        <w:rPr>
          <w:lang w:val="en-GB"/>
        </w:rPr>
        <w:t xml:space="preserve">, </w:t>
      </w:r>
      <w:r>
        <w:rPr>
          <w:lang w:val="en-GB"/>
        </w:rPr>
        <w:t xml:space="preserve">to administratively manage CHF. </w:t>
      </w:r>
      <w:r w:rsidR="00E20319" w:rsidRPr="006878E5">
        <w:rPr>
          <w:lang w:val="en-GB"/>
        </w:rPr>
        <w:t xml:space="preserve"> </w:t>
      </w:r>
      <w:r>
        <w:rPr>
          <w:lang w:val="en-GB"/>
        </w:rPr>
        <w:t xml:space="preserve">However, its </w:t>
      </w:r>
      <w:r w:rsidRPr="006878E5">
        <w:rPr>
          <w:lang w:val="en-GB"/>
        </w:rPr>
        <w:t>core</w:t>
      </w:r>
      <w:r w:rsidR="00E20319" w:rsidRPr="006878E5">
        <w:rPr>
          <w:lang w:val="en-GB"/>
        </w:rPr>
        <w:t xml:space="preserve"> business focuses on public health insurance administration</w:t>
      </w:r>
      <w:r>
        <w:rPr>
          <w:lang w:val="en-GB"/>
        </w:rPr>
        <w:t xml:space="preserve">. </w:t>
      </w:r>
      <w:r w:rsidR="00E20319" w:rsidRPr="006878E5">
        <w:rPr>
          <w:lang w:val="en-GB"/>
        </w:rPr>
        <w:t xml:space="preserve"> </w:t>
      </w:r>
    </w:p>
    <w:p w14:paraId="0586D1CA" w14:textId="77777777" w:rsidR="00656F50" w:rsidRPr="0023565D" w:rsidRDefault="00656F50" w:rsidP="002E07C5">
      <w:pPr>
        <w:autoSpaceDE w:val="0"/>
        <w:autoSpaceDN w:val="0"/>
        <w:adjustRightInd w:val="0"/>
        <w:spacing w:line="240" w:lineRule="auto"/>
        <w:ind w:left="284"/>
        <w:rPr>
          <w:rFonts w:eastAsia="Calibri" w:cs="Arial"/>
          <w:szCs w:val="24"/>
        </w:rPr>
      </w:pPr>
    </w:p>
    <w:p w14:paraId="202AED0E" w14:textId="77777777" w:rsidR="006878E5" w:rsidRPr="003926A3" w:rsidRDefault="0023565D" w:rsidP="006878E5">
      <w:pPr>
        <w:rPr>
          <w:rFonts w:eastAsia="Calibri" w:cs="Arial"/>
          <w:b/>
          <w:szCs w:val="24"/>
          <w:lang w:val="en-GB"/>
        </w:rPr>
      </w:pPr>
      <w:r w:rsidRPr="003926A3">
        <w:rPr>
          <w:rFonts w:eastAsia="Calibri" w:cs="Arial"/>
          <w:b/>
          <w:szCs w:val="24"/>
          <w:lang w:val="en-GB"/>
        </w:rPr>
        <w:t>Challenges</w:t>
      </w:r>
    </w:p>
    <w:p w14:paraId="29D4EE2E" w14:textId="50E17A71" w:rsidR="00E66A06" w:rsidRDefault="006878E5" w:rsidP="002766DA">
      <w:pPr>
        <w:rPr>
          <w:rFonts w:eastAsia="Calibri" w:cs="Arial"/>
          <w:szCs w:val="24"/>
          <w:lang w:val="en-GB"/>
        </w:rPr>
      </w:pPr>
      <w:r w:rsidRPr="006878E5">
        <w:rPr>
          <w:rFonts w:eastAsia="Calibri" w:cs="Arial"/>
          <w:szCs w:val="24"/>
          <w:lang w:val="en-GB"/>
        </w:rPr>
        <w:t xml:space="preserve">The </w:t>
      </w:r>
      <w:r w:rsidR="00EC1BCF">
        <w:rPr>
          <w:rFonts w:eastAsia="Calibri" w:cs="Arial"/>
          <w:szCs w:val="24"/>
          <w:lang w:val="en-GB"/>
        </w:rPr>
        <w:t xml:space="preserve">reforms necessary to implement the HFS </w:t>
      </w:r>
      <w:r w:rsidRPr="006878E5">
        <w:rPr>
          <w:rFonts w:eastAsia="Calibri" w:cs="Arial"/>
          <w:szCs w:val="24"/>
          <w:lang w:val="en-GB"/>
        </w:rPr>
        <w:t xml:space="preserve">will pose serious challenges to the existing governance structures. In the area of insurance regulation, for example, SSRA and TIRA will be challenged </w:t>
      </w:r>
      <w:r w:rsidR="00DA5089">
        <w:rPr>
          <w:rFonts w:eastAsia="Calibri" w:cs="Arial"/>
          <w:szCs w:val="24"/>
          <w:lang w:val="en-GB"/>
        </w:rPr>
        <w:t>by</w:t>
      </w:r>
      <w:r w:rsidRPr="006878E5">
        <w:rPr>
          <w:rFonts w:eastAsia="Calibri" w:cs="Arial"/>
          <w:szCs w:val="24"/>
          <w:lang w:val="en-GB"/>
        </w:rPr>
        <w:t xml:space="preserve"> the regulation of a </w:t>
      </w:r>
      <w:r w:rsidR="00C006D8" w:rsidRPr="006878E5">
        <w:rPr>
          <w:rFonts w:eastAsia="Calibri" w:cs="Arial"/>
          <w:szCs w:val="24"/>
          <w:lang w:val="en-GB"/>
        </w:rPr>
        <w:t xml:space="preserve">full-blown </w:t>
      </w:r>
      <w:r w:rsidRPr="006878E5">
        <w:rPr>
          <w:rFonts w:eastAsia="Calibri" w:cs="Arial"/>
          <w:szCs w:val="24"/>
          <w:lang w:val="en-GB"/>
        </w:rPr>
        <w:t>insurance</w:t>
      </w:r>
      <w:r w:rsidR="00C006D8" w:rsidRPr="006878E5">
        <w:rPr>
          <w:rFonts w:eastAsia="Calibri" w:cs="Arial"/>
          <w:szCs w:val="24"/>
          <w:lang w:val="en-GB"/>
        </w:rPr>
        <w:t xml:space="preserve"> </w:t>
      </w:r>
      <w:r w:rsidR="00DA5089">
        <w:rPr>
          <w:rFonts w:eastAsia="Calibri" w:cs="Arial"/>
          <w:szCs w:val="24"/>
          <w:lang w:val="en-GB"/>
        </w:rPr>
        <w:t xml:space="preserve">system </w:t>
      </w:r>
      <w:r w:rsidR="00C006D8" w:rsidRPr="006878E5">
        <w:rPr>
          <w:rFonts w:eastAsia="Calibri" w:cs="Arial"/>
          <w:szCs w:val="24"/>
          <w:lang w:val="en-GB"/>
        </w:rPr>
        <w:t>covering the entire population (</w:t>
      </w:r>
      <w:proofErr w:type="spellStart"/>
      <w:r w:rsidR="00960DFE">
        <w:rPr>
          <w:rFonts w:eastAsia="Calibri" w:cs="Arial"/>
          <w:szCs w:val="24"/>
          <w:lang w:val="en-GB"/>
        </w:rPr>
        <w:t>Mtei</w:t>
      </w:r>
      <w:proofErr w:type="spellEnd"/>
      <w:r w:rsidR="00960DFE">
        <w:rPr>
          <w:rFonts w:eastAsia="Calibri" w:cs="Arial"/>
          <w:szCs w:val="24"/>
          <w:lang w:val="en-GB"/>
        </w:rPr>
        <w:t xml:space="preserve"> and </w:t>
      </w:r>
      <w:proofErr w:type="spellStart"/>
      <w:r w:rsidR="00960DFE">
        <w:rPr>
          <w:rFonts w:eastAsia="Calibri" w:cs="Arial"/>
          <w:szCs w:val="24"/>
          <w:lang w:val="en-GB"/>
        </w:rPr>
        <w:t>Bultman</w:t>
      </w:r>
      <w:proofErr w:type="spellEnd"/>
      <w:r w:rsidR="00960DFE">
        <w:rPr>
          <w:rFonts w:eastAsia="Calibri" w:cs="Arial"/>
          <w:szCs w:val="24"/>
          <w:lang w:val="en-GB"/>
        </w:rPr>
        <w:t xml:space="preserve"> 2013)</w:t>
      </w:r>
      <w:r>
        <w:rPr>
          <w:rFonts w:eastAsia="Calibri" w:cs="Arial"/>
          <w:szCs w:val="24"/>
          <w:lang w:val="en-GB"/>
        </w:rPr>
        <w:t xml:space="preserve">. </w:t>
      </w:r>
    </w:p>
    <w:p w14:paraId="7B89AC5C" w14:textId="77777777" w:rsidR="0033102B" w:rsidRPr="00EB4F0C" w:rsidRDefault="00C9337F" w:rsidP="002C3E91">
      <w:pPr>
        <w:pStyle w:val="Heading1"/>
      </w:pPr>
      <w:bookmarkStart w:id="8" w:name="_Toc411949915"/>
      <w:r w:rsidRPr="00EB4F0C">
        <w:t>Health Financing System Overview</w:t>
      </w:r>
      <w:r w:rsidR="00EE64AA" w:rsidRPr="00EB4F0C">
        <w:t xml:space="preserve"> and Challenges</w:t>
      </w:r>
      <w:bookmarkEnd w:id="8"/>
      <w:r w:rsidR="00476E03" w:rsidRPr="00EB4F0C">
        <w:t xml:space="preserve"> </w:t>
      </w:r>
    </w:p>
    <w:p w14:paraId="6BA63EBA" w14:textId="77777777" w:rsidR="0023565D" w:rsidRDefault="00556535" w:rsidP="002C3E91">
      <w:pPr>
        <w:pStyle w:val="Heading2"/>
        <w:rPr>
          <w:rFonts w:eastAsiaTheme="minorHAnsi"/>
        </w:rPr>
      </w:pPr>
      <w:bookmarkStart w:id="9" w:name="_Toc411949916"/>
      <w:r>
        <w:rPr>
          <w:rFonts w:eastAsiaTheme="minorHAnsi"/>
        </w:rPr>
        <w:t>Revenue collection</w:t>
      </w:r>
      <w:bookmarkEnd w:id="9"/>
    </w:p>
    <w:p w14:paraId="63C168C5" w14:textId="77777777" w:rsidR="005607ED" w:rsidRPr="003D2CE4" w:rsidRDefault="0044796F" w:rsidP="003D2CE4">
      <w:pPr>
        <w:pStyle w:val="Heading3"/>
        <w:rPr>
          <w:rFonts w:eastAsiaTheme="minorHAnsi"/>
        </w:rPr>
      </w:pPr>
      <w:bookmarkStart w:id="10" w:name="_Toc411949917"/>
      <w:r w:rsidRPr="003D2CE4">
        <w:rPr>
          <w:rFonts w:eastAsiaTheme="minorHAnsi"/>
        </w:rPr>
        <w:t>Government funding</w:t>
      </w:r>
      <w:bookmarkEnd w:id="10"/>
    </w:p>
    <w:p w14:paraId="788E0ED4" w14:textId="61756222" w:rsidR="003D2CE4" w:rsidRPr="00EB4F0C" w:rsidRDefault="003D2CE4" w:rsidP="003D2CE4">
      <w:pPr>
        <w:rPr>
          <w:b/>
          <w:lang w:val="en-GB" w:eastAsia="zh-CN"/>
        </w:rPr>
      </w:pPr>
      <w:r w:rsidRPr="00EB4F0C">
        <w:rPr>
          <w:lang w:val="en-GB" w:eastAsia="zh-CN"/>
        </w:rPr>
        <w:t xml:space="preserve">The </w:t>
      </w:r>
      <w:r w:rsidR="00DA5089">
        <w:rPr>
          <w:lang w:val="en-GB" w:eastAsia="zh-CN"/>
        </w:rPr>
        <w:t>h</w:t>
      </w:r>
      <w:r w:rsidRPr="00EB4F0C">
        <w:rPr>
          <w:lang w:val="en-GB" w:eastAsia="zh-CN"/>
        </w:rPr>
        <w:t xml:space="preserve">ealth </w:t>
      </w:r>
      <w:r>
        <w:rPr>
          <w:lang w:val="en-GB" w:eastAsia="zh-CN"/>
        </w:rPr>
        <w:t>sector government funding is comprised of central tax revenue</w:t>
      </w:r>
      <w:r w:rsidRPr="00EB4F0C">
        <w:rPr>
          <w:lang w:val="en-GB" w:eastAsia="zh-CN"/>
        </w:rPr>
        <w:t xml:space="preserve"> financed by GOT general </w:t>
      </w:r>
      <w:r>
        <w:rPr>
          <w:lang w:val="en-GB" w:eastAsia="zh-CN"/>
        </w:rPr>
        <w:t xml:space="preserve">tax </w:t>
      </w:r>
      <w:r w:rsidRPr="00EB4F0C">
        <w:rPr>
          <w:lang w:val="en-GB" w:eastAsia="zh-CN"/>
        </w:rPr>
        <w:t>revenue and</w:t>
      </w:r>
      <w:r>
        <w:rPr>
          <w:lang w:val="en-GB" w:eastAsia="zh-CN"/>
        </w:rPr>
        <w:t xml:space="preserve"> </w:t>
      </w:r>
      <w:r w:rsidR="00DA5089">
        <w:rPr>
          <w:lang w:val="en-GB" w:eastAsia="zh-CN"/>
        </w:rPr>
        <w:t xml:space="preserve">DP </w:t>
      </w:r>
      <w:r>
        <w:rPr>
          <w:lang w:val="en-GB" w:eastAsia="zh-CN"/>
        </w:rPr>
        <w:t>support</w:t>
      </w:r>
      <w:r w:rsidRPr="00EB4F0C">
        <w:rPr>
          <w:lang w:val="en-GB" w:eastAsia="zh-CN"/>
        </w:rPr>
        <w:t>.</w:t>
      </w:r>
      <w:r w:rsidRPr="00EB4F0C">
        <w:rPr>
          <w:vertAlign w:val="superscript"/>
          <w:lang w:eastAsia="zh-CN"/>
        </w:rPr>
        <w:t xml:space="preserve"> </w:t>
      </w:r>
      <w:r w:rsidRPr="00EB4F0C">
        <w:rPr>
          <w:lang w:val="en-GB" w:eastAsia="zh-CN"/>
        </w:rPr>
        <w:t>DP</w:t>
      </w:r>
      <w:r>
        <w:rPr>
          <w:lang w:val="en-GB" w:eastAsia="zh-CN"/>
        </w:rPr>
        <w:t xml:space="preserve">s pool funding both through </w:t>
      </w:r>
      <w:r w:rsidR="00DA5089">
        <w:rPr>
          <w:lang w:val="en-GB" w:eastAsia="zh-CN"/>
        </w:rPr>
        <w:t>g</w:t>
      </w:r>
      <w:r>
        <w:rPr>
          <w:lang w:val="en-GB" w:eastAsia="zh-CN"/>
        </w:rPr>
        <w:t xml:space="preserve">eneral </w:t>
      </w:r>
      <w:r w:rsidR="00DA5089">
        <w:rPr>
          <w:lang w:val="en-GB" w:eastAsia="zh-CN"/>
        </w:rPr>
        <w:t>b</w:t>
      </w:r>
      <w:r>
        <w:rPr>
          <w:lang w:val="en-GB" w:eastAsia="zh-CN"/>
        </w:rPr>
        <w:t xml:space="preserve">udget </w:t>
      </w:r>
      <w:r w:rsidR="00DA5089">
        <w:rPr>
          <w:lang w:val="en-GB" w:eastAsia="zh-CN"/>
        </w:rPr>
        <w:t>s</w:t>
      </w:r>
      <w:r>
        <w:rPr>
          <w:lang w:val="en-GB" w:eastAsia="zh-CN"/>
        </w:rPr>
        <w:t xml:space="preserve">upport (GBS), and the </w:t>
      </w:r>
      <w:r w:rsidRPr="00EB4F0C">
        <w:rPr>
          <w:lang w:val="en-GB" w:eastAsia="zh-CN"/>
        </w:rPr>
        <w:t>Health Basket Fund</w:t>
      </w:r>
      <w:r>
        <w:rPr>
          <w:lang w:val="en-GB" w:eastAsia="zh-CN"/>
        </w:rPr>
        <w:t xml:space="preserve"> (HBF), a form of </w:t>
      </w:r>
      <w:r w:rsidR="00DA5089">
        <w:rPr>
          <w:lang w:val="en-GB" w:eastAsia="zh-CN"/>
        </w:rPr>
        <w:t>s</w:t>
      </w:r>
      <w:r>
        <w:rPr>
          <w:lang w:val="en-GB" w:eastAsia="zh-CN"/>
        </w:rPr>
        <w:t xml:space="preserve">ector </w:t>
      </w:r>
      <w:r w:rsidR="00DA5089">
        <w:rPr>
          <w:lang w:val="en-GB" w:eastAsia="zh-CN"/>
        </w:rPr>
        <w:t>b</w:t>
      </w:r>
      <w:r>
        <w:rPr>
          <w:lang w:val="en-GB" w:eastAsia="zh-CN"/>
        </w:rPr>
        <w:t xml:space="preserve">udget </w:t>
      </w:r>
      <w:r w:rsidR="00DA5089">
        <w:rPr>
          <w:lang w:val="en-GB" w:eastAsia="zh-CN"/>
        </w:rPr>
        <w:t>s</w:t>
      </w:r>
      <w:r>
        <w:rPr>
          <w:lang w:val="en-GB" w:eastAsia="zh-CN"/>
        </w:rPr>
        <w:t xml:space="preserve">upport. </w:t>
      </w:r>
    </w:p>
    <w:p w14:paraId="7CDBDA77" w14:textId="77777777" w:rsidR="003D2CE4" w:rsidRPr="00EB4F0C" w:rsidRDefault="003D2CE4" w:rsidP="003D2CE4">
      <w:pPr>
        <w:spacing w:line="240" w:lineRule="auto"/>
        <w:ind w:left="709"/>
        <w:rPr>
          <w:rFonts w:eastAsia="SimSun" w:cs="Arial"/>
          <w:b/>
          <w:color w:val="000000"/>
          <w:szCs w:val="24"/>
          <w:lang w:val="en-GB" w:eastAsia="zh-CN"/>
        </w:rPr>
      </w:pPr>
    </w:p>
    <w:p w14:paraId="19590663" w14:textId="4A5E33F8" w:rsidR="003D2CE4" w:rsidRDefault="003D2CE4" w:rsidP="003D2CE4">
      <w:pPr>
        <w:rPr>
          <w:lang w:eastAsia="zh-CN"/>
        </w:rPr>
      </w:pPr>
      <w:r w:rsidRPr="008E6F5D">
        <w:rPr>
          <w:lang w:eastAsia="zh-CN"/>
        </w:rPr>
        <w:t xml:space="preserve">The share of public health budget in total government budget, excluding the Consolidated Fund Services (CFS) decreased from </w:t>
      </w:r>
      <w:r w:rsidR="00E26A8B">
        <w:rPr>
          <w:lang w:eastAsia="zh-CN"/>
        </w:rPr>
        <w:t>12.3</w:t>
      </w:r>
      <w:r w:rsidR="00DA5089">
        <w:rPr>
          <w:lang w:eastAsia="zh-CN"/>
        </w:rPr>
        <w:t xml:space="preserve"> percent</w:t>
      </w:r>
      <w:r w:rsidRPr="008E6F5D">
        <w:rPr>
          <w:lang w:eastAsia="zh-CN"/>
        </w:rPr>
        <w:t xml:space="preserve"> in FY20</w:t>
      </w:r>
      <w:r w:rsidR="00E26A8B">
        <w:rPr>
          <w:lang w:eastAsia="zh-CN"/>
        </w:rPr>
        <w:t>10</w:t>
      </w:r>
      <w:r w:rsidRPr="008E6F5D">
        <w:rPr>
          <w:lang w:eastAsia="zh-CN"/>
        </w:rPr>
        <w:t>/1</w:t>
      </w:r>
      <w:r w:rsidR="00E26A8B">
        <w:rPr>
          <w:lang w:eastAsia="zh-CN"/>
        </w:rPr>
        <w:t>1</w:t>
      </w:r>
      <w:r w:rsidRPr="008E6F5D">
        <w:rPr>
          <w:lang w:eastAsia="zh-CN"/>
        </w:rPr>
        <w:t xml:space="preserve"> to </w:t>
      </w:r>
      <w:r w:rsidR="00E26A8B">
        <w:rPr>
          <w:lang w:eastAsia="zh-CN"/>
        </w:rPr>
        <w:t>8.9</w:t>
      </w:r>
      <w:r w:rsidR="00DA5089">
        <w:rPr>
          <w:lang w:eastAsia="zh-CN"/>
        </w:rPr>
        <w:t xml:space="preserve"> percent</w:t>
      </w:r>
      <w:r w:rsidRPr="008E6F5D">
        <w:rPr>
          <w:lang w:eastAsia="zh-CN"/>
        </w:rPr>
        <w:t xml:space="preserve"> in </w:t>
      </w:r>
      <w:r w:rsidRPr="008E6F5D">
        <w:rPr>
          <w:lang w:eastAsia="zh-CN"/>
        </w:rPr>
        <w:lastRenderedPageBreak/>
        <w:t xml:space="preserve">FY2013/14.  </w:t>
      </w:r>
      <w:r w:rsidR="00E26A8B">
        <w:rPr>
          <w:lang w:eastAsia="zh-CN"/>
        </w:rPr>
        <w:t>Actual health expenditure as a proportion of actual government spending also declined from 11.9</w:t>
      </w:r>
      <w:r w:rsidR="00DA5089">
        <w:rPr>
          <w:lang w:eastAsia="zh-CN"/>
        </w:rPr>
        <w:t xml:space="preserve"> percent</w:t>
      </w:r>
      <w:r w:rsidR="00E26A8B">
        <w:rPr>
          <w:lang w:eastAsia="zh-CN"/>
        </w:rPr>
        <w:t xml:space="preserve"> in FY 2010/11 to 10.2 </w:t>
      </w:r>
      <w:r w:rsidR="00DA5089">
        <w:rPr>
          <w:lang w:eastAsia="zh-CN"/>
        </w:rPr>
        <w:t xml:space="preserve">percent </w:t>
      </w:r>
      <w:r w:rsidR="00E26A8B">
        <w:rPr>
          <w:lang w:eastAsia="zh-CN"/>
        </w:rPr>
        <w:t xml:space="preserve">in FY 2012/12 (PER 2013/14). </w:t>
      </w:r>
    </w:p>
    <w:p w14:paraId="0756C0E3" w14:textId="77777777" w:rsidR="00804B3B" w:rsidRDefault="00804B3B" w:rsidP="003D2CE4">
      <w:pPr>
        <w:rPr>
          <w:lang w:eastAsia="zh-CN"/>
        </w:rPr>
      </w:pPr>
    </w:p>
    <w:p w14:paraId="26326B6E" w14:textId="301359F7" w:rsidR="00804B3B" w:rsidRDefault="00804B3B" w:rsidP="00804B3B">
      <w:pPr>
        <w:pStyle w:val="Caption"/>
      </w:pPr>
      <w:r>
        <w:t xml:space="preserve">Figure </w:t>
      </w:r>
      <w:r w:rsidR="00C01A1A">
        <w:fldChar w:fldCharType="begin"/>
      </w:r>
      <w:r>
        <w:instrText xml:space="preserve"> SEQ Figure \* ARABIC </w:instrText>
      </w:r>
      <w:r w:rsidR="00C01A1A">
        <w:fldChar w:fldCharType="separate"/>
      </w:r>
      <w:r w:rsidR="00463644">
        <w:rPr>
          <w:noProof/>
        </w:rPr>
        <w:t>3</w:t>
      </w:r>
      <w:r w:rsidR="00C01A1A">
        <w:fldChar w:fldCharType="end"/>
      </w:r>
      <w:r w:rsidR="002266EC">
        <w:t>.</w:t>
      </w:r>
      <w:proofErr w:type="gramStart"/>
      <w:r w:rsidR="002266EC">
        <w:t>1</w:t>
      </w:r>
      <w:r>
        <w:t xml:space="preserve">  Health</w:t>
      </w:r>
      <w:proofErr w:type="gramEnd"/>
      <w:r>
        <w:t xml:space="preserve"> sector as a share of Total Government Budget </w:t>
      </w:r>
    </w:p>
    <w:p w14:paraId="77501FD1" w14:textId="0BD2EB3C" w:rsidR="00C01A1A" w:rsidRDefault="00D85D46" w:rsidP="00FA581D">
      <w:pPr>
        <w:tabs>
          <w:tab w:val="left" w:pos="8475"/>
        </w:tabs>
      </w:pPr>
      <w:r>
        <w:rPr>
          <w:noProof/>
          <w:lang w:val="en-GB" w:eastAsia="en-GB"/>
        </w:rPr>
        <w:drawing>
          <wp:anchor distT="0" distB="0" distL="114300" distR="114300" simplePos="0" relativeHeight="251659264" behindDoc="0" locked="0" layoutInCell="1" allowOverlap="1" wp14:anchorId="47872171" wp14:editId="261ACD29">
            <wp:simplePos x="0" y="0"/>
            <wp:positionH relativeFrom="column">
              <wp:posOffset>-28575</wp:posOffset>
            </wp:positionH>
            <wp:positionV relativeFrom="paragraph">
              <wp:posOffset>132080</wp:posOffset>
            </wp:positionV>
            <wp:extent cx="2609850" cy="2695575"/>
            <wp:effectExtent l="19050" t="0" r="19050" b="0"/>
            <wp:wrapNone/>
            <wp:docPr id="5" name="Content Placeholder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Pr="00F74CCE">
        <w:rPr>
          <w:noProof/>
          <w:lang w:val="en-GB" w:eastAsia="en-GB"/>
        </w:rPr>
        <w:drawing>
          <wp:anchor distT="0" distB="0" distL="114300" distR="114300" simplePos="0" relativeHeight="251660288" behindDoc="0" locked="0" layoutInCell="1" allowOverlap="1" wp14:anchorId="6D3D60F4" wp14:editId="66BD6048">
            <wp:simplePos x="0" y="0"/>
            <wp:positionH relativeFrom="column">
              <wp:posOffset>2581275</wp:posOffset>
            </wp:positionH>
            <wp:positionV relativeFrom="paragraph">
              <wp:posOffset>132080</wp:posOffset>
            </wp:positionV>
            <wp:extent cx="2781300" cy="2695575"/>
            <wp:effectExtent l="19050" t="0" r="19050" b="0"/>
            <wp:wrapNone/>
            <wp:docPr id="6" name="Content Placeholder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FA581D">
        <w:tab/>
      </w:r>
    </w:p>
    <w:p w14:paraId="57E1925B" w14:textId="77777777" w:rsidR="00C01A1A" w:rsidRDefault="00C01A1A" w:rsidP="00F74CCE"/>
    <w:p w14:paraId="03B88999" w14:textId="77777777" w:rsidR="00C01A1A" w:rsidRDefault="00C01A1A" w:rsidP="00F74CCE"/>
    <w:p w14:paraId="59837292" w14:textId="77777777" w:rsidR="00C01A1A" w:rsidRDefault="00C01A1A" w:rsidP="00F74CCE"/>
    <w:p w14:paraId="22CF2987" w14:textId="77777777" w:rsidR="00C01A1A" w:rsidRDefault="00C01A1A" w:rsidP="00F74CCE"/>
    <w:p w14:paraId="0078D565" w14:textId="77777777" w:rsidR="00C01A1A" w:rsidRDefault="00C01A1A" w:rsidP="00F74CCE"/>
    <w:p w14:paraId="369F43C2" w14:textId="77777777" w:rsidR="00C01A1A" w:rsidRDefault="00C01A1A" w:rsidP="00F74CCE"/>
    <w:p w14:paraId="16F72892" w14:textId="77777777" w:rsidR="00C01A1A" w:rsidRDefault="00C01A1A" w:rsidP="00F74CCE"/>
    <w:p w14:paraId="22DC25BC" w14:textId="77777777" w:rsidR="00C01A1A" w:rsidRDefault="00C01A1A" w:rsidP="00F74CCE"/>
    <w:p w14:paraId="72A055B7" w14:textId="77777777" w:rsidR="00C01A1A" w:rsidRDefault="00C01A1A" w:rsidP="00F74CCE"/>
    <w:p w14:paraId="0C054512" w14:textId="77777777" w:rsidR="00C01A1A" w:rsidRDefault="00C01A1A" w:rsidP="00F74CCE"/>
    <w:p w14:paraId="4137731E" w14:textId="77777777" w:rsidR="00C01A1A" w:rsidRDefault="00C01A1A" w:rsidP="00F74CCE"/>
    <w:p w14:paraId="07482CDB" w14:textId="77777777" w:rsidR="00C01A1A" w:rsidRDefault="00C01A1A" w:rsidP="00F74CCE"/>
    <w:p w14:paraId="76ED70B2" w14:textId="77777777" w:rsidR="00C01A1A" w:rsidRDefault="00C01A1A" w:rsidP="00F74CCE"/>
    <w:p w14:paraId="0E096423" w14:textId="77777777" w:rsidR="00C01A1A" w:rsidRDefault="00C01A1A" w:rsidP="00F74CCE"/>
    <w:p w14:paraId="195355C7" w14:textId="77777777" w:rsidR="00C01A1A" w:rsidRDefault="00F013CE" w:rsidP="00F74CCE">
      <w:r>
        <w:rPr>
          <w:lang w:bidi="en-US"/>
        </w:rPr>
        <w:t>Source: PER 2013/14</w:t>
      </w:r>
    </w:p>
    <w:p w14:paraId="2D0E7C93" w14:textId="77777777" w:rsidR="00C01A1A" w:rsidRDefault="00C01A1A" w:rsidP="00F74CCE"/>
    <w:p w14:paraId="524DD328" w14:textId="1AFC9C65" w:rsidR="003D2CE4" w:rsidRPr="00EB4F0C" w:rsidRDefault="00E26A8B" w:rsidP="003D2CE4">
      <w:pPr>
        <w:rPr>
          <w:lang w:eastAsia="zh-CN"/>
        </w:rPr>
      </w:pPr>
      <w:r>
        <w:rPr>
          <w:lang w:eastAsia="zh-CN"/>
        </w:rPr>
        <w:t xml:space="preserve">Per capita expenditure in nominal terms increased from $16.9 in 2010/11 to $17.3 in 2013/14. In real terms the per capita expenditure decreased from $8.4 to $6.5 </w:t>
      </w:r>
      <w:r w:rsidR="00804B3B">
        <w:rPr>
          <w:lang w:eastAsia="zh-CN"/>
        </w:rPr>
        <w:t xml:space="preserve">during this period. </w:t>
      </w:r>
      <w:r>
        <w:rPr>
          <w:lang w:eastAsia="zh-CN"/>
        </w:rPr>
        <w:t xml:space="preserve"> </w:t>
      </w:r>
    </w:p>
    <w:p w14:paraId="0EAA8E82" w14:textId="77777777" w:rsidR="003D2CE4" w:rsidRPr="00EB4F0C" w:rsidRDefault="003D2CE4" w:rsidP="003D2CE4">
      <w:pPr>
        <w:spacing w:line="240" w:lineRule="auto"/>
        <w:ind w:left="284"/>
        <w:rPr>
          <w:rFonts w:eastAsia="SimSun" w:cs="Arial"/>
          <w:szCs w:val="24"/>
          <w:lang w:eastAsia="zh-CN"/>
        </w:rPr>
      </w:pPr>
    </w:p>
    <w:p w14:paraId="202C3F61" w14:textId="77777777" w:rsidR="003D2CE4" w:rsidRPr="002C3E91" w:rsidRDefault="003D2CE4" w:rsidP="003D2CE4">
      <w:r w:rsidRPr="00EB4F0C">
        <w:rPr>
          <w:rFonts w:eastAsia="SimSun" w:cs="Arial"/>
          <w:szCs w:val="24"/>
          <w:lang w:eastAsia="zh-CN"/>
        </w:rPr>
        <w:t xml:space="preserve">Besides block grants and basket </w:t>
      </w:r>
      <w:r w:rsidRPr="002C3E91">
        <w:t>funds, other significant sources of funds at the LGA</w:t>
      </w:r>
      <w:r>
        <w:t xml:space="preserve"> level were the Global Fund , UNICEF, </w:t>
      </w:r>
      <w:r w:rsidRPr="002C3E91">
        <w:t xml:space="preserve">health insurances (CHF </w:t>
      </w:r>
      <w:r>
        <w:t>and NHIF</w:t>
      </w:r>
      <w:r w:rsidRPr="002C3E91">
        <w:t xml:space="preserve">), in-kind, cost sharing, own sources and the Primary Health Services Development Program (in Swahili, acronym MMAM). </w:t>
      </w:r>
    </w:p>
    <w:p w14:paraId="5C88396A" w14:textId="77777777" w:rsidR="00556535" w:rsidRPr="00C91E2D" w:rsidRDefault="0049535B" w:rsidP="00C91E2D">
      <w:pPr>
        <w:pStyle w:val="Heading3"/>
        <w:ind w:left="720"/>
        <w:rPr>
          <w:rFonts w:eastAsia="SimSun"/>
          <w:lang w:eastAsia="zh-CN"/>
        </w:rPr>
      </w:pPr>
      <w:bookmarkStart w:id="11" w:name="_Toc411949918"/>
      <w:r w:rsidRPr="00C91E2D">
        <w:rPr>
          <w:rFonts w:eastAsia="SimSun"/>
          <w:lang w:eastAsia="zh-CN"/>
        </w:rPr>
        <w:t>Prepayment schemes</w:t>
      </w:r>
      <w:bookmarkEnd w:id="11"/>
    </w:p>
    <w:p w14:paraId="79006F0D" w14:textId="1D98FFF8" w:rsidR="0049535B" w:rsidRPr="007C1491" w:rsidRDefault="0049535B" w:rsidP="00A82FC6">
      <w:pPr>
        <w:tabs>
          <w:tab w:val="left" w:pos="2400"/>
        </w:tabs>
        <w:rPr>
          <w:color w:val="000000" w:themeColor="text1"/>
        </w:rPr>
      </w:pPr>
      <w:r>
        <w:t>Health insurance system</w:t>
      </w:r>
      <w:r w:rsidR="00DA5089">
        <w:t>s</w:t>
      </w:r>
      <w:r>
        <w:t xml:space="preserve"> in Tanzania </w:t>
      </w:r>
      <w:r w:rsidR="00DA5089">
        <w:t>are</w:t>
      </w:r>
      <w:r>
        <w:t xml:space="preserve"> organized in</w:t>
      </w:r>
      <w:r w:rsidR="00DA5089">
        <w:t>to</w:t>
      </w:r>
      <w:r>
        <w:t xml:space="preserve"> a two tier system, formal and informal sector insurance schemes. </w:t>
      </w:r>
      <w:r w:rsidR="00C03055" w:rsidRPr="00422FCD">
        <w:rPr>
          <w:color w:val="000000" w:themeColor="text1"/>
        </w:rPr>
        <w:t xml:space="preserve">The coverage of the contribution based health insurance schemes in the </w:t>
      </w:r>
      <w:r w:rsidR="00C03055">
        <w:rPr>
          <w:color w:val="000000" w:themeColor="text1"/>
        </w:rPr>
        <w:t>country</w:t>
      </w:r>
      <w:r w:rsidR="008F47DA">
        <w:rPr>
          <w:color w:val="000000" w:themeColor="text1"/>
        </w:rPr>
        <w:t xml:space="preserve"> is about 22</w:t>
      </w:r>
      <w:r w:rsidR="00C03055" w:rsidRPr="00422FCD">
        <w:rPr>
          <w:color w:val="000000" w:themeColor="text1"/>
        </w:rPr>
        <w:t xml:space="preserve">% of the whole population. This is not close to the objective of the GOT to provide health insurance coverage </w:t>
      </w:r>
      <w:r w:rsidR="008F47DA">
        <w:rPr>
          <w:color w:val="000000" w:themeColor="text1"/>
        </w:rPr>
        <w:t>of 30</w:t>
      </w:r>
      <w:r w:rsidR="00C03055" w:rsidRPr="00422FCD">
        <w:rPr>
          <w:color w:val="000000" w:themeColor="text1"/>
        </w:rPr>
        <w:t xml:space="preserve">% of the population </w:t>
      </w:r>
      <w:r w:rsidR="008F47DA">
        <w:rPr>
          <w:color w:val="000000" w:themeColor="text1"/>
        </w:rPr>
        <w:t xml:space="preserve">into CHF </w:t>
      </w:r>
      <w:r w:rsidR="00C03055" w:rsidRPr="00422FCD">
        <w:rPr>
          <w:color w:val="000000" w:themeColor="text1"/>
        </w:rPr>
        <w:t>by 2015. The health insurance ma</w:t>
      </w:r>
      <w:r w:rsidR="00C03055">
        <w:rPr>
          <w:color w:val="000000" w:themeColor="text1"/>
        </w:rPr>
        <w:t>rket is composed of five</w:t>
      </w:r>
      <w:r w:rsidR="00C03055" w:rsidRPr="00422FCD">
        <w:rPr>
          <w:color w:val="000000" w:themeColor="text1"/>
        </w:rPr>
        <w:t xml:space="preserve"> key players, the National Health Insurance Fund (NHIF), National Social Security Fund – Social Health Insurance Benefit (NSSF-SHIB), Community Health Fund (CHF)/ </w:t>
      </w:r>
      <w:proofErr w:type="spellStart"/>
      <w:r w:rsidR="00C03055" w:rsidRPr="00422FCD">
        <w:rPr>
          <w:color w:val="000000" w:themeColor="text1"/>
        </w:rPr>
        <w:t>Tiba</w:t>
      </w:r>
      <w:proofErr w:type="spellEnd"/>
      <w:r w:rsidR="00C03055" w:rsidRPr="00422FCD">
        <w:rPr>
          <w:color w:val="000000" w:themeColor="text1"/>
        </w:rPr>
        <w:t xml:space="preserve"> Kwa </w:t>
      </w:r>
      <w:proofErr w:type="spellStart"/>
      <w:r w:rsidR="00C03055" w:rsidRPr="00422FCD">
        <w:rPr>
          <w:color w:val="000000" w:themeColor="text1"/>
        </w:rPr>
        <w:t>Kadi</w:t>
      </w:r>
      <w:proofErr w:type="spellEnd"/>
      <w:r w:rsidR="00C03055" w:rsidRPr="00422FCD">
        <w:rPr>
          <w:color w:val="000000" w:themeColor="text1"/>
        </w:rPr>
        <w:t xml:space="preserve"> (TIKA), Private Health Insurance (PHI) and Community Based Health Insurance (CBHI)/Micro insurance</w:t>
      </w:r>
      <w:r w:rsidR="00C03055">
        <w:rPr>
          <w:color w:val="000000" w:themeColor="text1"/>
        </w:rPr>
        <w:t xml:space="preserve">. To the NHIF </w:t>
      </w:r>
      <w:r w:rsidR="00C03055">
        <w:t>m</w:t>
      </w:r>
      <w:r>
        <w:t xml:space="preserve">embers mandatorily contribute 6% of their salary equally shared </w:t>
      </w:r>
      <w:r>
        <w:lastRenderedPageBreak/>
        <w:t xml:space="preserve">between employees and employers. The scheme was introduced under the NHIF </w:t>
      </w:r>
      <w:r w:rsidR="00DA5089">
        <w:t>A</w:t>
      </w:r>
      <w:r>
        <w:t>ct no. 1 of 1999. The l</w:t>
      </w:r>
      <w:r w:rsidR="00630956">
        <w:t>a</w:t>
      </w:r>
      <w:r>
        <w:t>w has recently been amended to allow contribution of p</w:t>
      </w:r>
      <w:r w:rsidR="005751E6">
        <w:t>remium from individuals and non-</w:t>
      </w:r>
      <w:r>
        <w:t>public sector employees on voluntary basis. The SHIB is another form of formal sector health insurance mainly focusing on private employees, parastatals and NGOs. The SHIB is not a stand</w:t>
      </w:r>
      <w:r w:rsidR="00DA5089">
        <w:t>-</w:t>
      </w:r>
      <w:r>
        <w:t>alone health insurance scheme but rather part of benefit</w:t>
      </w:r>
      <w:r w:rsidR="00DA5089">
        <w:t>s</w:t>
      </w:r>
      <w:r>
        <w:t xml:space="preserve"> provided by the NSSF. Members of NSSF mandatorily contribute 20% to the NSSF, equally shared between employees and employers. Part of these collections is used to fund health insurance benefits for NSSF members. Private for profit health insurance is a third type of health insurance targeting the formal sector. Contribution</w:t>
      </w:r>
      <w:r w:rsidR="00DA5089">
        <w:t>s</w:t>
      </w:r>
      <w:r>
        <w:t xml:space="preserve"> to private insurance vary across firms and in most cases it is either community rated </w:t>
      </w:r>
      <w:r w:rsidR="00DA5089">
        <w:t>as</w:t>
      </w:r>
      <w:r>
        <w:t xml:space="preserve"> when private employees negotiate for premium or risk rated in</w:t>
      </w:r>
      <w:r w:rsidR="005751E6">
        <w:t xml:space="preserve"> </w:t>
      </w:r>
      <w:r>
        <w:t xml:space="preserve">case of individual enrolment. </w:t>
      </w:r>
    </w:p>
    <w:p w14:paraId="20B147BA" w14:textId="77777777" w:rsidR="0049535B" w:rsidRDefault="0049535B" w:rsidP="005607ED"/>
    <w:p w14:paraId="4C1963BD" w14:textId="506DD9BF" w:rsidR="0044796F" w:rsidRDefault="0044796F" w:rsidP="0049535B">
      <w:r>
        <w:rPr>
          <w:lang w:val="en-GB"/>
        </w:rPr>
        <w:t xml:space="preserve">The Community Health Fund (CHF) is the largest informal sector insurance scheme enacted in 2001 under the CHF </w:t>
      </w:r>
      <w:r w:rsidR="00DA5089">
        <w:rPr>
          <w:lang w:val="en-GB"/>
        </w:rPr>
        <w:t>A</w:t>
      </w:r>
      <w:r>
        <w:rPr>
          <w:lang w:val="en-GB"/>
        </w:rPr>
        <w:t xml:space="preserve">ct no. 8 after a pilot in </w:t>
      </w:r>
      <w:proofErr w:type="spellStart"/>
      <w:r>
        <w:rPr>
          <w:lang w:val="en-GB"/>
        </w:rPr>
        <w:t>Igunga</w:t>
      </w:r>
      <w:proofErr w:type="spellEnd"/>
      <w:r>
        <w:rPr>
          <w:lang w:val="en-GB"/>
        </w:rPr>
        <w:t xml:space="preserve"> district conducted in 1996. </w:t>
      </w:r>
      <w:r w:rsidR="005505D0">
        <w:rPr>
          <w:lang w:val="en-GB"/>
        </w:rPr>
        <w:t xml:space="preserve">The scheme mainly targets the rural population and </w:t>
      </w:r>
      <w:r>
        <w:rPr>
          <w:lang w:val="en-GB"/>
        </w:rPr>
        <w:t>is managed at the council level. Membership is at household level whereby households voluntarily contribute a flat rate</w:t>
      </w:r>
      <w:r w:rsidR="00DA5089">
        <w:rPr>
          <w:lang w:val="en-GB"/>
        </w:rPr>
        <w:t>.</w:t>
      </w:r>
      <w:r>
        <w:rPr>
          <w:lang w:val="en-GB"/>
        </w:rPr>
        <w:t xml:space="preserve"> Premium amount</w:t>
      </w:r>
      <w:r w:rsidR="00DA5089">
        <w:rPr>
          <w:lang w:val="en-GB"/>
        </w:rPr>
        <w:t>s</w:t>
      </w:r>
      <w:r>
        <w:rPr>
          <w:lang w:val="en-GB"/>
        </w:rPr>
        <w:t xml:space="preserve"> </w:t>
      </w:r>
      <w:r w:rsidR="00DA5089">
        <w:rPr>
          <w:lang w:val="en-GB"/>
        </w:rPr>
        <w:t>are</w:t>
      </w:r>
      <w:r>
        <w:rPr>
          <w:lang w:val="en-GB"/>
        </w:rPr>
        <w:t xml:space="preserve"> decided by the district authority after consultation with the community members. Currently the level of premium contribution across councils vary from 5000 TZS per household per annum to 15</w:t>
      </w:r>
      <w:proofErr w:type="gramStart"/>
      <w:r>
        <w:rPr>
          <w:lang w:val="en-GB"/>
        </w:rPr>
        <w:t>,0000</w:t>
      </w:r>
      <w:proofErr w:type="gramEnd"/>
      <w:r>
        <w:rPr>
          <w:lang w:val="en-GB"/>
        </w:rPr>
        <w:t xml:space="preserve"> TZS per household per annum. </w:t>
      </w:r>
      <w:r w:rsidR="005505D0" w:rsidRPr="00CD35F8">
        <w:rPr>
          <w:lang w:val="en-GB"/>
        </w:rPr>
        <w:t xml:space="preserve">A counterpart scheme, TIKA was also introduced in 2009 </w:t>
      </w:r>
      <w:r w:rsidR="00C01A1A" w:rsidRPr="00CD35F8">
        <w:rPr>
          <w:lang w:val="en-GB"/>
        </w:rPr>
        <w:fldChar w:fldCharType="begin"/>
      </w:r>
      <w:r w:rsidR="001E31C0">
        <w:rPr>
          <w:lang w:val="en-GB"/>
        </w:rPr>
        <w:instrText xml:space="preserve"> ADDIN EN.CITE &lt;EndNote&gt;&lt;Cite&gt;&lt;Author&gt;Borghi&lt;/Author&gt;&lt;Year&gt;2012&lt;/Year&gt;&lt;RecNum&gt;639&lt;/RecNum&gt;&lt;record&gt;&lt;rec-number&gt;639&lt;/rec-number&gt;&lt;ref-type name="Journal Article"&gt;17&lt;/ref-type&gt;&lt;contributors&gt;&lt;authors&gt;&lt;author&gt;Borghi, Josephine&lt;/author&gt;&lt;author&gt;Mtei, Gemini&lt;/author&gt;&lt;author&gt;Ally, Mariam&lt;/author&gt;&lt;/authors&gt;&lt;/contributors&gt;&lt;titles&gt;&lt;title&gt;Modelling the implications of moving towards universal coverage in Tanzania&lt;/title&gt;&lt;secondary-title&gt;Health Policy and Planning&lt;/secondary-title&gt;&lt;/titles&gt;&lt;periodical&gt;&lt;full-title&gt;Health Policy and Planning&lt;/full-title&gt;&lt;/periodical&gt;&lt;pages&gt;i88-i100&lt;/pages&gt;&lt;volume&gt;27&lt;/volume&gt;&lt;number&gt;suppl 1&lt;/number&gt;&lt;dates&gt;&lt;year&gt;2012&lt;/year&gt;&lt;pub-dates&gt;&lt;date&gt;March 1, 2012&lt;/date&gt;&lt;/pub-dates&gt;&lt;/dates&gt;&lt;urls&gt;&lt;related-urls&gt;&lt;url&gt;http://heapol.oxfordjournals.org/content/27/suppl_1/i88.abstract&lt;/url&gt;&lt;url&gt;http://heapol.oxfordjournals.org/content/27/suppl_1/i88&lt;/url&gt;&lt;url&gt;http://heapol.oxfordjournals.org/content/27/suppl_1/i88.full.pdf&lt;/url&gt;&lt;/related-urls&gt;&lt;pdf-urls&gt;&lt;url&gt;internal-pdf://Borghi-2012-Modelling the implic-2552596992/Borghi-2012-Modelling the implic.pdf&lt;/url&gt;&lt;/pdf-urls&gt;&lt;/urls&gt;&lt;electronic-resource-num&gt;10.1093/heapol/czs009&lt;/electronic-resource-num&gt;&lt;/record&gt;&lt;/Cite&gt;&lt;/EndNote&gt;</w:instrText>
      </w:r>
      <w:r w:rsidR="00C01A1A" w:rsidRPr="00CD35F8">
        <w:rPr>
          <w:lang w:val="en-GB"/>
        </w:rPr>
        <w:fldChar w:fldCharType="separate"/>
      </w:r>
      <w:r w:rsidR="001E31C0">
        <w:rPr>
          <w:lang w:val="en-GB"/>
        </w:rPr>
        <w:t>(Borghi, Mtei et al. 2012)</w:t>
      </w:r>
      <w:r w:rsidR="00C01A1A" w:rsidRPr="00CD35F8">
        <w:rPr>
          <w:lang w:val="en-GB"/>
        </w:rPr>
        <w:fldChar w:fldCharType="end"/>
      </w:r>
      <w:r w:rsidR="005505D0" w:rsidRPr="00CD35F8">
        <w:rPr>
          <w:lang w:val="en-GB"/>
        </w:rPr>
        <w:t xml:space="preserve"> for urban informal </w:t>
      </w:r>
      <w:r w:rsidR="005505D0" w:rsidRPr="005751E6">
        <w:t xml:space="preserve">population with the same objectives as CHF except that enrolment to TIKA is on individual basis. In addition to CHF there </w:t>
      </w:r>
      <w:r w:rsidR="00DA5089">
        <w:t>are</w:t>
      </w:r>
      <w:r w:rsidR="005505D0" w:rsidRPr="005751E6">
        <w:t xml:space="preserve"> a number of other </w:t>
      </w:r>
      <w:r w:rsidR="00DA5089">
        <w:t>c</w:t>
      </w:r>
      <w:r w:rsidR="005505D0" w:rsidRPr="005751E6">
        <w:t xml:space="preserve">ommunity </w:t>
      </w:r>
      <w:r w:rsidR="00DA5089">
        <w:t>b</w:t>
      </w:r>
      <w:r w:rsidR="005505D0" w:rsidRPr="005751E6">
        <w:t xml:space="preserve">ased </w:t>
      </w:r>
      <w:r w:rsidR="00DA5089">
        <w:t>h</w:t>
      </w:r>
      <w:r w:rsidR="005505D0" w:rsidRPr="005751E6">
        <w:t xml:space="preserve">ealth </w:t>
      </w:r>
      <w:r w:rsidR="00DA5089">
        <w:t>i</w:t>
      </w:r>
      <w:r w:rsidR="005505D0" w:rsidRPr="005751E6">
        <w:t xml:space="preserve">nsurance (CBHI) schemes established to </w:t>
      </w:r>
      <w:r w:rsidR="00DA5089">
        <w:t>insure</w:t>
      </w:r>
      <w:r w:rsidR="005505D0" w:rsidRPr="005751E6">
        <w:t xml:space="preserve"> health care costs across different groups in the informal sector. The commonly known schemes include VIBINDO which brings together workers in small scale industries and petty business. It is estimated that in 2007 there were about 12 CBHI registered by the Tanzania Network of Community Health Funds (TNCHF) </w:t>
      </w:r>
      <w:r w:rsidR="00C01A1A" w:rsidRPr="005751E6">
        <w:fldChar w:fldCharType="begin"/>
      </w:r>
      <w:r w:rsidR="001E31C0" w:rsidRPr="005751E6">
        <w:instrText xml:space="preserve"> ADDIN EN.CITE &lt;EndNote&gt;&lt;Cite&gt;&lt;Author&gt;PHRplus&lt;/Author&gt;&lt;Year&gt;2006&lt;/Year&gt;&lt;RecNum&gt;60&lt;/RecNum&gt;&lt;record&gt;&lt;rec-number&gt;60&lt;/rec-number&gt;&lt;ref-type name="Report"&gt;27&lt;/ref-type&gt;&lt;contributors&gt;&lt;authors&gt;&lt;author&gt;PHRplus&lt;/author&gt;&lt;/authors&gt;&lt;/contributors&gt;&lt;titles&gt;&lt;title&gt;Catalogue of Community Based Health Financing Schemes Tanzania&lt;/title&gt;&lt;/titles&gt;&lt;dates&gt;&lt;year&gt;2006&lt;/year&gt;&lt;pub-dates&gt;&lt;date&gt;June&lt;/date&gt;&lt;/pub-dates&gt;&lt;/dates&gt;&lt;publisher&gt;PHRplus and CHeFA-EA&lt;/publisher&gt;&lt;urls&gt;&lt;/urls&gt;&lt;/record&gt;&lt;/Cite&gt;&lt;/EndNote&gt;</w:instrText>
      </w:r>
      <w:r w:rsidR="00C01A1A" w:rsidRPr="005751E6">
        <w:fldChar w:fldCharType="separate"/>
      </w:r>
      <w:r w:rsidR="001E31C0" w:rsidRPr="005751E6">
        <w:t>(PHRplus 2006)</w:t>
      </w:r>
      <w:r w:rsidR="00C01A1A" w:rsidRPr="005751E6">
        <w:fldChar w:fldCharType="end"/>
      </w:r>
      <w:r w:rsidR="005505D0" w:rsidRPr="005751E6">
        <w:t>. In 2010</w:t>
      </w:r>
      <w:r w:rsidR="00DA5089">
        <w:t>,</w:t>
      </w:r>
      <w:r w:rsidR="005505D0" w:rsidRPr="005751E6">
        <w:t xml:space="preserve"> these kind of schemes were about 43 in number </w:t>
      </w:r>
      <w:r w:rsidR="00C01A1A" w:rsidRPr="005751E6">
        <w:fldChar w:fldCharType="begin"/>
      </w:r>
      <w:r w:rsidR="001E31C0" w:rsidRPr="005751E6">
        <w:instrText xml:space="preserve"> ADDIN EN.CITE &lt;EndNote&gt;&lt;Cite&gt;&lt;Author&gt;Toutant&lt;/Author&gt;&lt;Year&gt;2010&lt;/Year&gt;&lt;RecNum&gt;784&lt;/RecNum&gt;&lt;record&gt;&lt;rec-number&gt;784&lt;/rec-number&gt;&lt;ref-type name="Report"&gt;27&lt;/ref-type&gt;&lt;contributors&gt;&lt;authors&gt;&lt;author&gt;Toutant, Rita &lt;/author&gt;&lt;/authors&gt;&lt;/contributors&gt;&lt;titles&gt;&lt;title&gt;Tanzania Network of Community Health Funds: CEO progress report&lt;/title&gt;&lt;/titles&gt;&lt;dates&gt;&lt;year&gt;2010&lt;/year&gt;&lt;/dates&gt;&lt;pub-location&gt;Dar es Salaam&lt;/pub-location&gt;&lt;publisher&gt;TNCHF&lt;/publisher&gt;&lt;urls&gt;&lt;/urls&gt;&lt;/record&gt;&lt;/Cite&gt;&lt;/EndNote&gt;</w:instrText>
      </w:r>
      <w:r w:rsidR="00C01A1A" w:rsidRPr="005751E6">
        <w:fldChar w:fldCharType="separate"/>
      </w:r>
      <w:r w:rsidR="001E31C0" w:rsidRPr="005751E6">
        <w:t>(Toutant 2010)</w:t>
      </w:r>
      <w:r w:rsidR="00C01A1A" w:rsidRPr="005751E6">
        <w:fldChar w:fldCharType="end"/>
      </w:r>
      <w:r w:rsidR="005505D0" w:rsidRPr="005751E6">
        <w:t>.</w:t>
      </w:r>
      <w:r w:rsidR="00630956" w:rsidRPr="005751E6">
        <w:t xml:space="preserve"> There are currently moves to harmonize health care benefits provided under VIBINDO network with the NHIF under special arrangements referred to as mutual. With this new initiative the NHIF will be responsible to provide health services to the members of VIBINDO after contribution of a pre agreed premium.</w:t>
      </w:r>
    </w:p>
    <w:p w14:paraId="625EC8C4" w14:textId="77777777" w:rsidR="008F47DA" w:rsidRDefault="008F47DA" w:rsidP="0049535B"/>
    <w:p w14:paraId="6948F5F2" w14:textId="77777777" w:rsidR="008F47DA" w:rsidRDefault="008F47DA" w:rsidP="0049535B"/>
    <w:p w14:paraId="2F103096" w14:textId="77777777" w:rsidR="008F47DA" w:rsidRDefault="008F47DA" w:rsidP="0049535B"/>
    <w:p w14:paraId="1B24C502" w14:textId="77777777" w:rsidR="008F47DA" w:rsidRDefault="008F47DA" w:rsidP="000B10A3">
      <w:pPr>
        <w:jc w:val="right"/>
      </w:pPr>
    </w:p>
    <w:p w14:paraId="04EEF76E" w14:textId="77777777" w:rsidR="007C1491" w:rsidRDefault="007C1491">
      <w:pPr>
        <w:spacing w:after="200"/>
        <w:jc w:val="left"/>
        <w:rPr>
          <w:rFonts w:eastAsiaTheme="minorEastAsia"/>
          <w:b/>
          <w:bCs/>
          <w:sz w:val="22"/>
          <w:szCs w:val="18"/>
          <w:lang w:bidi="en-US"/>
        </w:rPr>
      </w:pPr>
      <w:bookmarkStart w:id="12" w:name="_Toc361750964"/>
      <w:r>
        <w:br w:type="page"/>
      </w:r>
    </w:p>
    <w:p w14:paraId="3F394464" w14:textId="168845EB" w:rsidR="00C03055" w:rsidRPr="00DF19FE" w:rsidRDefault="00DF19FE" w:rsidP="007C1491">
      <w:pPr>
        <w:pStyle w:val="Caption"/>
      </w:pPr>
      <w:r>
        <w:lastRenderedPageBreak/>
        <w:t>Table 3</w:t>
      </w:r>
      <w:r w:rsidR="00C03055" w:rsidRPr="00DF19FE">
        <w:t xml:space="preserve">.1: Description of Health Insurance </w:t>
      </w:r>
      <w:r>
        <w:t>Schemes</w:t>
      </w:r>
      <w:r w:rsidR="00C03055" w:rsidRPr="00DF19FE">
        <w:t xml:space="preserve"> in Tanzania</w:t>
      </w:r>
      <w:bookmarkEnd w:id="12"/>
      <w:r w:rsidR="00C03055" w:rsidRPr="00DF19FE">
        <w:t xml:space="preserve"> </w:t>
      </w:r>
    </w:p>
    <w:tbl>
      <w:tblPr>
        <w:tblStyle w:val="LightGrid-Accent2"/>
        <w:tblW w:w="9648" w:type="dxa"/>
        <w:tblLayout w:type="fixed"/>
        <w:tblLook w:val="04A0" w:firstRow="1" w:lastRow="0" w:firstColumn="1" w:lastColumn="0" w:noHBand="0" w:noVBand="1"/>
      </w:tblPr>
      <w:tblGrid>
        <w:gridCol w:w="1480"/>
        <w:gridCol w:w="1418"/>
        <w:gridCol w:w="1710"/>
        <w:gridCol w:w="1980"/>
        <w:gridCol w:w="1620"/>
        <w:gridCol w:w="1440"/>
      </w:tblGrid>
      <w:tr w:rsidR="00C03055" w:rsidRPr="00422FCD" w14:paraId="2CFA13CB" w14:textId="77777777" w:rsidTr="007C1491">
        <w:trPr>
          <w:cnfStyle w:val="100000000000" w:firstRow="1" w:lastRow="0" w:firstColumn="0" w:lastColumn="0" w:oddVBand="0" w:evenVBand="0" w:oddHBand="0"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1480" w:type="dxa"/>
            <w:hideMark/>
          </w:tcPr>
          <w:p w14:paraId="13019868" w14:textId="77777777" w:rsidR="00C03055" w:rsidRPr="00422FCD" w:rsidRDefault="00C03055" w:rsidP="00C03055">
            <w:pPr>
              <w:rPr>
                <w:rFonts w:asciiTheme="minorHAnsi" w:hAnsiTheme="minorHAnsi"/>
                <w:color w:val="000000" w:themeColor="text1"/>
                <w:sz w:val="20"/>
                <w:szCs w:val="20"/>
              </w:rPr>
            </w:pPr>
            <w:r w:rsidRPr="00422FCD">
              <w:rPr>
                <w:rFonts w:asciiTheme="minorHAnsi" w:hAnsiTheme="minorHAnsi"/>
                <w:color w:val="000000" w:themeColor="text1"/>
                <w:sz w:val="20"/>
                <w:szCs w:val="20"/>
              </w:rPr>
              <w:t xml:space="preserve">Dimension </w:t>
            </w:r>
          </w:p>
        </w:tc>
        <w:tc>
          <w:tcPr>
            <w:tcW w:w="1418" w:type="dxa"/>
            <w:hideMark/>
          </w:tcPr>
          <w:p w14:paraId="3F408CB9" w14:textId="77777777" w:rsidR="00C03055" w:rsidRPr="00422FCD" w:rsidRDefault="00C03055" w:rsidP="00C03055">
            <w:pP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themeColor="text1"/>
                <w:sz w:val="20"/>
                <w:szCs w:val="20"/>
              </w:rPr>
            </w:pPr>
            <w:r w:rsidRPr="00422FCD">
              <w:rPr>
                <w:rFonts w:asciiTheme="minorHAnsi" w:hAnsiTheme="minorHAnsi"/>
                <w:color w:val="000000" w:themeColor="text1"/>
                <w:sz w:val="20"/>
                <w:szCs w:val="20"/>
              </w:rPr>
              <w:t xml:space="preserve">NHIF </w:t>
            </w:r>
          </w:p>
        </w:tc>
        <w:tc>
          <w:tcPr>
            <w:tcW w:w="1710" w:type="dxa"/>
            <w:hideMark/>
          </w:tcPr>
          <w:p w14:paraId="2A635EDD" w14:textId="77777777" w:rsidR="00C03055" w:rsidRPr="00422FCD" w:rsidRDefault="00C03055" w:rsidP="00C03055">
            <w:pP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themeColor="text1"/>
                <w:sz w:val="20"/>
                <w:szCs w:val="20"/>
              </w:rPr>
            </w:pPr>
            <w:r w:rsidRPr="00422FCD">
              <w:rPr>
                <w:rFonts w:asciiTheme="minorHAnsi" w:hAnsiTheme="minorHAnsi"/>
                <w:color w:val="000000" w:themeColor="text1"/>
                <w:sz w:val="20"/>
                <w:szCs w:val="20"/>
              </w:rPr>
              <w:t xml:space="preserve">CHF </w:t>
            </w:r>
          </w:p>
        </w:tc>
        <w:tc>
          <w:tcPr>
            <w:tcW w:w="1980" w:type="dxa"/>
            <w:hideMark/>
          </w:tcPr>
          <w:p w14:paraId="413B0CF7" w14:textId="77777777" w:rsidR="00C03055" w:rsidRPr="00422FCD" w:rsidRDefault="00C03055" w:rsidP="00C03055">
            <w:pP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themeColor="text1"/>
                <w:sz w:val="20"/>
                <w:szCs w:val="20"/>
              </w:rPr>
            </w:pPr>
            <w:r w:rsidRPr="00422FCD">
              <w:rPr>
                <w:rFonts w:asciiTheme="minorHAnsi" w:hAnsiTheme="minorHAnsi"/>
                <w:color w:val="000000" w:themeColor="text1"/>
                <w:sz w:val="20"/>
                <w:szCs w:val="20"/>
              </w:rPr>
              <w:t xml:space="preserve">NSSF-SHIB </w:t>
            </w:r>
          </w:p>
        </w:tc>
        <w:tc>
          <w:tcPr>
            <w:tcW w:w="1620" w:type="dxa"/>
            <w:hideMark/>
          </w:tcPr>
          <w:p w14:paraId="116D40EA" w14:textId="77777777" w:rsidR="00C03055" w:rsidRPr="00422FCD" w:rsidRDefault="00C03055" w:rsidP="00C03055">
            <w:pP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themeColor="text1"/>
                <w:sz w:val="20"/>
                <w:szCs w:val="20"/>
              </w:rPr>
            </w:pPr>
            <w:r w:rsidRPr="00422FCD">
              <w:rPr>
                <w:rFonts w:asciiTheme="minorHAnsi" w:hAnsiTheme="minorHAnsi"/>
                <w:color w:val="000000" w:themeColor="text1"/>
                <w:sz w:val="20"/>
                <w:szCs w:val="20"/>
              </w:rPr>
              <w:t xml:space="preserve">PHI </w:t>
            </w:r>
          </w:p>
        </w:tc>
        <w:tc>
          <w:tcPr>
            <w:tcW w:w="1440" w:type="dxa"/>
            <w:hideMark/>
          </w:tcPr>
          <w:p w14:paraId="27601B0A" w14:textId="77777777" w:rsidR="00C03055" w:rsidRPr="00422FCD" w:rsidRDefault="00C03055" w:rsidP="00C03055">
            <w:pP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themeColor="text1"/>
                <w:sz w:val="20"/>
                <w:szCs w:val="20"/>
              </w:rPr>
            </w:pPr>
            <w:r w:rsidRPr="00422FCD">
              <w:rPr>
                <w:rFonts w:asciiTheme="minorHAnsi" w:hAnsiTheme="minorHAnsi"/>
                <w:color w:val="000000" w:themeColor="text1"/>
                <w:sz w:val="20"/>
                <w:szCs w:val="20"/>
              </w:rPr>
              <w:t xml:space="preserve">CBHI </w:t>
            </w:r>
          </w:p>
        </w:tc>
      </w:tr>
      <w:tr w:rsidR="00C03055" w:rsidRPr="00422FCD" w14:paraId="1A81C570" w14:textId="77777777" w:rsidTr="007C1491">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1480" w:type="dxa"/>
            <w:hideMark/>
          </w:tcPr>
          <w:p w14:paraId="10D61F53" w14:textId="77777777" w:rsidR="00C03055" w:rsidRPr="00422FCD" w:rsidRDefault="00C03055" w:rsidP="00C03055">
            <w:pPr>
              <w:rPr>
                <w:rFonts w:asciiTheme="minorHAnsi" w:hAnsiTheme="minorHAnsi"/>
                <w:color w:val="000000" w:themeColor="text1"/>
                <w:sz w:val="20"/>
                <w:szCs w:val="20"/>
              </w:rPr>
            </w:pPr>
            <w:r w:rsidRPr="00422FCD">
              <w:rPr>
                <w:rFonts w:asciiTheme="minorHAnsi" w:hAnsiTheme="minorHAnsi"/>
                <w:color w:val="000000" w:themeColor="text1"/>
                <w:sz w:val="20"/>
                <w:szCs w:val="20"/>
              </w:rPr>
              <w:t xml:space="preserve">Coverage # </w:t>
            </w:r>
          </w:p>
        </w:tc>
        <w:tc>
          <w:tcPr>
            <w:tcW w:w="1418" w:type="dxa"/>
            <w:hideMark/>
          </w:tcPr>
          <w:p w14:paraId="017C7F0F" w14:textId="35D5B330" w:rsidR="00C03055" w:rsidRPr="00422FCD" w:rsidRDefault="00C03055" w:rsidP="00C03055">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Pr>
                <w:color w:val="000000" w:themeColor="text1"/>
                <w:sz w:val="20"/>
                <w:szCs w:val="20"/>
              </w:rPr>
              <w:t>2.5</w:t>
            </w:r>
            <w:r w:rsidRPr="00422FCD">
              <w:rPr>
                <w:color w:val="000000" w:themeColor="text1"/>
                <w:sz w:val="20"/>
                <w:szCs w:val="20"/>
              </w:rPr>
              <w:t>m beneficiaries</w:t>
            </w:r>
          </w:p>
          <w:p w14:paraId="20231601" w14:textId="77777777" w:rsidR="00C03055" w:rsidRPr="00422FCD" w:rsidRDefault="00C03055" w:rsidP="00C03055">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22FCD">
              <w:rPr>
                <w:color w:val="000000" w:themeColor="text1"/>
                <w:sz w:val="20"/>
                <w:szCs w:val="20"/>
              </w:rPr>
              <w:t xml:space="preserve">(468,611 </w:t>
            </w:r>
            <w:proofErr w:type="spellStart"/>
            <w:r w:rsidRPr="00422FCD">
              <w:rPr>
                <w:color w:val="000000" w:themeColor="text1"/>
                <w:sz w:val="20"/>
                <w:szCs w:val="20"/>
              </w:rPr>
              <w:t>phs</w:t>
            </w:r>
            <w:proofErr w:type="spellEnd"/>
            <w:r w:rsidRPr="00422FCD">
              <w:rPr>
                <w:color w:val="000000" w:themeColor="text1"/>
                <w:sz w:val="20"/>
                <w:szCs w:val="20"/>
              </w:rPr>
              <w:t xml:space="preserve">) </w:t>
            </w:r>
          </w:p>
        </w:tc>
        <w:tc>
          <w:tcPr>
            <w:tcW w:w="1710" w:type="dxa"/>
            <w:hideMark/>
          </w:tcPr>
          <w:p w14:paraId="7D0FD6A3" w14:textId="77777777" w:rsidR="00C03055" w:rsidRPr="00422FCD" w:rsidRDefault="00C03055" w:rsidP="00C03055">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22FCD">
              <w:rPr>
                <w:color w:val="000000" w:themeColor="text1"/>
                <w:sz w:val="20"/>
                <w:szCs w:val="20"/>
              </w:rPr>
              <w:t>3.8m beneficiaries</w:t>
            </w:r>
          </w:p>
          <w:p w14:paraId="63AA3259" w14:textId="77777777" w:rsidR="00C03055" w:rsidRPr="00422FCD" w:rsidRDefault="00C03055" w:rsidP="00C03055">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22FCD">
              <w:rPr>
                <w:color w:val="000000" w:themeColor="text1"/>
                <w:sz w:val="20"/>
                <w:szCs w:val="20"/>
              </w:rPr>
              <w:t xml:space="preserve">(593,643) </w:t>
            </w:r>
          </w:p>
        </w:tc>
        <w:tc>
          <w:tcPr>
            <w:tcW w:w="1980" w:type="dxa"/>
            <w:hideMark/>
          </w:tcPr>
          <w:p w14:paraId="135A5D9F" w14:textId="77777777" w:rsidR="00C03055" w:rsidRPr="00422FCD" w:rsidRDefault="00C03055" w:rsidP="00C03055">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22FCD">
              <w:rPr>
                <w:color w:val="000000" w:themeColor="text1"/>
                <w:sz w:val="20"/>
                <w:szCs w:val="20"/>
              </w:rPr>
              <w:t>51,300 beneficiaries</w:t>
            </w:r>
          </w:p>
          <w:p w14:paraId="0CC655B6" w14:textId="77777777" w:rsidR="00C03055" w:rsidRPr="00422FCD" w:rsidRDefault="00C03055" w:rsidP="00C03055">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22FCD">
              <w:rPr>
                <w:color w:val="000000" w:themeColor="text1"/>
                <w:sz w:val="20"/>
                <w:szCs w:val="20"/>
              </w:rPr>
              <w:t xml:space="preserve">(31,000 </w:t>
            </w:r>
            <w:proofErr w:type="spellStart"/>
            <w:r w:rsidRPr="00422FCD">
              <w:rPr>
                <w:color w:val="000000" w:themeColor="text1"/>
                <w:sz w:val="20"/>
                <w:szCs w:val="20"/>
              </w:rPr>
              <w:t>phs</w:t>
            </w:r>
            <w:proofErr w:type="spellEnd"/>
            <w:r w:rsidRPr="00422FCD">
              <w:rPr>
                <w:color w:val="000000" w:themeColor="text1"/>
                <w:sz w:val="20"/>
                <w:szCs w:val="20"/>
              </w:rPr>
              <w:t xml:space="preserve">) </w:t>
            </w:r>
          </w:p>
        </w:tc>
        <w:tc>
          <w:tcPr>
            <w:tcW w:w="1620" w:type="dxa"/>
            <w:hideMark/>
          </w:tcPr>
          <w:p w14:paraId="2FD2DC64" w14:textId="77777777" w:rsidR="00C03055" w:rsidRPr="00422FCD" w:rsidRDefault="00C03055" w:rsidP="00C03055">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22FCD">
              <w:rPr>
                <w:color w:val="000000" w:themeColor="text1"/>
                <w:sz w:val="20"/>
                <w:szCs w:val="20"/>
              </w:rPr>
              <w:t>450,000 beneficiaries</w:t>
            </w:r>
          </w:p>
          <w:p w14:paraId="475DC7C9" w14:textId="77777777" w:rsidR="00C03055" w:rsidRPr="00422FCD" w:rsidRDefault="00C03055" w:rsidP="00C03055">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22FCD">
              <w:rPr>
                <w:color w:val="000000" w:themeColor="text1"/>
                <w:sz w:val="20"/>
                <w:szCs w:val="20"/>
              </w:rPr>
              <w:t xml:space="preserve">(150,000 </w:t>
            </w:r>
            <w:proofErr w:type="spellStart"/>
            <w:r w:rsidRPr="00422FCD">
              <w:rPr>
                <w:color w:val="000000" w:themeColor="text1"/>
                <w:sz w:val="20"/>
                <w:szCs w:val="20"/>
              </w:rPr>
              <w:t>phs</w:t>
            </w:r>
            <w:proofErr w:type="spellEnd"/>
            <w:r w:rsidRPr="00422FCD">
              <w:rPr>
                <w:color w:val="000000" w:themeColor="text1"/>
                <w:sz w:val="20"/>
                <w:szCs w:val="20"/>
              </w:rPr>
              <w:t xml:space="preserve">) </w:t>
            </w:r>
          </w:p>
        </w:tc>
        <w:tc>
          <w:tcPr>
            <w:tcW w:w="1440" w:type="dxa"/>
            <w:hideMark/>
          </w:tcPr>
          <w:p w14:paraId="73C65397" w14:textId="77777777" w:rsidR="00C03055" w:rsidRPr="00422FCD" w:rsidRDefault="00C03055" w:rsidP="00C03055">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22FCD">
              <w:rPr>
                <w:color w:val="000000" w:themeColor="text1"/>
                <w:sz w:val="20"/>
                <w:szCs w:val="20"/>
              </w:rPr>
              <w:t xml:space="preserve">440,000 beneficiaries </w:t>
            </w:r>
          </w:p>
        </w:tc>
      </w:tr>
      <w:tr w:rsidR="00C03055" w:rsidRPr="00422FCD" w14:paraId="4F3B9258" w14:textId="77777777" w:rsidTr="007C1491">
        <w:trPr>
          <w:cnfStyle w:val="000000010000" w:firstRow="0" w:lastRow="0" w:firstColumn="0" w:lastColumn="0" w:oddVBand="0" w:evenVBand="0" w:oddHBand="0" w:evenHBand="1"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1480" w:type="dxa"/>
            <w:hideMark/>
          </w:tcPr>
          <w:p w14:paraId="7F801DA5" w14:textId="77777777" w:rsidR="00C03055" w:rsidRPr="00422FCD" w:rsidRDefault="00C03055" w:rsidP="00C03055">
            <w:pPr>
              <w:rPr>
                <w:rFonts w:asciiTheme="minorHAnsi" w:hAnsiTheme="minorHAnsi"/>
                <w:color w:val="000000" w:themeColor="text1"/>
                <w:sz w:val="20"/>
                <w:szCs w:val="20"/>
              </w:rPr>
            </w:pPr>
            <w:r w:rsidRPr="00422FCD">
              <w:rPr>
                <w:rFonts w:asciiTheme="minorHAnsi" w:hAnsiTheme="minorHAnsi"/>
                <w:color w:val="000000" w:themeColor="text1"/>
                <w:sz w:val="20"/>
                <w:szCs w:val="20"/>
              </w:rPr>
              <w:t xml:space="preserve">Coverage % </w:t>
            </w:r>
          </w:p>
        </w:tc>
        <w:tc>
          <w:tcPr>
            <w:tcW w:w="1418" w:type="dxa"/>
            <w:hideMark/>
          </w:tcPr>
          <w:p w14:paraId="70FE397A" w14:textId="77777777" w:rsidR="00C03055" w:rsidRPr="00422FCD" w:rsidRDefault="00C03055" w:rsidP="00C03055">
            <w:pPr>
              <w:cnfStyle w:val="000000010000" w:firstRow="0" w:lastRow="0" w:firstColumn="0" w:lastColumn="0" w:oddVBand="0" w:evenVBand="0" w:oddHBand="0" w:evenHBand="1" w:firstRowFirstColumn="0" w:firstRowLastColumn="0" w:lastRowFirstColumn="0" w:lastRowLastColumn="0"/>
              <w:rPr>
                <w:color w:val="000000" w:themeColor="text1"/>
                <w:sz w:val="20"/>
                <w:szCs w:val="20"/>
              </w:rPr>
            </w:pPr>
            <w:r w:rsidRPr="00422FCD">
              <w:rPr>
                <w:color w:val="000000" w:themeColor="text1"/>
                <w:sz w:val="20"/>
                <w:szCs w:val="20"/>
              </w:rPr>
              <w:t xml:space="preserve">5.6% </w:t>
            </w:r>
          </w:p>
        </w:tc>
        <w:tc>
          <w:tcPr>
            <w:tcW w:w="1710" w:type="dxa"/>
            <w:hideMark/>
          </w:tcPr>
          <w:p w14:paraId="63EFE4F2" w14:textId="77777777" w:rsidR="00C03055" w:rsidRPr="00422FCD" w:rsidRDefault="00C03055" w:rsidP="00C03055">
            <w:pPr>
              <w:cnfStyle w:val="000000010000" w:firstRow="0" w:lastRow="0" w:firstColumn="0" w:lastColumn="0" w:oddVBand="0" w:evenVBand="0" w:oddHBand="0" w:evenHBand="1" w:firstRowFirstColumn="0" w:firstRowLastColumn="0" w:lastRowFirstColumn="0" w:lastRowLastColumn="0"/>
              <w:rPr>
                <w:color w:val="000000" w:themeColor="text1"/>
                <w:sz w:val="20"/>
                <w:szCs w:val="20"/>
              </w:rPr>
            </w:pPr>
            <w:r w:rsidRPr="00422FCD">
              <w:rPr>
                <w:color w:val="000000" w:themeColor="text1"/>
                <w:sz w:val="20"/>
                <w:szCs w:val="20"/>
              </w:rPr>
              <w:t xml:space="preserve">8.4% </w:t>
            </w:r>
          </w:p>
        </w:tc>
        <w:tc>
          <w:tcPr>
            <w:tcW w:w="1980" w:type="dxa"/>
            <w:hideMark/>
          </w:tcPr>
          <w:p w14:paraId="052EF9D9" w14:textId="77777777" w:rsidR="00C03055" w:rsidRPr="00422FCD" w:rsidRDefault="00C03055" w:rsidP="00C03055">
            <w:pPr>
              <w:cnfStyle w:val="000000010000" w:firstRow="0" w:lastRow="0" w:firstColumn="0" w:lastColumn="0" w:oddVBand="0" w:evenVBand="0" w:oddHBand="0" w:evenHBand="1" w:firstRowFirstColumn="0" w:firstRowLastColumn="0" w:lastRowFirstColumn="0" w:lastRowLastColumn="0"/>
              <w:rPr>
                <w:color w:val="000000" w:themeColor="text1"/>
                <w:sz w:val="20"/>
                <w:szCs w:val="20"/>
              </w:rPr>
            </w:pPr>
            <w:r w:rsidRPr="00422FCD">
              <w:rPr>
                <w:color w:val="000000" w:themeColor="text1"/>
                <w:sz w:val="20"/>
                <w:szCs w:val="20"/>
              </w:rPr>
              <w:t xml:space="preserve">0.12% </w:t>
            </w:r>
          </w:p>
        </w:tc>
        <w:tc>
          <w:tcPr>
            <w:tcW w:w="1620" w:type="dxa"/>
            <w:hideMark/>
          </w:tcPr>
          <w:p w14:paraId="7633BCD1" w14:textId="77777777" w:rsidR="00C03055" w:rsidRPr="00422FCD" w:rsidRDefault="00C03055" w:rsidP="00C03055">
            <w:pPr>
              <w:cnfStyle w:val="000000010000" w:firstRow="0" w:lastRow="0" w:firstColumn="0" w:lastColumn="0" w:oddVBand="0" w:evenVBand="0" w:oddHBand="0" w:evenHBand="1" w:firstRowFirstColumn="0" w:firstRowLastColumn="0" w:lastRowFirstColumn="0" w:lastRowLastColumn="0"/>
              <w:rPr>
                <w:color w:val="000000" w:themeColor="text1"/>
                <w:sz w:val="20"/>
                <w:szCs w:val="20"/>
              </w:rPr>
            </w:pPr>
            <w:r w:rsidRPr="00422FCD">
              <w:rPr>
                <w:color w:val="000000" w:themeColor="text1"/>
                <w:sz w:val="20"/>
                <w:szCs w:val="20"/>
              </w:rPr>
              <w:t xml:space="preserve">1.02% </w:t>
            </w:r>
          </w:p>
        </w:tc>
        <w:tc>
          <w:tcPr>
            <w:tcW w:w="1440" w:type="dxa"/>
            <w:hideMark/>
          </w:tcPr>
          <w:p w14:paraId="39DF869A" w14:textId="77777777" w:rsidR="00C03055" w:rsidRPr="00422FCD" w:rsidRDefault="00C03055" w:rsidP="00C03055">
            <w:pPr>
              <w:cnfStyle w:val="000000010000" w:firstRow="0" w:lastRow="0" w:firstColumn="0" w:lastColumn="0" w:oddVBand="0" w:evenVBand="0" w:oddHBand="0" w:evenHBand="1" w:firstRowFirstColumn="0" w:firstRowLastColumn="0" w:lastRowFirstColumn="0" w:lastRowLastColumn="0"/>
              <w:rPr>
                <w:color w:val="000000" w:themeColor="text1"/>
                <w:sz w:val="20"/>
                <w:szCs w:val="20"/>
              </w:rPr>
            </w:pPr>
            <w:r w:rsidRPr="00422FCD">
              <w:rPr>
                <w:color w:val="000000" w:themeColor="text1"/>
                <w:sz w:val="20"/>
                <w:szCs w:val="20"/>
              </w:rPr>
              <w:t xml:space="preserve">1% </w:t>
            </w:r>
          </w:p>
        </w:tc>
      </w:tr>
      <w:tr w:rsidR="00C03055" w:rsidRPr="00422FCD" w14:paraId="76B99FBA" w14:textId="77777777" w:rsidTr="007C1491">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1480" w:type="dxa"/>
            <w:hideMark/>
          </w:tcPr>
          <w:p w14:paraId="3B6A0FFD" w14:textId="77777777" w:rsidR="00C03055" w:rsidRPr="00422FCD" w:rsidRDefault="00C03055" w:rsidP="00C03055">
            <w:pPr>
              <w:rPr>
                <w:rFonts w:asciiTheme="minorHAnsi" w:hAnsiTheme="minorHAnsi"/>
                <w:color w:val="000000" w:themeColor="text1"/>
                <w:sz w:val="20"/>
                <w:szCs w:val="20"/>
              </w:rPr>
            </w:pPr>
            <w:r w:rsidRPr="00422FCD">
              <w:rPr>
                <w:rFonts w:asciiTheme="minorHAnsi" w:hAnsiTheme="minorHAnsi"/>
                <w:color w:val="000000" w:themeColor="text1"/>
                <w:sz w:val="20"/>
                <w:szCs w:val="20"/>
              </w:rPr>
              <w:t xml:space="preserve">Market segment </w:t>
            </w:r>
          </w:p>
        </w:tc>
        <w:tc>
          <w:tcPr>
            <w:tcW w:w="1418" w:type="dxa"/>
            <w:hideMark/>
          </w:tcPr>
          <w:p w14:paraId="6EF42477" w14:textId="77777777" w:rsidR="00C03055" w:rsidRPr="00422FCD" w:rsidRDefault="00C03055" w:rsidP="00C03055">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22FCD">
              <w:rPr>
                <w:color w:val="000000" w:themeColor="text1"/>
                <w:sz w:val="20"/>
                <w:szCs w:val="20"/>
              </w:rPr>
              <w:t xml:space="preserve">Civil servant (+Private) </w:t>
            </w:r>
          </w:p>
        </w:tc>
        <w:tc>
          <w:tcPr>
            <w:tcW w:w="1710" w:type="dxa"/>
            <w:hideMark/>
          </w:tcPr>
          <w:p w14:paraId="2727D4FB" w14:textId="77777777" w:rsidR="00C03055" w:rsidRPr="00422FCD" w:rsidRDefault="00C03055" w:rsidP="00C03055">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22FCD">
              <w:rPr>
                <w:color w:val="000000" w:themeColor="text1"/>
                <w:sz w:val="20"/>
                <w:szCs w:val="20"/>
              </w:rPr>
              <w:t>Informal</w:t>
            </w:r>
          </w:p>
          <w:p w14:paraId="3E225C74" w14:textId="4ED30126" w:rsidR="00C03055" w:rsidRPr="00422FCD" w:rsidRDefault="00C03055" w:rsidP="007C1491">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Pr>
                <w:color w:val="000000" w:themeColor="text1"/>
                <w:sz w:val="20"/>
                <w:szCs w:val="20"/>
              </w:rPr>
              <w:t xml:space="preserve">Low </w:t>
            </w:r>
            <w:r w:rsidRPr="00422FCD">
              <w:rPr>
                <w:color w:val="000000" w:themeColor="text1"/>
                <w:sz w:val="20"/>
                <w:szCs w:val="20"/>
              </w:rPr>
              <w:t xml:space="preserve">Income H/holds </w:t>
            </w:r>
          </w:p>
        </w:tc>
        <w:tc>
          <w:tcPr>
            <w:tcW w:w="1980" w:type="dxa"/>
            <w:hideMark/>
          </w:tcPr>
          <w:p w14:paraId="47419B9E" w14:textId="77777777" w:rsidR="00C03055" w:rsidRPr="00422FCD" w:rsidRDefault="00C03055" w:rsidP="007C1491">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22FCD">
              <w:rPr>
                <w:color w:val="000000" w:themeColor="text1"/>
                <w:sz w:val="20"/>
                <w:szCs w:val="20"/>
              </w:rPr>
              <w:t xml:space="preserve">Formal + Semi formal </w:t>
            </w:r>
          </w:p>
        </w:tc>
        <w:tc>
          <w:tcPr>
            <w:tcW w:w="1620" w:type="dxa"/>
            <w:hideMark/>
          </w:tcPr>
          <w:p w14:paraId="3AFBCF32" w14:textId="77777777" w:rsidR="00C03055" w:rsidRPr="00422FCD" w:rsidRDefault="00C03055" w:rsidP="00C03055">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22FCD">
              <w:rPr>
                <w:color w:val="000000" w:themeColor="text1"/>
                <w:sz w:val="20"/>
                <w:szCs w:val="20"/>
              </w:rPr>
              <w:t xml:space="preserve">Private </w:t>
            </w:r>
          </w:p>
        </w:tc>
        <w:tc>
          <w:tcPr>
            <w:tcW w:w="1440" w:type="dxa"/>
            <w:hideMark/>
          </w:tcPr>
          <w:p w14:paraId="69487FFD" w14:textId="77777777" w:rsidR="00C03055" w:rsidRPr="00422FCD" w:rsidRDefault="00C03055" w:rsidP="00C03055">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22FCD">
              <w:rPr>
                <w:color w:val="000000" w:themeColor="text1"/>
                <w:sz w:val="20"/>
                <w:szCs w:val="20"/>
              </w:rPr>
              <w:t>Informal</w:t>
            </w:r>
          </w:p>
          <w:p w14:paraId="1D62EA0C" w14:textId="77777777" w:rsidR="00C03055" w:rsidRPr="00422FCD" w:rsidRDefault="00C03055" w:rsidP="007C1491">
            <w:pPr>
              <w:jc w:val="lef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22FCD">
              <w:rPr>
                <w:color w:val="000000" w:themeColor="text1"/>
                <w:sz w:val="20"/>
                <w:szCs w:val="20"/>
              </w:rPr>
              <w:t xml:space="preserve">Low Income H/holds </w:t>
            </w:r>
          </w:p>
        </w:tc>
      </w:tr>
      <w:tr w:rsidR="00C03055" w:rsidRPr="00422FCD" w14:paraId="4D0DA542" w14:textId="77777777" w:rsidTr="007C1491">
        <w:trPr>
          <w:cnfStyle w:val="000000010000" w:firstRow="0" w:lastRow="0" w:firstColumn="0" w:lastColumn="0" w:oddVBand="0" w:evenVBand="0" w:oddHBand="0" w:evenHBand="1"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1480" w:type="dxa"/>
            <w:hideMark/>
          </w:tcPr>
          <w:p w14:paraId="4A31ACD0" w14:textId="77777777" w:rsidR="00C03055" w:rsidRPr="00422FCD" w:rsidRDefault="00C03055" w:rsidP="00C03055">
            <w:pPr>
              <w:rPr>
                <w:rFonts w:asciiTheme="minorHAnsi" w:hAnsiTheme="minorHAnsi"/>
                <w:color w:val="000000" w:themeColor="text1"/>
                <w:sz w:val="20"/>
                <w:szCs w:val="20"/>
              </w:rPr>
            </w:pPr>
            <w:r w:rsidRPr="00422FCD">
              <w:rPr>
                <w:rFonts w:asciiTheme="minorHAnsi" w:hAnsiTheme="minorHAnsi"/>
                <w:color w:val="000000" w:themeColor="text1"/>
                <w:sz w:val="20"/>
                <w:szCs w:val="20"/>
              </w:rPr>
              <w:t xml:space="preserve">Enrollment </w:t>
            </w:r>
          </w:p>
        </w:tc>
        <w:tc>
          <w:tcPr>
            <w:tcW w:w="1418" w:type="dxa"/>
            <w:hideMark/>
          </w:tcPr>
          <w:p w14:paraId="6EBF8658" w14:textId="77777777" w:rsidR="00C03055" w:rsidRPr="00422FCD" w:rsidRDefault="00C03055" w:rsidP="00C03055">
            <w:pPr>
              <w:cnfStyle w:val="000000010000" w:firstRow="0" w:lastRow="0" w:firstColumn="0" w:lastColumn="0" w:oddVBand="0" w:evenVBand="0" w:oddHBand="0" w:evenHBand="1" w:firstRowFirstColumn="0" w:firstRowLastColumn="0" w:lastRowFirstColumn="0" w:lastRowLastColumn="0"/>
              <w:rPr>
                <w:color w:val="000000" w:themeColor="text1"/>
                <w:sz w:val="20"/>
                <w:szCs w:val="20"/>
              </w:rPr>
            </w:pPr>
            <w:r w:rsidRPr="00422FCD">
              <w:rPr>
                <w:color w:val="000000" w:themeColor="text1"/>
                <w:sz w:val="20"/>
                <w:szCs w:val="20"/>
              </w:rPr>
              <w:t xml:space="preserve">Mandatory </w:t>
            </w:r>
          </w:p>
        </w:tc>
        <w:tc>
          <w:tcPr>
            <w:tcW w:w="1710" w:type="dxa"/>
            <w:hideMark/>
          </w:tcPr>
          <w:p w14:paraId="4491D58E" w14:textId="77777777" w:rsidR="00C03055" w:rsidRPr="00422FCD" w:rsidRDefault="00C03055" w:rsidP="00C03055">
            <w:pPr>
              <w:cnfStyle w:val="000000010000" w:firstRow="0" w:lastRow="0" w:firstColumn="0" w:lastColumn="0" w:oddVBand="0" w:evenVBand="0" w:oddHBand="0" w:evenHBand="1" w:firstRowFirstColumn="0" w:firstRowLastColumn="0" w:lastRowFirstColumn="0" w:lastRowLastColumn="0"/>
              <w:rPr>
                <w:color w:val="000000" w:themeColor="text1"/>
                <w:sz w:val="20"/>
                <w:szCs w:val="20"/>
              </w:rPr>
            </w:pPr>
            <w:r w:rsidRPr="00422FCD">
              <w:rPr>
                <w:color w:val="000000" w:themeColor="text1"/>
                <w:sz w:val="20"/>
                <w:szCs w:val="20"/>
              </w:rPr>
              <w:t xml:space="preserve">Voluntary </w:t>
            </w:r>
          </w:p>
        </w:tc>
        <w:tc>
          <w:tcPr>
            <w:tcW w:w="1980" w:type="dxa"/>
            <w:hideMark/>
          </w:tcPr>
          <w:p w14:paraId="29BA7E88" w14:textId="77777777" w:rsidR="00C03055" w:rsidRPr="00422FCD" w:rsidRDefault="00C03055" w:rsidP="00C03055">
            <w:pPr>
              <w:cnfStyle w:val="000000010000" w:firstRow="0" w:lastRow="0" w:firstColumn="0" w:lastColumn="0" w:oddVBand="0" w:evenVBand="0" w:oddHBand="0" w:evenHBand="1" w:firstRowFirstColumn="0" w:firstRowLastColumn="0" w:lastRowFirstColumn="0" w:lastRowLastColumn="0"/>
              <w:rPr>
                <w:color w:val="000000" w:themeColor="text1"/>
                <w:sz w:val="20"/>
                <w:szCs w:val="20"/>
              </w:rPr>
            </w:pPr>
            <w:r w:rsidRPr="00422FCD">
              <w:rPr>
                <w:color w:val="000000" w:themeColor="text1"/>
                <w:sz w:val="20"/>
                <w:szCs w:val="20"/>
              </w:rPr>
              <w:t xml:space="preserve">Voluntary </w:t>
            </w:r>
          </w:p>
        </w:tc>
        <w:tc>
          <w:tcPr>
            <w:tcW w:w="1620" w:type="dxa"/>
            <w:hideMark/>
          </w:tcPr>
          <w:p w14:paraId="7294E7FE" w14:textId="77777777" w:rsidR="00C03055" w:rsidRPr="00422FCD" w:rsidRDefault="00C03055" w:rsidP="00C03055">
            <w:pPr>
              <w:cnfStyle w:val="000000010000" w:firstRow="0" w:lastRow="0" w:firstColumn="0" w:lastColumn="0" w:oddVBand="0" w:evenVBand="0" w:oddHBand="0" w:evenHBand="1" w:firstRowFirstColumn="0" w:firstRowLastColumn="0" w:lastRowFirstColumn="0" w:lastRowLastColumn="0"/>
              <w:rPr>
                <w:color w:val="000000" w:themeColor="text1"/>
                <w:sz w:val="20"/>
                <w:szCs w:val="20"/>
              </w:rPr>
            </w:pPr>
            <w:r w:rsidRPr="00422FCD">
              <w:rPr>
                <w:color w:val="000000" w:themeColor="text1"/>
                <w:sz w:val="20"/>
                <w:szCs w:val="20"/>
              </w:rPr>
              <w:t xml:space="preserve">Voluntary </w:t>
            </w:r>
          </w:p>
        </w:tc>
        <w:tc>
          <w:tcPr>
            <w:tcW w:w="1440" w:type="dxa"/>
            <w:hideMark/>
          </w:tcPr>
          <w:p w14:paraId="5594EB24" w14:textId="77777777" w:rsidR="00C03055" w:rsidRPr="00422FCD" w:rsidRDefault="00C03055" w:rsidP="00C03055">
            <w:pPr>
              <w:cnfStyle w:val="000000010000" w:firstRow="0" w:lastRow="0" w:firstColumn="0" w:lastColumn="0" w:oddVBand="0" w:evenVBand="0" w:oddHBand="0" w:evenHBand="1" w:firstRowFirstColumn="0" w:firstRowLastColumn="0" w:lastRowFirstColumn="0" w:lastRowLastColumn="0"/>
              <w:rPr>
                <w:color w:val="000000" w:themeColor="text1"/>
                <w:sz w:val="20"/>
                <w:szCs w:val="20"/>
              </w:rPr>
            </w:pPr>
            <w:r w:rsidRPr="00422FCD">
              <w:rPr>
                <w:color w:val="000000" w:themeColor="text1"/>
                <w:sz w:val="20"/>
                <w:szCs w:val="20"/>
              </w:rPr>
              <w:t xml:space="preserve">Voluntary </w:t>
            </w:r>
          </w:p>
        </w:tc>
      </w:tr>
      <w:tr w:rsidR="00C03055" w:rsidRPr="00422FCD" w14:paraId="3449D939" w14:textId="77777777" w:rsidTr="007C1491">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1480" w:type="dxa"/>
            <w:hideMark/>
          </w:tcPr>
          <w:p w14:paraId="1F89C55F" w14:textId="77777777" w:rsidR="00C03055" w:rsidRPr="00422FCD" w:rsidRDefault="00C03055" w:rsidP="00C03055">
            <w:pPr>
              <w:rPr>
                <w:rFonts w:asciiTheme="minorHAnsi" w:hAnsiTheme="minorHAnsi"/>
                <w:color w:val="000000" w:themeColor="text1"/>
                <w:sz w:val="20"/>
                <w:szCs w:val="20"/>
              </w:rPr>
            </w:pPr>
            <w:r w:rsidRPr="00422FCD">
              <w:rPr>
                <w:rFonts w:asciiTheme="minorHAnsi" w:hAnsiTheme="minorHAnsi"/>
                <w:color w:val="000000" w:themeColor="text1"/>
                <w:sz w:val="20"/>
                <w:szCs w:val="20"/>
              </w:rPr>
              <w:t>Collection meth</w:t>
            </w:r>
          </w:p>
        </w:tc>
        <w:tc>
          <w:tcPr>
            <w:tcW w:w="1418" w:type="dxa"/>
            <w:hideMark/>
          </w:tcPr>
          <w:p w14:paraId="036592AD" w14:textId="77777777" w:rsidR="00C03055" w:rsidRPr="00422FCD" w:rsidRDefault="00C03055" w:rsidP="00C03055">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22FCD">
              <w:rPr>
                <w:color w:val="000000" w:themeColor="text1"/>
                <w:sz w:val="20"/>
                <w:szCs w:val="20"/>
              </w:rPr>
              <w:t xml:space="preserve">Payroll deduction </w:t>
            </w:r>
          </w:p>
        </w:tc>
        <w:tc>
          <w:tcPr>
            <w:tcW w:w="1710" w:type="dxa"/>
            <w:hideMark/>
          </w:tcPr>
          <w:p w14:paraId="6AB89D0F" w14:textId="77777777" w:rsidR="00C03055" w:rsidRPr="00422FCD" w:rsidRDefault="00C03055" w:rsidP="00C03055">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22FCD">
              <w:rPr>
                <w:color w:val="000000" w:themeColor="text1"/>
                <w:sz w:val="20"/>
                <w:szCs w:val="20"/>
              </w:rPr>
              <w:t xml:space="preserve">Remit @ HF </w:t>
            </w:r>
          </w:p>
        </w:tc>
        <w:tc>
          <w:tcPr>
            <w:tcW w:w="1980" w:type="dxa"/>
            <w:hideMark/>
          </w:tcPr>
          <w:p w14:paraId="476E3AB7" w14:textId="77777777" w:rsidR="00C03055" w:rsidRPr="00422FCD" w:rsidRDefault="00C03055" w:rsidP="00C03055">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22FCD">
              <w:rPr>
                <w:color w:val="000000" w:themeColor="text1"/>
                <w:sz w:val="20"/>
                <w:szCs w:val="20"/>
              </w:rPr>
              <w:t xml:space="preserve">Payroll deduction </w:t>
            </w:r>
          </w:p>
        </w:tc>
        <w:tc>
          <w:tcPr>
            <w:tcW w:w="1620" w:type="dxa"/>
            <w:hideMark/>
          </w:tcPr>
          <w:p w14:paraId="6ACF5864" w14:textId="77777777" w:rsidR="00C03055" w:rsidRPr="00422FCD" w:rsidRDefault="00C03055" w:rsidP="00C03055">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22FCD">
              <w:rPr>
                <w:color w:val="000000" w:themeColor="text1"/>
                <w:sz w:val="20"/>
                <w:szCs w:val="20"/>
              </w:rPr>
              <w:t xml:space="preserve">Remit to PHIs </w:t>
            </w:r>
          </w:p>
        </w:tc>
        <w:tc>
          <w:tcPr>
            <w:tcW w:w="1440" w:type="dxa"/>
            <w:hideMark/>
          </w:tcPr>
          <w:p w14:paraId="2F7EF355" w14:textId="77777777" w:rsidR="00C03055" w:rsidRPr="00422FCD" w:rsidRDefault="00C03055" w:rsidP="007C1491">
            <w:pPr>
              <w:jc w:val="lef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22FCD">
              <w:rPr>
                <w:color w:val="000000" w:themeColor="text1"/>
                <w:sz w:val="20"/>
                <w:szCs w:val="20"/>
              </w:rPr>
              <w:t xml:space="preserve">Remit to CBHI </w:t>
            </w:r>
          </w:p>
        </w:tc>
      </w:tr>
      <w:tr w:rsidR="00C03055" w:rsidRPr="00422FCD" w14:paraId="2BBE9E31" w14:textId="77777777" w:rsidTr="007C1491">
        <w:trPr>
          <w:cnfStyle w:val="000000010000" w:firstRow="0" w:lastRow="0" w:firstColumn="0" w:lastColumn="0" w:oddVBand="0" w:evenVBand="0" w:oddHBand="0" w:evenHBand="1"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1480" w:type="dxa"/>
            <w:hideMark/>
          </w:tcPr>
          <w:p w14:paraId="101F3547" w14:textId="77777777" w:rsidR="00C03055" w:rsidRPr="00422FCD" w:rsidRDefault="00C03055" w:rsidP="00C03055">
            <w:pPr>
              <w:rPr>
                <w:rFonts w:asciiTheme="minorHAnsi" w:hAnsiTheme="minorHAnsi"/>
                <w:color w:val="000000" w:themeColor="text1"/>
                <w:sz w:val="20"/>
                <w:szCs w:val="20"/>
              </w:rPr>
            </w:pPr>
            <w:r w:rsidRPr="00422FCD">
              <w:rPr>
                <w:rFonts w:asciiTheme="minorHAnsi" w:hAnsiTheme="minorHAnsi"/>
                <w:color w:val="000000" w:themeColor="text1"/>
                <w:sz w:val="20"/>
                <w:szCs w:val="20"/>
              </w:rPr>
              <w:t>Premium range</w:t>
            </w:r>
          </w:p>
        </w:tc>
        <w:tc>
          <w:tcPr>
            <w:tcW w:w="1418" w:type="dxa"/>
            <w:hideMark/>
          </w:tcPr>
          <w:p w14:paraId="184BA8E8" w14:textId="77777777" w:rsidR="00C03055" w:rsidRPr="00422FCD" w:rsidRDefault="00C03055" w:rsidP="007C1491">
            <w:pPr>
              <w:jc w:val="left"/>
              <w:cnfStyle w:val="000000010000" w:firstRow="0" w:lastRow="0" w:firstColumn="0" w:lastColumn="0" w:oddVBand="0" w:evenVBand="0" w:oddHBand="0" w:evenHBand="1" w:firstRowFirstColumn="0" w:firstRowLastColumn="0" w:lastRowFirstColumn="0" w:lastRowLastColumn="0"/>
              <w:rPr>
                <w:color w:val="000000" w:themeColor="text1"/>
                <w:sz w:val="20"/>
                <w:szCs w:val="20"/>
              </w:rPr>
            </w:pPr>
            <w:r w:rsidRPr="00422FCD">
              <w:rPr>
                <w:color w:val="000000" w:themeColor="text1"/>
                <w:sz w:val="20"/>
                <w:szCs w:val="20"/>
              </w:rPr>
              <w:t xml:space="preserve">6% of salary </w:t>
            </w:r>
            <w:proofErr w:type="spellStart"/>
            <w:r w:rsidRPr="00422FCD">
              <w:rPr>
                <w:color w:val="000000" w:themeColor="text1"/>
                <w:sz w:val="20"/>
                <w:szCs w:val="20"/>
              </w:rPr>
              <w:t>p.m</w:t>
            </w:r>
            <w:proofErr w:type="spellEnd"/>
            <w:r w:rsidRPr="00422FCD">
              <w:rPr>
                <w:color w:val="000000" w:themeColor="text1"/>
                <w:sz w:val="20"/>
                <w:szCs w:val="20"/>
              </w:rPr>
              <w:t xml:space="preserve"> (50/50 for employer/employee)</w:t>
            </w:r>
          </w:p>
        </w:tc>
        <w:tc>
          <w:tcPr>
            <w:tcW w:w="1710" w:type="dxa"/>
            <w:hideMark/>
          </w:tcPr>
          <w:p w14:paraId="299B8408" w14:textId="77777777" w:rsidR="00C03055" w:rsidRPr="00422FCD" w:rsidRDefault="00C03055" w:rsidP="00C03055">
            <w:pPr>
              <w:cnfStyle w:val="000000010000" w:firstRow="0" w:lastRow="0" w:firstColumn="0" w:lastColumn="0" w:oddVBand="0" w:evenVBand="0" w:oddHBand="0" w:evenHBand="1" w:firstRowFirstColumn="0" w:firstRowLastColumn="0" w:lastRowFirstColumn="0" w:lastRowLastColumn="0"/>
              <w:rPr>
                <w:color w:val="000000" w:themeColor="text1"/>
                <w:sz w:val="20"/>
                <w:szCs w:val="20"/>
              </w:rPr>
            </w:pPr>
            <w:r w:rsidRPr="00422FCD">
              <w:rPr>
                <w:color w:val="000000" w:themeColor="text1"/>
                <w:sz w:val="20"/>
                <w:szCs w:val="20"/>
              </w:rPr>
              <w:t>5,000-15,000 (+Matching grant)</w:t>
            </w:r>
            <w:proofErr w:type="spellStart"/>
            <w:r w:rsidRPr="00422FCD">
              <w:rPr>
                <w:color w:val="000000" w:themeColor="text1"/>
                <w:sz w:val="20"/>
                <w:szCs w:val="20"/>
              </w:rPr>
              <w:t>p.a</w:t>
            </w:r>
            <w:proofErr w:type="spellEnd"/>
            <w:r w:rsidRPr="00422FCD">
              <w:rPr>
                <w:color w:val="000000" w:themeColor="text1"/>
                <w:sz w:val="20"/>
                <w:szCs w:val="20"/>
              </w:rPr>
              <w:t xml:space="preserve"> </w:t>
            </w:r>
          </w:p>
        </w:tc>
        <w:tc>
          <w:tcPr>
            <w:tcW w:w="1980" w:type="dxa"/>
            <w:hideMark/>
          </w:tcPr>
          <w:p w14:paraId="4E24DFC7" w14:textId="77777777" w:rsidR="00C03055" w:rsidRPr="00422FCD" w:rsidRDefault="00C03055" w:rsidP="007C1491">
            <w:pPr>
              <w:jc w:val="left"/>
              <w:cnfStyle w:val="000000010000" w:firstRow="0" w:lastRow="0" w:firstColumn="0" w:lastColumn="0" w:oddVBand="0" w:evenVBand="0" w:oddHBand="0" w:evenHBand="1" w:firstRowFirstColumn="0" w:firstRowLastColumn="0" w:lastRowFirstColumn="0" w:lastRowLastColumn="0"/>
              <w:rPr>
                <w:color w:val="000000" w:themeColor="text1"/>
                <w:sz w:val="20"/>
                <w:szCs w:val="20"/>
              </w:rPr>
            </w:pPr>
            <w:r w:rsidRPr="00422FCD">
              <w:rPr>
                <w:color w:val="000000" w:themeColor="text1"/>
                <w:sz w:val="20"/>
                <w:szCs w:val="20"/>
              </w:rPr>
              <w:t xml:space="preserve">Part of 20% contribution </w:t>
            </w:r>
            <w:proofErr w:type="spellStart"/>
            <w:r w:rsidRPr="00422FCD">
              <w:rPr>
                <w:color w:val="000000" w:themeColor="text1"/>
                <w:sz w:val="20"/>
                <w:szCs w:val="20"/>
              </w:rPr>
              <w:t>p.m</w:t>
            </w:r>
            <w:proofErr w:type="spellEnd"/>
            <w:r w:rsidRPr="00422FCD">
              <w:rPr>
                <w:color w:val="000000" w:themeColor="text1"/>
                <w:sz w:val="20"/>
                <w:szCs w:val="20"/>
              </w:rPr>
              <w:t xml:space="preserve"> </w:t>
            </w:r>
          </w:p>
        </w:tc>
        <w:tc>
          <w:tcPr>
            <w:tcW w:w="1620" w:type="dxa"/>
            <w:hideMark/>
          </w:tcPr>
          <w:p w14:paraId="77A9A9F5" w14:textId="77777777" w:rsidR="00C03055" w:rsidRPr="00422FCD" w:rsidRDefault="00C03055" w:rsidP="007C1491">
            <w:pPr>
              <w:jc w:val="left"/>
              <w:cnfStyle w:val="000000010000" w:firstRow="0" w:lastRow="0" w:firstColumn="0" w:lastColumn="0" w:oddVBand="0" w:evenVBand="0" w:oddHBand="0" w:evenHBand="1" w:firstRowFirstColumn="0" w:firstRowLastColumn="0" w:lastRowFirstColumn="0" w:lastRowLastColumn="0"/>
              <w:rPr>
                <w:color w:val="000000" w:themeColor="text1"/>
                <w:sz w:val="20"/>
                <w:szCs w:val="20"/>
              </w:rPr>
            </w:pPr>
            <w:r w:rsidRPr="00422FCD">
              <w:rPr>
                <w:color w:val="000000" w:themeColor="text1"/>
                <w:sz w:val="20"/>
                <w:szCs w:val="20"/>
              </w:rPr>
              <w:t xml:space="preserve">300,000 – 950,000 </w:t>
            </w:r>
            <w:proofErr w:type="spellStart"/>
            <w:r w:rsidRPr="00422FCD">
              <w:rPr>
                <w:color w:val="000000" w:themeColor="text1"/>
                <w:sz w:val="20"/>
                <w:szCs w:val="20"/>
              </w:rPr>
              <w:t>p.a</w:t>
            </w:r>
            <w:proofErr w:type="spellEnd"/>
            <w:r w:rsidRPr="00422FCD">
              <w:rPr>
                <w:color w:val="000000" w:themeColor="text1"/>
                <w:sz w:val="20"/>
                <w:szCs w:val="20"/>
              </w:rPr>
              <w:t xml:space="preserve"> </w:t>
            </w:r>
          </w:p>
        </w:tc>
        <w:tc>
          <w:tcPr>
            <w:tcW w:w="1440" w:type="dxa"/>
            <w:hideMark/>
          </w:tcPr>
          <w:p w14:paraId="42EA25F2" w14:textId="77777777" w:rsidR="00C03055" w:rsidRPr="00422FCD" w:rsidRDefault="00C03055" w:rsidP="00C03055">
            <w:pPr>
              <w:cnfStyle w:val="000000010000" w:firstRow="0" w:lastRow="0" w:firstColumn="0" w:lastColumn="0" w:oddVBand="0" w:evenVBand="0" w:oddHBand="0" w:evenHBand="1" w:firstRowFirstColumn="0" w:firstRowLastColumn="0" w:lastRowFirstColumn="0" w:lastRowLastColumn="0"/>
              <w:rPr>
                <w:color w:val="000000" w:themeColor="text1"/>
                <w:sz w:val="20"/>
                <w:szCs w:val="20"/>
              </w:rPr>
            </w:pPr>
            <w:r w:rsidRPr="00422FCD">
              <w:rPr>
                <w:color w:val="000000" w:themeColor="text1"/>
                <w:sz w:val="20"/>
                <w:szCs w:val="20"/>
              </w:rPr>
              <w:t xml:space="preserve">30,000 – 40,000p.a </w:t>
            </w:r>
          </w:p>
        </w:tc>
      </w:tr>
      <w:tr w:rsidR="00C03055" w:rsidRPr="00422FCD" w14:paraId="5D030249" w14:textId="77777777" w:rsidTr="007C1491">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1480" w:type="dxa"/>
            <w:hideMark/>
          </w:tcPr>
          <w:p w14:paraId="4AC77925" w14:textId="77777777" w:rsidR="00C03055" w:rsidRPr="00422FCD" w:rsidRDefault="00C03055" w:rsidP="00C03055">
            <w:pPr>
              <w:rPr>
                <w:rFonts w:asciiTheme="minorHAnsi" w:hAnsiTheme="minorHAnsi"/>
                <w:color w:val="000000" w:themeColor="text1"/>
                <w:sz w:val="20"/>
                <w:szCs w:val="20"/>
              </w:rPr>
            </w:pPr>
            <w:r w:rsidRPr="00422FCD">
              <w:rPr>
                <w:rFonts w:asciiTheme="minorHAnsi" w:hAnsiTheme="minorHAnsi"/>
                <w:color w:val="000000" w:themeColor="text1"/>
                <w:sz w:val="20"/>
                <w:szCs w:val="20"/>
              </w:rPr>
              <w:t xml:space="preserve">Benefit package </w:t>
            </w:r>
          </w:p>
        </w:tc>
        <w:tc>
          <w:tcPr>
            <w:tcW w:w="1418" w:type="dxa"/>
            <w:hideMark/>
          </w:tcPr>
          <w:p w14:paraId="617F54E2" w14:textId="77777777" w:rsidR="00C03055" w:rsidRPr="00422FCD" w:rsidRDefault="00C03055" w:rsidP="00C03055">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22FCD">
              <w:rPr>
                <w:color w:val="000000" w:themeColor="text1"/>
                <w:sz w:val="20"/>
                <w:szCs w:val="20"/>
              </w:rPr>
              <w:t xml:space="preserve">Medium range1 </w:t>
            </w:r>
          </w:p>
        </w:tc>
        <w:tc>
          <w:tcPr>
            <w:tcW w:w="1710" w:type="dxa"/>
            <w:hideMark/>
          </w:tcPr>
          <w:p w14:paraId="6CE85723" w14:textId="77777777" w:rsidR="00C03055" w:rsidRPr="00422FCD" w:rsidRDefault="00C03055" w:rsidP="00C03055">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22FCD">
              <w:rPr>
                <w:color w:val="000000" w:themeColor="text1"/>
                <w:sz w:val="20"/>
                <w:szCs w:val="20"/>
              </w:rPr>
              <w:t xml:space="preserve">Primary &amp; some hospital care </w:t>
            </w:r>
          </w:p>
        </w:tc>
        <w:tc>
          <w:tcPr>
            <w:tcW w:w="1980" w:type="dxa"/>
            <w:hideMark/>
          </w:tcPr>
          <w:p w14:paraId="2863CF47" w14:textId="77777777" w:rsidR="00C03055" w:rsidRPr="00422FCD" w:rsidRDefault="00C03055" w:rsidP="00C03055">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22FCD">
              <w:rPr>
                <w:color w:val="000000" w:themeColor="text1"/>
                <w:sz w:val="20"/>
                <w:szCs w:val="20"/>
              </w:rPr>
              <w:t xml:space="preserve">Broad range </w:t>
            </w:r>
          </w:p>
        </w:tc>
        <w:tc>
          <w:tcPr>
            <w:tcW w:w="1620" w:type="dxa"/>
            <w:hideMark/>
          </w:tcPr>
          <w:p w14:paraId="1813B07C" w14:textId="77777777" w:rsidR="00C03055" w:rsidRPr="00422FCD" w:rsidRDefault="00C03055" w:rsidP="00C03055">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22FCD">
              <w:rPr>
                <w:color w:val="000000" w:themeColor="text1"/>
                <w:sz w:val="20"/>
                <w:szCs w:val="20"/>
              </w:rPr>
              <w:t xml:space="preserve">Full range </w:t>
            </w:r>
          </w:p>
        </w:tc>
        <w:tc>
          <w:tcPr>
            <w:tcW w:w="1440" w:type="dxa"/>
            <w:hideMark/>
          </w:tcPr>
          <w:p w14:paraId="466648C8" w14:textId="77777777" w:rsidR="00C03055" w:rsidRPr="00422FCD" w:rsidRDefault="00C03055" w:rsidP="00C03055">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22FCD">
              <w:rPr>
                <w:color w:val="000000" w:themeColor="text1"/>
                <w:sz w:val="20"/>
                <w:szCs w:val="20"/>
              </w:rPr>
              <w:t xml:space="preserve">Primary &amp; Hospital care </w:t>
            </w:r>
          </w:p>
        </w:tc>
      </w:tr>
      <w:tr w:rsidR="00C03055" w:rsidRPr="00422FCD" w14:paraId="7B5FEA91" w14:textId="77777777" w:rsidTr="007C1491">
        <w:trPr>
          <w:cnfStyle w:val="000000010000" w:firstRow="0" w:lastRow="0" w:firstColumn="0" w:lastColumn="0" w:oddVBand="0" w:evenVBand="0" w:oddHBand="0" w:evenHBand="1"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1480" w:type="dxa"/>
            <w:hideMark/>
          </w:tcPr>
          <w:p w14:paraId="577B9E5C" w14:textId="77777777" w:rsidR="00C03055" w:rsidRPr="00422FCD" w:rsidRDefault="00C03055" w:rsidP="007C1491">
            <w:pPr>
              <w:jc w:val="left"/>
              <w:rPr>
                <w:rFonts w:asciiTheme="minorHAnsi" w:hAnsiTheme="minorHAnsi"/>
                <w:color w:val="000000" w:themeColor="text1"/>
                <w:sz w:val="20"/>
                <w:szCs w:val="20"/>
              </w:rPr>
            </w:pPr>
            <w:r w:rsidRPr="00422FCD">
              <w:rPr>
                <w:rFonts w:asciiTheme="minorHAnsi" w:hAnsiTheme="minorHAnsi"/>
                <w:color w:val="000000" w:themeColor="text1"/>
                <w:sz w:val="20"/>
                <w:szCs w:val="20"/>
              </w:rPr>
              <w:t xml:space="preserve">Type of Benefit </w:t>
            </w:r>
          </w:p>
        </w:tc>
        <w:tc>
          <w:tcPr>
            <w:tcW w:w="1418" w:type="dxa"/>
            <w:hideMark/>
          </w:tcPr>
          <w:p w14:paraId="3C770238" w14:textId="77777777" w:rsidR="00C03055" w:rsidRPr="00422FCD" w:rsidRDefault="00C03055" w:rsidP="00C03055">
            <w:pPr>
              <w:cnfStyle w:val="000000010000" w:firstRow="0" w:lastRow="0" w:firstColumn="0" w:lastColumn="0" w:oddVBand="0" w:evenVBand="0" w:oddHBand="0" w:evenHBand="1" w:firstRowFirstColumn="0" w:firstRowLastColumn="0" w:lastRowFirstColumn="0" w:lastRowLastColumn="0"/>
              <w:rPr>
                <w:color w:val="000000" w:themeColor="text1"/>
                <w:sz w:val="20"/>
                <w:szCs w:val="20"/>
              </w:rPr>
            </w:pPr>
            <w:r w:rsidRPr="00422FCD">
              <w:rPr>
                <w:color w:val="000000" w:themeColor="text1"/>
                <w:sz w:val="20"/>
                <w:szCs w:val="20"/>
              </w:rPr>
              <w:t xml:space="preserve">In kind </w:t>
            </w:r>
          </w:p>
        </w:tc>
        <w:tc>
          <w:tcPr>
            <w:tcW w:w="1710" w:type="dxa"/>
            <w:hideMark/>
          </w:tcPr>
          <w:p w14:paraId="3C9CED2B" w14:textId="77777777" w:rsidR="00C03055" w:rsidRPr="00422FCD" w:rsidRDefault="00C03055" w:rsidP="00C03055">
            <w:pPr>
              <w:cnfStyle w:val="000000010000" w:firstRow="0" w:lastRow="0" w:firstColumn="0" w:lastColumn="0" w:oddVBand="0" w:evenVBand="0" w:oddHBand="0" w:evenHBand="1" w:firstRowFirstColumn="0" w:firstRowLastColumn="0" w:lastRowFirstColumn="0" w:lastRowLastColumn="0"/>
              <w:rPr>
                <w:color w:val="000000" w:themeColor="text1"/>
                <w:sz w:val="20"/>
                <w:szCs w:val="20"/>
              </w:rPr>
            </w:pPr>
            <w:r w:rsidRPr="00422FCD">
              <w:rPr>
                <w:color w:val="000000" w:themeColor="text1"/>
                <w:sz w:val="20"/>
                <w:szCs w:val="20"/>
              </w:rPr>
              <w:t xml:space="preserve">In kind </w:t>
            </w:r>
          </w:p>
        </w:tc>
        <w:tc>
          <w:tcPr>
            <w:tcW w:w="1980" w:type="dxa"/>
            <w:hideMark/>
          </w:tcPr>
          <w:p w14:paraId="6B4367C1" w14:textId="77777777" w:rsidR="00C03055" w:rsidRPr="00422FCD" w:rsidRDefault="00C03055" w:rsidP="00C03055">
            <w:pPr>
              <w:cnfStyle w:val="000000010000" w:firstRow="0" w:lastRow="0" w:firstColumn="0" w:lastColumn="0" w:oddVBand="0" w:evenVBand="0" w:oddHBand="0" w:evenHBand="1" w:firstRowFirstColumn="0" w:firstRowLastColumn="0" w:lastRowFirstColumn="0" w:lastRowLastColumn="0"/>
              <w:rPr>
                <w:color w:val="000000" w:themeColor="text1"/>
                <w:sz w:val="20"/>
                <w:szCs w:val="20"/>
              </w:rPr>
            </w:pPr>
            <w:r w:rsidRPr="00422FCD">
              <w:rPr>
                <w:color w:val="000000" w:themeColor="text1"/>
                <w:sz w:val="20"/>
                <w:szCs w:val="20"/>
              </w:rPr>
              <w:t xml:space="preserve">In kind </w:t>
            </w:r>
          </w:p>
        </w:tc>
        <w:tc>
          <w:tcPr>
            <w:tcW w:w="1620" w:type="dxa"/>
            <w:hideMark/>
          </w:tcPr>
          <w:p w14:paraId="13F04EDA" w14:textId="77777777" w:rsidR="00C03055" w:rsidRPr="00422FCD" w:rsidRDefault="00C03055" w:rsidP="007C1491">
            <w:pPr>
              <w:jc w:val="left"/>
              <w:cnfStyle w:val="000000010000" w:firstRow="0" w:lastRow="0" w:firstColumn="0" w:lastColumn="0" w:oddVBand="0" w:evenVBand="0" w:oddHBand="0" w:evenHBand="1" w:firstRowFirstColumn="0" w:firstRowLastColumn="0" w:lastRowFirstColumn="0" w:lastRowLastColumn="0"/>
              <w:rPr>
                <w:color w:val="000000" w:themeColor="text1"/>
                <w:sz w:val="20"/>
                <w:szCs w:val="20"/>
              </w:rPr>
            </w:pPr>
            <w:r w:rsidRPr="00422FCD">
              <w:rPr>
                <w:color w:val="000000" w:themeColor="text1"/>
                <w:sz w:val="20"/>
                <w:szCs w:val="20"/>
              </w:rPr>
              <w:t xml:space="preserve">In kind + Reimbursement </w:t>
            </w:r>
          </w:p>
        </w:tc>
        <w:tc>
          <w:tcPr>
            <w:tcW w:w="1440" w:type="dxa"/>
            <w:hideMark/>
          </w:tcPr>
          <w:p w14:paraId="050DBEDD" w14:textId="77777777" w:rsidR="00C03055" w:rsidRPr="00422FCD" w:rsidRDefault="00C03055" w:rsidP="00C03055">
            <w:pPr>
              <w:cnfStyle w:val="000000010000" w:firstRow="0" w:lastRow="0" w:firstColumn="0" w:lastColumn="0" w:oddVBand="0" w:evenVBand="0" w:oddHBand="0" w:evenHBand="1" w:firstRowFirstColumn="0" w:firstRowLastColumn="0" w:lastRowFirstColumn="0" w:lastRowLastColumn="0"/>
              <w:rPr>
                <w:color w:val="000000" w:themeColor="text1"/>
                <w:sz w:val="20"/>
                <w:szCs w:val="20"/>
              </w:rPr>
            </w:pPr>
            <w:r w:rsidRPr="00422FCD">
              <w:rPr>
                <w:color w:val="000000" w:themeColor="text1"/>
                <w:sz w:val="20"/>
                <w:szCs w:val="20"/>
              </w:rPr>
              <w:t xml:space="preserve">In kind </w:t>
            </w:r>
          </w:p>
        </w:tc>
      </w:tr>
      <w:tr w:rsidR="00C03055" w:rsidRPr="00422FCD" w14:paraId="09AC9BC1" w14:textId="77777777" w:rsidTr="007C1491">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1480" w:type="dxa"/>
            <w:hideMark/>
          </w:tcPr>
          <w:p w14:paraId="29B6A50D" w14:textId="77777777" w:rsidR="00C03055" w:rsidRPr="00422FCD" w:rsidRDefault="00C03055" w:rsidP="00C03055">
            <w:pPr>
              <w:rPr>
                <w:rFonts w:asciiTheme="minorHAnsi" w:hAnsiTheme="minorHAnsi"/>
                <w:color w:val="000000" w:themeColor="text1"/>
                <w:sz w:val="20"/>
                <w:szCs w:val="20"/>
              </w:rPr>
            </w:pPr>
            <w:r w:rsidRPr="00422FCD">
              <w:rPr>
                <w:rFonts w:asciiTheme="minorHAnsi" w:hAnsiTheme="minorHAnsi"/>
                <w:color w:val="000000" w:themeColor="text1"/>
                <w:sz w:val="20"/>
                <w:szCs w:val="20"/>
              </w:rPr>
              <w:t xml:space="preserve">Provider payment </w:t>
            </w:r>
          </w:p>
        </w:tc>
        <w:tc>
          <w:tcPr>
            <w:tcW w:w="1418" w:type="dxa"/>
            <w:hideMark/>
          </w:tcPr>
          <w:p w14:paraId="5EE6BE9C" w14:textId="77777777" w:rsidR="00C03055" w:rsidRPr="00422FCD" w:rsidRDefault="00C03055" w:rsidP="007C1491">
            <w:pPr>
              <w:jc w:val="lef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22FCD">
              <w:rPr>
                <w:color w:val="000000" w:themeColor="text1"/>
                <w:sz w:val="20"/>
                <w:szCs w:val="20"/>
              </w:rPr>
              <w:t xml:space="preserve">Fee for service </w:t>
            </w:r>
          </w:p>
        </w:tc>
        <w:tc>
          <w:tcPr>
            <w:tcW w:w="1710" w:type="dxa"/>
            <w:hideMark/>
          </w:tcPr>
          <w:p w14:paraId="552B4D2C" w14:textId="77777777" w:rsidR="00C03055" w:rsidRPr="00422FCD" w:rsidRDefault="00C03055" w:rsidP="00C03055">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22FCD">
              <w:rPr>
                <w:color w:val="000000" w:themeColor="text1"/>
                <w:sz w:val="20"/>
                <w:szCs w:val="20"/>
              </w:rPr>
              <w:t xml:space="preserve">Capitation </w:t>
            </w:r>
          </w:p>
        </w:tc>
        <w:tc>
          <w:tcPr>
            <w:tcW w:w="1980" w:type="dxa"/>
            <w:hideMark/>
          </w:tcPr>
          <w:p w14:paraId="793C7D67" w14:textId="77777777" w:rsidR="00C03055" w:rsidRPr="00422FCD" w:rsidRDefault="00C03055" w:rsidP="00C03055">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22FCD">
              <w:rPr>
                <w:color w:val="000000" w:themeColor="text1"/>
                <w:sz w:val="20"/>
                <w:szCs w:val="20"/>
              </w:rPr>
              <w:t xml:space="preserve">Capitation </w:t>
            </w:r>
          </w:p>
        </w:tc>
        <w:tc>
          <w:tcPr>
            <w:tcW w:w="1620" w:type="dxa"/>
            <w:hideMark/>
          </w:tcPr>
          <w:p w14:paraId="20A3D241" w14:textId="77777777" w:rsidR="00C03055" w:rsidRPr="00422FCD" w:rsidRDefault="00C03055" w:rsidP="00C03055">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22FCD">
              <w:rPr>
                <w:color w:val="000000" w:themeColor="text1"/>
                <w:sz w:val="20"/>
                <w:szCs w:val="20"/>
              </w:rPr>
              <w:t xml:space="preserve">Fee for service </w:t>
            </w:r>
          </w:p>
        </w:tc>
        <w:tc>
          <w:tcPr>
            <w:tcW w:w="1440" w:type="dxa"/>
            <w:hideMark/>
          </w:tcPr>
          <w:p w14:paraId="47C5C893" w14:textId="77777777" w:rsidR="00C03055" w:rsidRPr="00422FCD" w:rsidRDefault="00C03055" w:rsidP="00C03055">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22FCD">
              <w:rPr>
                <w:color w:val="000000" w:themeColor="text1"/>
                <w:sz w:val="20"/>
                <w:szCs w:val="20"/>
              </w:rPr>
              <w:t xml:space="preserve">Capitation </w:t>
            </w:r>
          </w:p>
        </w:tc>
      </w:tr>
      <w:tr w:rsidR="00C03055" w:rsidRPr="00422FCD" w14:paraId="5C94495E" w14:textId="77777777" w:rsidTr="007C1491">
        <w:trPr>
          <w:cnfStyle w:val="000000010000" w:firstRow="0" w:lastRow="0" w:firstColumn="0" w:lastColumn="0" w:oddVBand="0" w:evenVBand="0" w:oddHBand="0" w:evenHBand="1"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480" w:type="dxa"/>
            <w:hideMark/>
          </w:tcPr>
          <w:p w14:paraId="3DDFE141" w14:textId="77777777" w:rsidR="00C03055" w:rsidRPr="00422FCD" w:rsidRDefault="00C03055" w:rsidP="00C03055">
            <w:pPr>
              <w:rPr>
                <w:rFonts w:asciiTheme="minorHAnsi" w:hAnsiTheme="minorHAnsi"/>
                <w:color w:val="000000" w:themeColor="text1"/>
                <w:sz w:val="20"/>
                <w:szCs w:val="20"/>
              </w:rPr>
            </w:pPr>
            <w:r w:rsidRPr="00422FCD">
              <w:rPr>
                <w:rFonts w:asciiTheme="minorHAnsi" w:hAnsiTheme="minorHAnsi"/>
                <w:color w:val="000000" w:themeColor="text1"/>
                <w:sz w:val="20"/>
                <w:szCs w:val="20"/>
              </w:rPr>
              <w:t xml:space="preserve">Regulator </w:t>
            </w:r>
          </w:p>
        </w:tc>
        <w:tc>
          <w:tcPr>
            <w:tcW w:w="1418" w:type="dxa"/>
            <w:hideMark/>
          </w:tcPr>
          <w:p w14:paraId="50D13F8C" w14:textId="77777777" w:rsidR="00C03055" w:rsidRPr="00422FCD" w:rsidRDefault="00C03055" w:rsidP="00C03055">
            <w:pPr>
              <w:cnfStyle w:val="000000010000" w:firstRow="0" w:lastRow="0" w:firstColumn="0" w:lastColumn="0" w:oddVBand="0" w:evenVBand="0" w:oddHBand="0" w:evenHBand="1" w:firstRowFirstColumn="0" w:firstRowLastColumn="0" w:lastRowFirstColumn="0" w:lastRowLastColumn="0"/>
              <w:rPr>
                <w:color w:val="000000" w:themeColor="text1"/>
                <w:sz w:val="20"/>
                <w:szCs w:val="20"/>
              </w:rPr>
            </w:pPr>
            <w:r w:rsidRPr="00422FCD">
              <w:rPr>
                <w:color w:val="000000" w:themeColor="text1"/>
                <w:sz w:val="20"/>
                <w:szCs w:val="20"/>
              </w:rPr>
              <w:t xml:space="preserve">SSRA </w:t>
            </w:r>
          </w:p>
        </w:tc>
        <w:tc>
          <w:tcPr>
            <w:tcW w:w="1710" w:type="dxa"/>
            <w:hideMark/>
          </w:tcPr>
          <w:p w14:paraId="067FBBE6" w14:textId="77777777" w:rsidR="00C03055" w:rsidRPr="00422FCD" w:rsidRDefault="00C03055" w:rsidP="00C03055">
            <w:pPr>
              <w:cnfStyle w:val="000000010000" w:firstRow="0" w:lastRow="0" w:firstColumn="0" w:lastColumn="0" w:oddVBand="0" w:evenVBand="0" w:oddHBand="0" w:evenHBand="1" w:firstRowFirstColumn="0" w:firstRowLastColumn="0" w:lastRowFirstColumn="0" w:lastRowLastColumn="0"/>
              <w:rPr>
                <w:color w:val="000000" w:themeColor="text1"/>
                <w:sz w:val="20"/>
                <w:szCs w:val="20"/>
              </w:rPr>
            </w:pPr>
            <w:r w:rsidRPr="00422FCD">
              <w:rPr>
                <w:color w:val="000000" w:themeColor="text1"/>
                <w:sz w:val="20"/>
                <w:szCs w:val="20"/>
              </w:rPr>
              <w:t>SSRA</w:t>
            </w:r>
          </w:p>
        </w:tc>
        <w:tc>
          <w:tcPr>
            <w:tcW w:w="1980" w:type="dxa"/>
            <w:hideMark/>
          </w:tcPr>
          <w:p w14:paraId="6D581874" w14:textId="77777777" w:rsidR="00C03055" w:rsidRPr="00422FCD" w:rsidRDefault="00C03055" w:rsidP="00C03055">
            <w:pPr>
              <w:cnfStyle w:val="000000010000" w:firstRow="0" w:lastRow="0" w:firstColumn="0" w:lastColumn="0" w:oddVBand="0" w:evenVBand="0" w:oddHBand="0" w:evenHBand="1" w:firstRowFirstColumn="0" w:firstRowLastColumn="0" w:lastRowFirstColumn="0" w:lastRowLastColumn="0"/>
              <w:rPr>
                <w:color w:val="000000" w:themeColor="text1"/>
                <w:sz w:val="20"/>
                <w:szCs w:val="20"/>
              </w:rPr>
            </w:pPr>
            <w:r w:rsidRPr="00422FCD">
              <w:rPr>
                <w:color w:val="000000" w:themeColor="text1"/>
                <w:sz w:val="20"/>
                <w:szCs w:val="20"/>
              </w:rPr>
              <w:t xml:space="preserve">SSRA </w:t>
            </w:r>
          </w:p>
        </w:tc>
        <w:tc>
          <w:tcPr>
            <w:tcW w:w="1620" w:type="dxa"/>
            <w:hideMark/>
          </w:tcPr>
          <w:p w14:paraId="67AF194B" w14:textId="77777777" w:rsidR="00C03055" w:rsidRPr="00422FCD" w:rsidRDefault="00C03055" w:rsidP="00C03055">
            <w:pPr>
              <w:cnfStyle w:val="000000010000" w:firstRow="0" w:lastRow="0" w:firstColumn="0" w:lastColumn="0" w:oddVBand="0" w:evenVBand="0" w:oddHBand="0" w:evenHBand="1" w:firstRowFirstColumn="0" w:firstRowLastColumn="0" w:lastRowFirstColumn="0" w:lastRowLastColumn="0"/>
              <w:rPr>
                <w:color w:val="000000" w:themeColor="text1"/>
                <w:sz w:val="20"/>
                <w:szCs w:val="20"/>
              </w:rPr>
            </w:pPr>
            <w:r w:rsidRPr="00422FCD">
              <w:rPr>
                <w:color w:val="000000" w:themeColor="text1"/>
                <w:sz w:val="20"/>
                <w:szCs w:val="20"/>
              </w:rPr>
              <w:t xml:space="preserve">TIRA </w:t>
            </w:r>
          </w:p>
        </w:tc>
        <w:tc>
          <w:tcPr>
            <w:tcW w:w="1440" w:type="dxa"/>
            <w:hideMark/>
          </w:tcPr>
          <w:p w14:paraId="436A3587" w14:textId="77777777" w:rsidR="00C03055" w:rsidRPr="00422FCD" w:rsidRDefault="00C03055" w:rsidP="00C03055">
            <w:pPr>
              <w:cnfStyle w:val="000000010000" w:firstRow="0" w:lastRow="0" w:firstColumn="0" w:lastColumn="0" w:oddVBand="0" w:evenVBand="0" w:oddHBand="0" w:evenHBand="1" w:firstRowFirstColumn="0" w:firstRowLastColumn="0" w:lastRowFirstColumn="0" w:lastRowLastColumn="0"/>
              <w:rPr>
                <w:color w:val="000000" w:themeColor="text1"/>
                <w:sz w:val="20"/>
                <w:szCs w:val="20"/>
              </w:rPr>
            </w:pPr>
            <w:r w:rsidRPr="00422FCD">
              <w:rPr>
                <w:color w:val="000000" w:themeColor="text1"/>
                <w:sz w:val="20"/>
                <w:szCs w:val="20"/>
              </w:rPr>
              <w:t xml:space="preserve">Unregulated </w:t>
            </w:r>
          </w:p>
        </w:tc>
      </w:tr>
    </w:tbl>
    <w:p w14:paraId="073CA1C9" w14:textId="3FCF865F" w:rsidR="00C03055" w:rsidRPr="007C1491" w:rsidRDefault="00C03055" w:rsidP="0049535B">
      <w:pPr>
        <w:rPr>
          <w:i/>
          <w:sz w:val="22"/>
        </w:rPr>
      </w:pPr>
      <w:r w:rsidRPr="007C1491">
        <w:rPr>
          <w:i/>
          <w:color w:val="000000" w:themeColor="text1"/>
          <w:sz w:val="22"/>
        </w:rPr>
        <w:t>Source:Interviews with Stakeholders, 2013 and FSDT &amp; Cenfri 2012, Insurance Diagnostic Study</w:t>
      </w:r>
      <w:r w:rsidRPr="007C1491">
        <w:rPr>
          <w:rStyle w:val="FootnoteReference"/>
          <w:i/>
          <w:color w:val="000000" w:themeColor="text1"/>
          <w:sz w:val="22"/>
        </w:rPr>
        <w:footnoteReference w:id="3"/>
      </w:r>
    </w:p>
    <w:p w14:paraId="7409AFFC" w14:textId="77777777" w:rsidR="00DF2353" w:rsidRDefault="00DF2353" w:rsidP="00DF2353">
      <w:pPr>
        <w:pStyle w:val="Heading3"/>
      </w:pPr>
      <w:bookmarkStart w:id="13" w:name="_Toc411949919"/>
      <w:r>
        <w:t>Health financing composition</w:t>
      </w:r>
      <w:bookmarkEnd w:id="13"/>
    </w:p>
    <w:p w14:paraId="32B1413F" w14:textId="4E0B9EC3" w:rsidR="00DF2353" w:rsidRDefault="00DF2353" w:rsidP="00DF2353">
      <w:r>
        <w:t xml:space="preserve">The 2011/12 National Health Account (NHA) data shows </w:t>
      </w:r>
      <w:r w:rsidR="00DA5089">
        <w:t xml:space="preserve">an </w:t>
      </w:r>
      <w:r>
        <w:t xml:space="preserve">increase </w:t>
      </w:r>
      <w:r w:rsidR="00DA5089">
        <w:t>in</w:t>
      </w:r>
      <w:r>
        <w:t xml:space="preserve"> donor dependence to fund health care in Tanzania. This source accounted for about 48</w:t>
      </w:r>
      <w:r w:rsidR="00DA5089">
        <w:t xml:space="preserve"> percent</w:t>
      </w:r>
      <w:r>
        <w:t xml:space="preserve"> of </w:t>
      </w:r>
      <w:r w:rsidR="00DA5089">
        <w:t xml:space="preserve">the </w:t>
      </w:r>
      <w:r>
        <w:t>total health sector resources envelop in 2011/12, an increase from 40</w:t>
      </w:r>
      <w:r w:rsidR="00DA5089">
        <w:t xml:space="preserve"> percent</w:t>
      </w:r>
      <w:r>
        <w:t xml:space="preserve"> in 2009/10. The share of out-of-pocket is still on a higher side, accounting for about 27 </w:t>
      </w:r>
      <w:r w:rsidR="00DA5089">
        <w:t xml:space="preserve">percent </w:t>
      </w:r>
      <w:r>
        <w:t>of total health sector financing but there has been a decrease compared to 2009/10 share of total financing (34</w:t>
      </w:r>
      <w:r w:rsidR="00DA5089">
        <w:t xml:space="preserve"> percent</w:t>
      </w:r>
      <w:r>
        <w:t xml:space="preserve">). Contributions from total general tax revenue remains </w:t>
      </w:r>
      <w:r w:rsidR="00DA5089">
        <w:t>relatively low</w:t>
      </w:r>
      <w:r>
        <w:t xml:space="preserve"> accounting </w:t>
      </w:r>
      <w:r w:rsidR="00DA5089">
        <w:t xml:space="preserve">for </w:t>
      </w:r>
      <w:r>
        <w:t>about 21</w:t>
      </w:r>
      <w:r w:rsidR="00DA5089">
        <w:t xml:space="preserve"> percent</w:t>
      </w:r>
      <w:r>
        <w:t xml:space="preserve"> of total health financing; which is a decrease compared to the 24</w:t>
      </w:r>
      <w:r w:rsidR="00DA5089">
        <w:t xml:space="preserve"> percent</w:t>
      </w:r>
      <w:r>
        <w:t xml:space="preserve"> in 2009/10. Health insurance schemes contribution is insignificant </w:t>
      </w:r>
      <w:r w:rsidR="003B487A">
        <w:t>accounting for about 3</w:t>
      </w:r>
      <w:r w:rsidR="00F45D25">
        <w:t xml:space="preserve"> percent</w:t>
      </w:r>
      <w:r w:rsidR="003B487A">
        <w:t xml:space="preserve"> of total health sector financing. This low contribution level of prepayment schemes is a result of limited health insurance coverage which is estimated at 19</w:t>
      </w:r>
      <w:r w:rsidR="00F45D25">
        <w:t xml:space="preserve"> percent</w:t>
      </w:r>
      <w:r w:rsidR="003B487A">
        <w:t xml:space="preserve"> of total population.</w:t>
      </w:r>
    </w:p>
    <w:p w14:paraId="69E18445" w14:textId="77777777" w:rsidR="00362633" w:rsidRDefault="00362633" w:rsidP="00DF2353"/>
    <w:p w14:paraId="686CB300" w14:textId="745BF35B" w:rsidR="003B487A" w:rsidRDefault="003B487A" w:rsidP="003B487A">
      <w:pPr>
        <w:pStyle w:val="Caption"/>
        <w:rPr>
          <w:rFonts w:eastAsia="Times New Roman" w:cs="Arial"/>
          <w:bCs w:val="0"/>
          <w:szCs w:val="24"/>
          <w:lang w:val="en-GB"/>
        </w:rPr>
      </w:pPr>
      <w:bookmarkStart w:id="14" w:name="_Toc366569984"/>
      <w:r>
        <w:t xml:space="preserve">Table </w:t>
      </w:r>
      <w:r w:rsidR="00DF19FE">
        <w:t>3.2</w:t>
      </w:r>
      <w:r w:rsidR="00DF19FE" w:rsidRPr="00EB4F0C">
        <w:rPr>
          <w:rFonts w:eastAsia="Times New Roman" w:cs="Arial"/>
          <w:bCs w:val="0"/>
          <w:szCs w:val="24"/>
          <w:lang w:val="en-GB"/>
        </w:rPr>
        <w:t xml:space="preserve"> </w:t>
      </w:r>
      <w:r w:rsidRPr="00EB4F0C">
        <w:rPr>
          <w:rFonts w:eastAsia="Times New Roman" w:cs="Arial"/>
          <w:bCs w:val="0"/>
          <w:szCs w:val="24"/>
          <w:lang w:val="en-GB"/>
        </w:rPr>
        <w:t xml:space="preserve">Total Health Expenditures by </w:t>
      </w:r>
      <w:r>
        <w:rPr>
          <w:rFonts w:eastAsia="Times New Roman" w:cs="Arial"/>
          <w:bCs w:val="0"/>
          <w:szCs w:val="24"/>
          <w:lang w:val="en-GB"/>
        </w:rPr>
        <w:t>S</w:t>
      </w:r>
      <w:r w:rsidRPr="00EB4F0C">
        <w:rPr>
          <w:rFonts w:eastAsia="Times New Roman" w:cs="Arial"/>
          <w:bCs w:val="0"/>
          <w:szCs w:val="24"/>
          <w:lang w:val="en-GB"/>
        </w:rPr>
        <w:t>ource</w:t>
      </w:r>
      <w:bookmarkEnd w:id="14"/>
      <w:r w:rsidRPr="00EB4F0C">
        <w:rPr>
          <w:rFonts w:eastAsia="Times New Roman" w:cs="Arial"/>
          <w:bCs w:val="0"/>
          <w:szCs w:val="24"/>
          <w:lang w:val="en-GB"/>
        </w:rPr>
        <w:t xml:space="preserve"> (</w:t>
      </w:r>
      <w:r>
        <w:rPr>
          <w:rFonts w:eastAsia="Times New Roman" w:cs="Arial"/>
          <w:bCs w:val="0"/>
          <w:szCs w:val="24"/>
          <w:lang w:val="en-GB"/>
        </w:rPr>
        <w:t>percent</w:t>
      </w:r>
      <w:r w:rsidRPr="00EB4F0C">
        <w:rPr>
          <w:rFonts w:eastAsia="Times New Roman" w:cs="Arial"/>
          <w:bCs w:val="0"/>
          <w:szCs w:val="24"/>
          <w:lang w:val="en-GB"/>
        </w:rPr>
        <w:t>)</w:t>
      </w:r>
    </w:p>
    <w:tbl>
      <w:tblPr>
        <w:tblStyle w:val="TableGrid"/>
        <w:tblW w:w="0" w:type="auto"/>
        <w:tblLook w:val="04A0" w:firstRow="1" w:lastRow="0" w:firstColumn="1" w:lastColumn="0" w:noHBand="0" w:noVBand="1"/>
      </w:tblPr>
      <w:tblGrid>
        <w:gridCol w:w="1957"/>
        <w:gridCol w:w="1928"/>
        <w:gridCol w:w="1927"/>
        <w:gridCol w:w="1927"/>
        <w:gridCol w:w="1611"/>
      </w:tblGrid>
      <w:tr w:rsidR="003B487A" w:rsidRPr="00830EB8" w14:paraId="095EB333" w14:textId="77777777" w:rsidTr="00506C0A">
        <w:tc>
          <w:tcPr>
            <w:tcW w:w="2005" w:type="dxa"/>
          </w:tcPr>
          <w:p w14:paraId="2D1C0328" w14:textId="77777777" w:rsidR="003B487A" w:rsidRPr="00830EB8" w:rsidRDefault="003B487A" w:rsidP="00506C0A">
            <w:pPr>
              <w:rPr>
                <w:b/>
                <w:sz w:val="20"/>
                <w:lang w:val="en-GB"/>
              </w:rPr>
            </w:pPr>
          </w:p>
        </w:tc>
        <w:tc>
          <w:tcPr>
            <w:tcW w:w="1978" w:type="dxa"/>
          </w:tcPr>
          <w:p w14:paraId="26B1EE8C" w14:textId="77777777" w:rsidR="003B487A" w:rsidRPr="00830EB8" w:rsidRDefault="003B487A" w:rsidP="00506C0A">
            <w:pPr>
              <w:spacing w:line="276" w:lineRule="auto"/>
              <w:jc w:val="center"/>
              <w:rPr>
                <w:b/>
                <w:sz w:val="20"/>
                <w:lang w:val="en-GB"/>
              </w:rPr>
            </w:pPr>
            <w:r w:rsidRPr="00830EB8">
              <w:rPr>
                <w:b/>
                <w:sz w:val="20"/>
                <w:lang w:val="en-GB"/>
              </w:rPr>
              <w:t>FY2002/03</w:t>
            </w:r>
          </w:p>
        </w:tc>
        <w:tc>
          <w:tcPr>
            <w:tcW w:w="1977" w:type="dxa"/>
          </w:tcPr>
          <w:p w14:paraId="1319429C" w14:textId="77777777" w:rsidR="003B487A" w:rsidRPr="00830EB8" w:rsidRDefault="003B487A" w:rsidP="00506C0A">
            <w:pPr>
              <w:jc w:val="center"/>
              <w:rPr>
                <w:b/>
                <w:sz w:val="20"/>
                <w:lang w:val="en-GB"/>
              </w:rPr>
            </w:pPr>
            <w:r w:rsidRPr="00830EB8">
              <w:rPr>
                <w:b/>
                <w:sz w:val="20"/>
                <w:lang w:val="en-GB"/>
              </w:rPr>
              <w:t>FY2005/06</w:t>
            </w:r>
          </w:p>
        </w:tc>
        <w:tc>
          <w:tcPr>
            <w:tcW w:w="1977" w:type="dxa"/>
          </w:tcPr>
          <w:p w14:paraId="4B1D14AB" w14:textId="77777777" w:rsidR="003B487A" w:rsidRPr="00830EB8" w:rsidRDefault="003B487A" w:rsidP="00506C0A">
            <w:pPr>
              <w:jc w:val="center"/>
              <w:rPr>
                <w:b/>
                <w:sz w:val="20"/>
                <w:lang w:val="en-GB"/>
              </w:rPr>
            </w:pPr>
            <w:r w:rsidRPr="00830EB8">
              <w:rPr>
                <w:b/>
                <w:sz w:val="20"/>
                <w:lang w:val="en-GB"/>
              </w:rPr>
              <w:t>FY2009/10</w:t>
            </w:r>
          </w:p>
        </w:tc>
        <w:tc>
          <w:tcPr>
            <w:tcW w:w="1639" w:type="dxa"/>
          </w:tcPr>
          <w:p w14:paraId="35AEAE3A" w14:textId="77777777" w:rsidR="003B487A" w:rsidRPr="003B487A" w:rsidRDefault="003B487A" w:rsidP="00506C0A">
            <w:pPr>
              <w:jc w:val="center"/>
              <w:rPr>
                <w:b/>
                <w:sz w:val="20"/>
                <w:lang w:val="en-GB"/>
              </w:rPr>
            </w:pPr>
            <w:r w:rsidRPr="003B487A">
              <w:rPr>
                <w:b/>
                <w:sz w:val="20"/>
                <w:lang w:val="en-GB"/>
              </w:rPr>
              <w:t>FY2011/12</w:t>
            </w:r>
          </w:p>
        </w:tc>
      </w:tr>
      <w:tr w:rsidR="003B487A" w:rsidRPr="00830EB8" w14:paraId="7C08D2BB" w14:textId="77777777" w:rsidTr="00506C0A">
        <w:tc>
          <w:tcPr>
            <w:tcW w:w="2005" w:type="dxa"/>
          </w:tcPr>
          <w:p w14:paraId="110D73FC" w14:textId="77777777" w:rsidR="003B487A" w:rsidRPr="00830EB8" w:rsidRDefault="003B487A" w:rsidP="00506C0A">
            <w:pPr>
              <w:rPr>
                <w:sz w:val="20"/>
                <w:lang w:val="en-GB"/>
              </w:rPr>
            </w:pPr>
            <w:r w:rsidRPr="00830EB8">
              <w:rPr>
                <w:sz w:val="20"/>
                <w:lang w:val="en-GB"/>
              </w:rPr>
              <w:t>Households</w:t>
            </w:r>
          </w:p>
        </w:tc>
        <w:tc>
          <w:tcPr>
            <w:tcW w:w="1978" w:type="dxa"/>
          </w:tcPr>
          <w:p w14:paraId="4C2756D3" w14:textId="77777777" w:rsidR="003B487A" w:rsidRPr="00830EB8" w:rsidRDefault="003B487A" w:rsidP="00506C0A">
            <w:pPr>
              <w:spacing w:line="276" w:lineRule="auto"/>
              <w:jc w:val="center"/>
              <w:rPr>
                <w:sz w:val="20"/>
                <w:lang w:val="en-GB"/>
              </w:rPr>
            </w:pPr>
            <w:r w:rsidRPr="00830EB8">
              <w:rPr>
                <w:sz w:val="20"/>
                <w:lang w:val="en-GB"/>
              </w:rPr>
              <w:t>42</w:t>
            </w:r>
            <w:r>
              <w:rPr>
                <w:sz w:val="20"/>
                <w:lang w:val="en-GB"/>
              </w:rPr>
              <w:t xml:space="preserve"> %</w:t>
            </w:r>
          </w:p>
        </w:tc>
        <w:tc>
          <w:tcPr>
            <w:tcW w:w="1977" w:type="dxa"/>
          </w:tcPr>
          <w:p w14:paraId="1C3AB30C" w14:textId="77777777" w:rsidR="003B487A" w:rsidRPr="00830EB8" w:rsidRDefault="003B487A" w:rsidP="00506C0A">
            <w:pPr>
              <w:jc w:val="center"/>
              <w:rPr>
                <w:sz w:val="20"/>
                <w:lang w:val="en-GB"/>
              </w:rPr>
            </w:pPr>
            <w:r w:rsidRPr="00830EB8">
              <w:rPr>
                <w:sz w:val="20"/>
                <w:lang w:val="en-GB"/>
              </w:rPr>
              <w:t>25</w:t>
            </w:r>
            <w:r>
              <w:rPr>
                <w:sz w:val="20"/>
                <w:lang w:val="en-GB"/>
              </w:rPr>
              <w:t xml:space="preserve"> %</w:t>
            </w:r>
          </w:p>
        </w:tc>
        <w:tc>
          <w:tcPr>
            <w:tcW w:w="1977" w:type="dxa"/>
          </w:tcPr>
          <w:p w14:paraId="12F39766" w14:textId="77777777" w:rsidR="003B487A" w:rsidRPr="00830EB8" w:rsidRDefault="003B487A" w:rsidP="00506C0A">
            <w:pPr>
              <w:jc w:val="center"/>
              <w:rPr>
                <w:sz w:val="20"/>
                <w:lang w:val="en-GB"/>
              </w:rPr>
            </w:pPr>
            <w:r w:rsidRPr="00830EB8">
              <w:rPr>
                <w:sz w:val="20"/>
                <w:lang w:val="en-GB"/>
              </w:rPr>
              <w:t>32</w:t>
            </w:r>
            <w:r>
              <w:rPr>
                <w:sz w:val="20"/>
                <w:lang w:val="en-GB"/>
              </w:rPr>
              <w:t xml:space="preserve"> %</w:t>
            </w:r>
          </w:p>
        </w:tc>
        <w:tc>
          <w:tcPr>
            <w:tcW w:w="1639" w:type="dxa"/>
          </w:tcPr>
          <w:p w14:paraId="2603D4D6" w14:textId="77777777" w:rsidR="003B487A" w:rsidRPr="003B487A" w:rsidRDefault="003B487A" w:rsidP="003B487A">
            <w:pPr>
              <w:jc w:val="center"/>
              <w:rPr>
                <w:sz w:val="20"/>
                <w:lang w:val="en-GB"/>
              </w:rPr>
            </w:pPr>
            <w:r w:rsidRPr="003B487A">
              <w:rPr>
                <w:sz w:val="20"/>
                <w:lang w:val="en-GB"/>
              </w:rPr>
              <w:t>27%</w:t>
            </w:r>
          </w:p>
        </w:tc>
      </w:tr>
      <w:tr w:rsidR="003B487A" w:rsidRPr="00830EB8" w14:paraId="2F7CA9E7" w14:textId="77777777" w:rsidTr="00506C0A">
        <w:tc>
          <w:tcPr>
            <w:tcW w:w="2005" w:type="dxa"/>
          </w:tcPr>
          <w:p w14:paraId="79894A97" w14:textId="77777777" w:rsidR="003B487A" w:rsidRPr="00830EB8" w:rsidRDefault="003B487A" w:rsidP="00506C0A">
            <w:pPr>
              <w:rPr>
                <w:sz w:val="20"/>
                <w:lang w:val="en-GB"/>
              </w:rPr>
            </w:pPr>
            <w:r w:rsidRPr="00830EB8">
              <w:rPr>
                <w:sz w:val="20"/>
                <w:lang w:val="en-GB"/>
              </w:rPr>
              <w:t>DPs</w:t>
            </w:r>
          </w:p>
        </w:tc>
        <w:tc>
          <w:tcPr>
            <w:tcW w:w="1978" w:type="dxa"/>
          </w:tcPr>
          <w:p w14:paraId="22FF6A09" w14:textId="77777777" w:rsidR="003B487A" w:rsidRPr="00830EB8" w:rsidRDefault="003B487A" w:rsidP="00506C0A">
            <w:pPr>
              <w:spacing w:line="276" w:lineRule="auto"/>
              <w:jc w:val="center"/>
              <w:rPr>
                <w:sz w:val="20"/>
                <w:lang w:val="en-GB"/>
              </w:rPr>
            </w:pPr>
            <w:r w:rsidRPr="00830EB8">
              <w:rPr>
                <w:sz w:val="20"/>
                <w:lang w:val="en-GB"/>
              </w:rPr>
              <w:t>27</w:t>
            </w:r>
            <w:r>
              <w:rPr>
                <w:sz w:val="20"/>
                <w:lang w:val="en-GB"/>
              </w:rPr>
              <w:t xml:space="preserve"> %</w:t>
            </w:r>
          </w:p>
        </w:tc>
        <w:tc>
          <w:tcPr>
            <w:tcW w:w="1977" w:type="dxa"/>
          </w:tcPr>
          <w:p w14:paraId="3B939364" w14:textId="77777777" w:rsidR="003B487A" w:rsidRPr="00830EB8" w:rsidRDefault="003B487A" w:rsidP="00506C0A">
            <w:pPr>
              <w:jc w:val="center"/>
              <w:rPr>
                <w:sz w:val="20"/>
                <w:lang w:val="en-GB"/>
              </w:rPr>
            </w:pPr>
            <w:r w:rsidRPr="00830EB8">
              <w:rPr>
                <w:sz w:val="20"/>
                <w:lang w:val="en-GB"/>
              </w:rPr>
              <w:t>44</w:t>
            </w:r>
            <w:r>
              <w:rPr>
                <w:sz w:val="20"/>
                <w:lang w:val="en-GB"/>
              </w:rPr>
              <w:t xml:space="preserve"> %</w:t>
            </w:r>
          </w:p>
        </w:tc>
        <w:tc>
          <w:tcPr>
            <w:tcW w:w="1977" w:type="dxa"/>
          </w:tcPr>
          <w:p w14:paraId="278A3F0B" w14:textId="77777777" w:rsidR="003B487A" w:rsidRPr="00830EB8" w:rsidRDefault="003B487A" w:rsidP="00506C0A">
            <w:pPr>
              <w:jc w:val="center"/>
              <w:rPr>
                <w:sz w:val="20"/>
                <w:lang w:val="en-GB"/>
              </w:rPr>
            </w:pPr>
            <w:r w:rsidRPr="00830EB8">
              <w:rPr>
                <w:sz w:val="20"/>
                <w:lang w:val="en-GB"/>
              </w:rPr>
              <w:t>40</w:t>
            </w:r>
            <w:r>
              <w:rPr>
                <w:sz w:val="20"/>
                <w:lang w:val="en-GB"/>
              </w:rPr>
              <w:t xml:space="preserve"> %</w:t>
            </w:r>
          </w:p>
        </w:tc>
        <w:tc>
          <w:tcPr>
            <w:tcW w:w="1639" w:type="dxa"/>
          </w:tcPr>
          <w:p w14:paraId="7DA1490E" w14:textId="77777777" w:rsidR="003B487A" w:rsidRPr="003B487A" w:rsidRDefault="003B487A" w:rsidP="003B487A">
            <w:pPr>
              <w:jc w:val="center"/>
              <w:rPr>
                <w:sz w:val="20"/>
                <w:lang w:val="en-GB"/>
              </w:rPr>
            </w:pPr>
            <w:r w:rsidRPr="003B487A">
              <w:rPr>
                <w:sz w:val="20"/>
                <w:lang w:val="en-GB"/>
              </w:rPr>
              <w:t>47%</w:t>
            </w:r>
          </w:p>
        </w:tc>
      </w:tr>
      <w:tr w:rsidR="003B487A" w:rsidRPr="00830EB8" w14:paraId="48AFE51E" w14:textId="77777777" w:rsidTr="00506C0A">
        <w:tc>
          <w:tcPr>
            <w:tcW w:w="2005" w:type="dxa"/>
          </w:tcPr>
          <w:p w14:paraId="5C8EDAA8" w14:textId="77777777" w:rsidR="003B487A" w:rsidRPr="00830EB8" w:rsidRDefault="003B487A" w:rsidP="00506C0A">
            <w:pPr>
              <w:rPr>
                <w:sz w:val="20"/>
                <w:lang w:val="en-GB"/>
              </w:rPr>
            </w:pPr>
            <w:r w:rsidRPr="00830EB8">
              <w:rPr>
                <w:sz w:val="20"/>
                <w:lang w:val="en-GB"/>
              </w:rPr>
              <w:t>MOF</w:t>
            </w:r>
          </w:p>
        </w:tc>
        <w:tc>
          <w:tcPr>
            <w:tcW w:w="1978" w:type="dxa"/>
          </w:tcPr>
          <w:p w14:paraId="6F6753C4" w14:textId="77777777" w:rsidR="003B487A" w:rsidRPr="00830EB8" w:rsidRDefault="003B487A" w:rsidP="00506C0A">
            <w:pPr>
              <w:spacing w:line="276" w:lineRule="auto"/>
              <w:jc w:val="center"/>
              <w:rPr>
                <w:sz w:val="20"/>
                <w:lang w:val="en-GB"/>
              </w:rPr>
            </w:pPr>
            <w:r w:rsidRPr="00830EB8">
              <w:rPr>
                <w:sz w:val="20"/>
                <w:lang w:val="en-GB"/>
              </w:rPr>
              <w:t>25</w:t>
            </w:r>
            <w:r>
              <w:rPr>
                <w:sz w:val="20"/>
                <w:lang w:val="en-GB"/>
              </w:rPr>
              <w:t xml:space="preserve"> %</w:t>
            </w:r>
          </w:p>
        </w:tc>
        <w:tc>
          <w:tcPr>
            <w:tcW w:w="1977" w:type="dxa"/>
          </w:tcPr>
          <w:p w14:paraId="6A058641" w14:textId="77777777" w:rsidR="003B487A" w:rsidRPr="00830EB8" w:rsidRDefault="003B487A" w:rsidP="00506C0A">
            <w:pPr>
              <w:jc w:val="center"/>
              <w:rPr>
                <w:sz w:val="20"/>
                <w:lang w:val="en-GB"/>
              </w:rPr>
            </w:pPr>
            <w:r w:rsidRPr="00830EB8">
              <w:rPr>
                <w:sz w:val="20"/>
                <w:lang w:val="en-GB"/>
              </w:rPr>
              <w:t>28</w:t>
            </w:r>
            <w:r>
              <w:rPr>
                <w:sz w:val="20"/>
                <w:lang w:val="en-GB"/>
              </w:rPr>
              <w:t xml:space="preserve"> %</w:t>
            </w:r>
          </w:p>
        </w:tc>
        <w:tc>
          <w:tcPr>
            <w:tcW w:w="1977" w:type="dxa"/>
          </w:tcPr>
          <w:p w14:paraId="70FC55C9" w14:textId="77777777" w:rsidR="003B487A" w:rsidRPr="00830EB8" w:rsidRDefault="003B487A" w:rsidP="00506C0A">
            <w:pPr>
              <w:jc w:val="center"/>
              <w:rPr>
                <w:sz w:val="20"/>
                <w:lang w:val="en-GB"/>
              </w:rPr>
            </w:pPr>
            <w:r w:rsidRPr="00830EB8">
              <w:rPr>
                <w:sz w:val="20"/>
                <w:lang w:val="en-GB"/>
              </w:rPr>
              <w:t>26</w:t>
            </w:r>
            <w:r>
              <w:rPr>
                <w:sz w:val="20"/>
                <w:lang w:val="en-GB"/>
              </w:rPr>
              <w:t xml:space="preserve"> %</w:t>
            </w:r>
          </w:p>
        </w:tc>
        <w:tc>
          <w:tcPr>
            <w:tcW w:w="1639" w:type="dxa"/>
          </w:tcPr>
          <w:p w14:paraId="1B73E89F" w14:textId="77777777" w:rsidR="003B487A" w:rsidRPr="003B487A" w:rsidRDefault="003B487A" w:rsidP="00506C0A">
            <w:pPr>
              <w:jc w:val="center"/>
              <w:rPr>
                <w:sz w:val="20"/>
                <w:lang w:val="en-GB"/>
              </w:rPr>
            </w:pPr>
            <w:r w:rsidRPr="003B487A">
              <w:rPr>
                <w:sz w:val="20"/>
                <w:lang w:val="en-GB"/>
              </w:rPr>
              <w:t>21%</w:t>
            </w:r>
          </w:p>
        </w:tc>
      </w:tr>
      <w:tr w:rsidR="003B487A" w:rsidRPr="00830EB8" w14:paraId="47BC024E" w14:textId="77777777" w:rsidTr="00506C0A">
        <w:tc>
          <w:tcPr>
            <w:tcW w:w="2005" w:type="dxa"/>
          </w:tcPr>
          <w:p w14:paraId="1EF58312" w14:textId="77777777" w:rsidR="003B487A" w:rsidRPr="00830EB8" w:rsidRDefault="003B487A" w:rsidP="003B487A">
            <w:pPr>
              <w:rPr>
                <w:sz w:val="20"/>
                <w:lang w:val="en-GB"/>
              </w:rPr>
            </w:pPr>
            <w:r w:rsidRPr="00830EB8">
              <w:rPr>
                <w:sz w:val="20"/>
                <w:lang w:val="en-GB"/>
              </w:rPr>
              <w:t xml:space="preserve">Other </w:t>
            </w:r>
          </w:p>
        </w:tc>
        <w:tc>
          <w:tcPr>
            <w:tcW w:w="1978" w:type="dxa"/>
          </w:tcPr>
          <w:p w14:paraId="4BB214D7" w14:textId="77777777" w:rsidR="003B487A" w:rsidRPr="00830EB8" w:rsidRDefault="003B487A" w:rsidP="00506C0A">
            <w:pPr>
              <w:spacing w:line="276" w:lineRule="auto"/>
              <w:jc w:val="center"/>
              <w:rPr>
                <w:sz w:val="20"/>
                <w:lang w:val="en-GB"/>
              </w:rPr>
            </w:pPr>
            <w:r>
              <w:rPr>
                <w:sz w:val="20"/>
                <w:lang w:val="en-GB"/>
              </w:rPr>
              <w:t>5 %</w:t>
            </w:r>
          </w:p>
        </w:tc>
        <w:tc>
          <w:tcPr>
            <w:tcW w:w="1977" w:type="dxa"/>
          </w:tcPr>
          <w:p w14:paraId="09D66B01" w14:textId="77777777" w:rsidR="003B487A" w:rsidRPr="00830EB8" w:rsidRDefault="003B487A" w:rsidP="00506C0A">
            <w:pPr>
              <w:jc w:val="center"/>
              <w:rPr>
                <w:sz w:val="20"/>
                <w:lang w:val="en-GB"/>
              </w:rPr>
            </w:pPr>
            <w:r w:rsidRPr="00830EB8">
              <w:rPr>
                <w:sz w:val="20"/>
                <w:lang w:val="en-GB"/>
              </w:rPr>
              <w:t>3</w:t>
            </w:r>
            <w:r>
              <w:rPr>
                <w:sz w:val="20"/>
                <w:lang w:val="en-GB"/>
              </w:rPr>
              <w:t xml:space="preserve"> %</w:t>
            </w:r>
          </w:p>
        </w:tc>
        <w:tc>
          <w:tcPr>
            <w:tcW w:w="1977" w:type="dxa"/>
          </w:tcPr>
          <w:p w14:paraId="01D3B240" w14:textId="77777777" w:rsidR="003B487A" w:rsidRPr="00830EB8" w:rsidRDefault="003B487A" w:rsidP="00506C0A">
            <w:pPr>
              <w:jc w:val="center"/>
              <w:rPr>
                <w:sz w:val="20"/>
                <w:lang w:val="en-GB"/>
              </w:rPr>
            </w:pPr>
            <w:r w:rsidRPr="00830EB8">
              <w:rPr>
                <w:sz w:val="20"/>
                <w:lang w:val="en-GB"/>
              </w:rPr>
              <w:t>2</w:t>
            </w:r>
            <w:r>
              <w:rPr>
                <w:sz w:val="20"/>
                <w:lang w:val="en-GB"/>
              </w:rPr>
              <w:t xml:space="preserve"> %</w:t>
            </w:r>
          </w:p>
        </w:tc>
        <w:tc>
          <w:tcPr>
            <w:tcW w:w="1639" w:type="dxa"/>
          </w:tcPr>
          <w:p w14:paraId="3169ED29" w14:textId="77777777" w:rsidR="003B487A" w:rsidRPr="003B487A" w:rsidRDefault="003B487A" w:rsidP="00506C0A">
            <w:pPr>
              <w:jc w:val="center"/>
              <w:rPr>
                <w:sz w:val="20"/>
                <w:lang w:val="en-GB"/>
              </w:rPr>
            </w:pPr>
            <w:r w:rsidRPr="003B487A">
              <w:rPr>
                <w:sz w:val="20"/>
                <w:lang w:val="en-GB"/>
              </w:rPr>
              <w:t>5%</w:t>
            </w:r>
          </w:p>
        </w:tc>
      </w:tr>
      <w:tr w:rsidR="003B487A" w:rsidRPr="00830EB8" w14:paraId="7699A9B4" w14:textId="77777777" w:rsidTr="00506C0A">
        <w:tc>
          <w:tcPr>
            <w:tcW w:w="2005" w:type="dxa"/>
          </w:tcPr>
          <w:p w14:paraId="12B154F6" w14:textId="77777777" w:rsidR="003B487A" w:rsidRPr="00830EB8" w:rsidRDefault="003B487A" w:rsidP="00506C0A">
            <w:pPr>
              <w:rPr>
                <w:b/>
                <w:sz w:val="20"/>
                <w:lang w:val="en-GB"/>
              </w:rPr>
            </w:pPr>
            <w:r w:rsidRPr="00830EB8">
              <w:rPr>
                <w:b/>
                <w:sz w:val="20"/>
                <w:lang w:val="en-GB"/>
              </w:rPr>
              <w:t>TOTAL</w:t>
            </w:r>
          </w:p>
        </w:tc>
        <w:tc>
          <w:tcPr>
            <w:tcW w:w="1978" w:type="dxa"/>
          </w:tcPr>
          <w:p w14:paraId="3815270D" w14:textId="77777777" w:rsidR="003B487A" w:rsidRPr="00830EB8" w:rsidRDefault="003B487A" w:rsidP="00506C0A">
            <w:pPr>
              <w:spacing w:line="276" w:lineRule="auto"/>
              <w:jc w:val="center"/>
              <w:rPr>
                <w:b/>
                <w:sz w:val="20"/>
                <w:lang w:val="en-GB"/>
              </w:rPr>
            </w:pPr>
            <w:r w:rsidRPr="00830EB8">
              <w:rPr>
                <w:b/>
                <w:sz w:val="20"/>
                <w:lang w:val="en-GB"/>
              </w:rPr>
              <w:t>100</w:t>
            </w:r>
            <w:r>
              <w:rPr>
                <w:b/>
                <w:sz w:val="20"/>
                <w:lang w:val="en-GB"/>
              </w:rPr>
              <w:t xml:space="preserve"> %</w:t>
            </w:r>
          </w:p>
        </w:tc>
        <w:tc>
          <w:tcPr>
            <w:tcW w:w="1977" w:type="dxa"/>
          </w:tcPr>
          <w:p w14:paraId="1E87F4B7" w14:textId="77777777" w:rsidR="003B487A" w:rsidRPr="00830EB8" w:rsidRDefault="003B487A" w:rsidP="00506C0A">
            <w:pPr>
              <w:jc w:val="center"/>
              <w:rPr>
                <w:b/>
                <w:sz w:val="20"/>
                <w:lang w:val="en-GB"/>
              </w:rPr>
            </w:pPr>
            <w:r w:rsidRPr="00830EB8">
              <w:rPr>
                <w:b/>
                <w:sz w:val="20"/>
                <w:lang w:val="en-GB"/>
              </w:rPr>
              <w:t>100</w:t>
            </w:r>
            <w:r>
              <w:rPr>
                <w:b/>
                <w:sz w:val="20"/>
                <w:lang w:val="en-GB"/>
              </w:rPr>
              <w:t xml:space="preserve"> %</w:t>
            </w:r>
          </w:p>
        </w:tc>
        <w:tc>
          <w:tcPr>
            <w:tcW w:w="1977" w:type="dxa"/>
          </w:tcPr>
          <w:p w14:paraId="60C3E5E6" w14:textId="77777777" w:rsidR="003B487A" w:rsidRPr="00830EB8" w:rsidRDefault="003B487A" w:rsidP="00506C0A">
            <w:pPr>
              <w:jc w:val="center"/>
              <w:rPr>
                <w:b/>
                <w:sz w:val="20"/>
                <w:lang w:val="en-GB"/>
              </w:rPr>
            </w:pPr>
            <w:r w:rsidRPr="00830EB8">
              <w:rPr>
                <w:b/>
                <w:sz w:val="20"/>
                <w:lang w:val="en-GB"/>
              </w:rPr>
              <w:t>100</w:t>
            </w:r>
            <w:r>
              <w:rPr>
                <w:b/>
                <w:sz w:val="20"/>
                <w:lang w:val="en-GB"/>
              </w:rPr>
              <w:t xml:space="preserve"> %</w:t>
            </w:r>
          </w:p>
        </w:tc>
        <w:tc>
          <w:tcPr>
            <w:tcW w:w="1639" w:type="dxa"/>
          </w:tcPr>
          <w:p w14:paraId="56578517" w14:textId="77777777" w:rsidR="003B487A" w:rsidRPr="003B487A" w:rsidRDefault="003B487A" w:rsidP="00506C0A">
            <w:pPr>
              <w:jc w:val="center"/>
              <w:rPr>
                <w:b/>
                <w:sz w:val="20"/>
                <w:lang w:val="en-GB"/>
              </w:rPr>
            </w:pPr>
            <w:r w:rsidRPr="003B487A">
              <w:rPr>
                <w:b/>
                <w:sz w:val="20"/>
                <w:lang w:val="en-GB"/>
              </w:rPr>
              <w:t>100%</w:t>
            </w:r>
          </w:p>
        </w:tc>
      </w:tr>
    </w:tbl>
    <w:p w14:paraId="0010633E" w14:textId="77777777" w:rsidR="003B487A" w:rsidRPr="00830EB8" w:rsidRDefault="003B487A" w:rsidP="003B487A">
      <w:pPr>
        <w:rPr>
          <w:sz w:val="18"/>
          <w:szCs w:val="18"/>
          <w:lang w:val="en-GB" w:bidi="en-US"/>
        </w:rPr>
      </w:pPr>
      <w:r w:rsidRPr="003B487A">
        <w:rPr>
          <w:sz w:val="18"/>
          <w:szCs w:val="18"/>
          <w:lang w:val="en-GB" w:bidi="en-US"/>
        </w:rPr>
        <w:t>Source: NHA (2014)</w:t>
      </w:r>
    </w:p>
    <w:p w14:paraId="0FBBF6F3" w14:textId="77777777" w:rsidR="003B487A" w:rsidRPr="00EB4F0C" w:rsidRDefault="003B487A" w:rsidP="003B487A">
      <w:pPr>
        <w:spacing w:line="240" w:lineRule="auto"/>
        <w:ind w:left="709"/>
        <w:rPr>
          <w:rFonts w:eastAsia="SimSun" w:cs="Arial"/>
          <w:i/>
          <w:szCs w:val="24"/>
          <w:lang w:eastAsia="zh-CN"/>
        </w:rPr>
      </w:pPr>
    </w:p>
    <w:p w14:paraId="726FB8AF" w14:textId="77777777" w:rsidR="0023565D" w:rsidRPr="00EB4F0C" w:rsidRDefault="0023565D" w:rsidP="002E07C5">
      <w:pPr>
        <w:spacing w:line="240" w:lineRule="auto"/>
        <w:rPr>
          <w:rFonts w:eastAsia="SimSun" w:cs="Arial"/>
          <w:b/>
          <w:szCs w:val="24"/>
          <w:lang w:eastAsia="zh-CN"/>
        </w:rPr>
      </w:pPr>
      <w:r w:rsidRPr="00EB4F0C">
        <w:rPr>
          <w:rFonts w:eastAsia="SimSun" w:cs="Arial"/>
          <w:b/>
          <w:szCs w:val="24"/>
          <w:lang w:eastAsia="zh-CN"/>
        </w:rPr>
        <w:t>Challenges</w:t>
      </w:r>
    </w:p>
    <w:p w14:paraId="430D0A49" w14:textId="776FDF65" w:rsidR="0023565D" w:rsidRPr="00EB4F0C" w:rsidRDefault="002A066C" w:rsidP="00183E26">
      <w:r>
        <w:rPr>
          <w:lang w:eastAsia="zh-CN"/>
        </w:rPr>
        <w:t>There is still a significant level of dependence on external partners to financ</w:t>
      </w:r>
      <w:r w:rsidR="00F45D25">
        <w:rPr>
          <w:lang w:eastAsia="zh-CN"/>
        </w:rPr>
        <w:t>e</w:t>
      </w:r>
      <w:r>
        <w:rPr>
          <w:lang w:eastAsia="zh-CN"/>
        </w:rPr>
        <w:t xml:space="preserve"> health care while the share of domestic tax sources is still very low. A significant proportion of donor funding support goes to vertical programs hence only a small segment of the population benefit leaving broad health system improvement with limited resources. This poses a threat to the sustainability of the system. Further the level of dependence on out-of-pocket payment is still high and it is commonly understood</w:t>
      </w:r>
      <w:r w:rsidR="005607ED">
        <w:rPr>
          <w:lang w:eastAsia="zh-CN"/>
        </w:rPr>
        <w:t xml:space="preserve"> that</w:t>
      </w:r>
      <w:r>
        <w:rPr>
          <w:lang w:eastAsia="zh-CN"/>
        </w:rPr>
        <w:t xml:space="preserve"> high dependence on out-of-pocket payments is a major cause of inequities in access to health care and high degree of financial risk</w:t>
      </w:r>
      <w:r w:rsidR="00F45D25">
        <w:rPr>
          <w:lang w:eastAsia="zh-CN"/>
        </w:rPr>
        <w:t xml:space="preserve"> for catastrophic health expenditures</w:t>
      </w:r>
      <w:r>
        <w:rPr>
          <w:lang w:eastAsia="zh-CN"/>
        </w:rPr>
        <w:t xml:space="preserve">. </w:t>
      </w:r>
      <w:r w:rsidR="0023565D" w:rsidRPr="00EB4F0C">
        <w:t xml:space="preserve">With regards to the existing health insurance schemes, </w:t>
      </w:r>
      <w:r w:rsidR="0023565D" w:rsidRPr="00EB4F0C">
        <w:rPr>
          <w:lang w:val="en-GB" w:eastAsia="zh-CN"/>
        </w:rPr>
        <w:t xml:space="preserve">enrolment is still low. </w:t>
      </w:r>
      <w:r w:rsidR="0023565D" w:rsidRPr="00EB4F0C">
        <w:rPr>
          <w:lang w:val="en-GB"/>
        </w:rPr>
        <w:t xml:space="preserve">Studies </w:t>
      </w:r>
      <w:r w:rsidR="0023565D" w:rsidRPr="00EB4F0C">
        <w:rPr>
          <w:lang w:val="en-GB" w:eastAsia="zh-CN"/>
        </w:rPr>
        <w:t>conducted have identified several reasons for the low enrolment including poor quality of service coupled with frequent drug stock-outs in health facilities, weak design and management, poor understanding of the concept of risk pooling, and unattractive benefits package.</w:t>
      </w:r>
      <w:r w:rsidR="0023565D" w:rsidRPr="00EB4F0C">
        <w:rPr>
          <w:vertAlign w:val="superscript"/>
          <w:lang w:val="en-GB" w:eastAsia="zh-CN"/>
        </w:rPr>
        <w:footnoteReference w:id="4"/>
      </w:r>
      <w:r w:rsidR="0023565D" w:rsidRPr="00EB4F0C">
        <w:t xml:space="preserve"> </w:t>
      </w:r>
    </w:p>
    <w:p w14:paraId="50E9D90E" w14:textId="744EA496" w:rsidR="00362633" w:rsidRDefault="00362633">
      <w:pPr>
        <w:spacing w:after="200"/>
        <w:jc w:val="left"/>
        <w:rPr>
          <w:color w:val="000000"/>
          <w:lang w:eastAsia="zh-CN"/>
        </w:rPr>
      </w:pPr>
      <w:r>
        <w:rPr>
          <w:color w:val="000000"/>
          <w:lang w:eastAsia="zh-CN"/>
        </w:rPr>
        <w:br w:type="page"/>
      </w:r>
    </w:p>
    <w:p w14:paraId="3431EFED" w14:textId="77777777" w:rsidR="0023565D" w:rsidRPr="00EB4F0C" w:rsidRDefault="0023565D" w:rsidP="00183E26">
      <w:pPr>
        <w:pStyle w:val="Heading2"/>
      </w:pPr>
      <w:bookmarkStart w:id="15" w:name="_Toc411949920"/>
      <w:r w:rsidRPr="00EB4F0C">
        <w:lastRenderedPageBreak/>
        <w:t>Pooling</w:t>
      </w:r>
      <w:bookmarkEnd w:id="15"/>
      <w:r w:rsidRPr="00EB4F0C">
        <w:t xml:space="preserve"> </w:t>
      </w:r>
    </w:p>
    <w:p w14:paraId="7ACE2219" w14:textId="19DA1291" w:rsidR="000B3D91" w:rsidRDefault="0023565D" w:rsidP="00183E26">
      <w:r w:rsidRPr="00EB4F0C">
        <w:t xml:space="preserve">The </w:t>
      </w:r>
      <w:r w:rsidR="000B3D91">
        <w:t xml:space="preserve">health financing landscape in Tanzania is heavily </w:t>
      </w:r>
      <w:r w:rsidRPr="00EB4F0C">
        <w:t>fragmented</w:t>
      </w:r>
      <w:r w:rsidR="00183E26">
        <w:t xml:space="preserve">, not </w:t>
      </w:r>
      <w:r w:rsidR="000B3D91">
        <w:t xml:space="preserve">only among </w:t>
      </w:r>
      <w:r w:rsidR="00183E26">
        <w:t xml:space="preserve">existing </w:t>
      </w:r>
      <w:r w:rsidR="000B3D91">
        <w:t xml:space="preserve">health insurance </w:t>
      </w:r>
      <w:r w:rsidR="00E62075">
        <w:t>schemes</w:t>
      </w:r>
      <w:r w:rsidR="00183E26">
        <w:t>,</w:t>
      </w:r>
      <w:r w:rsidR="000B3D91">
        <w:t xml:space="preserve"> but also among different vertical project funds, basket funds and </w:t>
      </w:r>
      <w:r w:rsidR="00183E26">
        <w:t xml:space="preserve">government budgetary funds to central and lower levels. The current funding flows are shown in Figure 4 below. </w:t>
      </w:r>
    </w:p>
    <w:p w14:paraId="50FF1277" w14:textId="77777777" w:rsidR="00183E26" w:rsidRDefault="00183E26" w:rsidP="000B3D91">
      <w:pPr>
        <w:spacing w:line="240" w:lineRule="auto"/>
        <w:rPr>
          <w:rFonts w:cs="Arial"/>
          <w:color w:val="000000" w:themeColor="text1"/>
          <w:szCs w:val="24"/>
        </w:rPr>
      </w:pPr>
    </w:p>
    <w:p w14:paraId="647442F5" w14:textId="5641619A" w:rsidR="0023565D" w:rsidRPr="00EB4F0C" w:rsidRDefault="00183E26" w:rsidP="00183E26">
      <w:pPr>
        <w:pStyle w:val="Caption"/>
        <w:rPr>
          <w:rFonts w:cs="Arial"/>
          <w:b w:val="0"/>
          <w:szCs w:val="24"/>
        </w:rPr>
      </w:pPr>
      <w:r>
        <w:t xml:space="preserve">Figure </w:t>
      </w:r>
      <w:r w:rsidR="002266EC">
        <w:t>3.2</w:t>
      </w:r>
      <w:r w:rsidR="00124264">
        <w:rPr>
          <w:noProof/>
        </w:rPr>
        <w:t>:</w:t>
      </w:r>
      <w:r>
        <w:t xml:space="preserve">  Current health financing structure</w:t>
      </w:r>
    </w:p>
    <w:p w14:paraId="5B39A823" w14:textId="77777777" w:rsidR="0023565D" w:rsidRPr="00EB4F0C" w:rsidRDefault="00730A9C" w:rsidP="002E07C5">
      <w:pPr>
        <w:ind w:left="709"/>
        <w:rPr>
          <w:rFonts w:cs="Arial"/>
          <w:szCs w:val="24"/>
          <w:lang w:val="en-GB"/>
        </w:rPr>
      </w:pPr>
      <w:r w:rsidRPr="00730A9C">
        <w:rPr>
          <w:rFonts w:cs="Arial"/>
          <w:noProof/>
          <w:szCs w:val="24"/>
          <w:lang w:val="en-GB" w:eastAsia="en-GB"/>
        </w:rPr>
        <w:drawing>
          <wp:inline distT="0" distB="0" distL="0" distR="0" wp14:anchorId="0A239CE0" wp14:editId="1345F460">
            <wp:extent cx="5943600" cy="3333115"/>
            <wp:effectExtent l="0" t="0" r="0" b="635"/>
            <wp:docPr id="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2" cstate="print"/>
                    <a:stretch>
                      <a:fillRect/>
                    </a:stretch>
                  </pic:blipFill>
                  <pic:spPr>
                    <a:xfrm>
                      <a:off x="0" y="0"/>
                      <a:ext cx="5943600" cy="3333115"/>
                    </a:xfrm>
                    <a:prstGeom prst="rect">
                      <a:avLst/>
                    </a:prstGeom>
                  </pic:spPr>
                </pic:pic>
              </a:graphicData>
            </a:graphic>
          </wp:inline>
        </w:drawing>
      </w:r>
    </w:p>
    <w:p w14:paraId="4DF43F93" w14:textId="77777777" w:rsidR="00183E26" w:rsidRDefault="0023565D" w:rsidP="002E07C5">
      <w:pPr>
        <w:tabs>
          <w:tab w:val="left" w:pos="284"/>
        </w:tabs>
      </w:pPr>
      <w:r w:rsidRPr="00E01E41">
        <w:rPr>
          <w:rFonts w:cs="Arial"/>
          <w:szCs w:val="24"/>
          <w:lang w:val="en-GB"/>
        </w:rPr>
        <w:t>CHF</w:t>
      </w:r>
      <w:r w:rsidRPr="00EB4F0C">
        <w:rPr>
          <w:rFonts w:cs="Arial"/>
          <w:szCs w:val="24"/>
          <w:lang w:val="en-GB"/>
        </w:rPr>
        <w:t xml:space="preserve"> premiums </w:t>
      </w:r>
      <w:r w:rsidR="000015A6" w:rsidRPr="00183E26">
        <w:t xml:space="preserve">are </w:t>
      </w:r>
      <w:r w:rsidRPr="00183E26">
        <w:t xml:space="preserve">collected </w:t>
      </w:r>
      <w:r w:rsidR="000015A6" w:rsidRPr="00183E26">
        <w:t>from members at health facilities and matched 100</w:t>
      </w:r>
      <w:r w:rsidR="00267347">
        <w:t xml:space="preserve"> percent</w:t>
      </w:r>
      <w:r w:rsidR="000015A6" w:rsidRPr="00183E26">
        <w:t xml:space="preserve"> by the government (administered by NHIF).</w:t>
      </w:r>
      <w:r w:rsidR="005607ED">
        <w:t xml:space="preserve"> With the current fragmented district CHF pools, the </w:t>
      </w:r>
      <w:r w:rsidR="005607ED" w:rsidRPr="00183E26">
        <w:t xml:space="preserve">richer </w:t>
      </w:r>
      <w:r w:rsidR="005607ED">
        <w:t>c</w:t>
      </w:r>
      <w:r w:rsidR="005607ED" w:rsidRPr="00183E26">
        <w:t xml:space="preserve">ouncils receive higher </w:t>
      </w:r>
      <w:r w:rsidR="005607ED">
        <w:t xml:space="preserve">matching funds (as </w:t>
      </w:r>
      <w:r w:rsidR="005607ED" w:rsidRPr="00183E26">
        <w:t>subsidies</w:t>
      </w:r>
      <w:r w:rsidR="005607ED">
        <w:t xml:space="preserve">) compared to the </w:t>
      </w:r>
      <w:r w:rsidR="005607ED" w:rsidRPr="00183E26">
        <w:t xml:space="preserve">poor </w:t>
      </w:r>
      <w:r w:rsidR="005607ED">
        <w:t>c</w:t>
      </w:r>
      <w:r w:rsidR="005607ED" w:rsidRPr="00183E26">
        <w:t>ouncils.</w:t>
      </w:r>
      <w:r w:rsidR="005607ED">
        <w:t xml:space="preserve"> </w:t>
      </w:r>
      <w:r w:rsidR="000015A6" w:rsidRPr="00183E26">
        <w:t xml:space="preserve">Collected premiums </w:t>
      </w:r>
      <w:r w:rsidRPr="00183E26">
        <w:t xml:space="preserve">are submitted to the </w:t>
      </w:r>
      <w:r w:rsidR="00183E26" w:rsidRPr="00183E26">
        <w:t xml:space="preserve">LGA </w:t>
      </w:r>
      <w:r w:rsidRPr="00183E26">
        <w:t xml:space="preserve">cost-sharing account, where they are pooled with user-fees. </w:t>
      </w:r>
      <w:r w:rsidR="005607ED" w:rsidRPr="00183E26">
        <w:t xml:space="preserve">At the </w:t>
      </w:r>
      <w:r w:rsidR="005607ED">
        <w:t xml:space="preserve">moment CHF </w:t>
      </w:r>
      <w:r w:rsidR="005607ED" w:rsidRPr="00183E26">
        <w:t>risk pools are relatively small and cover mostly the middle-income groups – the poorer often stay out and the richer are covered by the NHIF or private insurance.</w:t>
      </w:r>
      <w:r w:rsidR="005607ED">
        <w:t xml:space="preserve"> </w:t>
      </w:r>
    </w:p>
    <w:p w14:paraId="2E37C3B8" w14:textId="77777777" w:rsidR="005607ED" w:rsidRPr="00EB4F0C" w:rsidRDefault="005607ED" w:rsidP="002E07C5">
      <w:pPr>
        <w:tabs>
          <w:tab w:val="left" w:pos="284"/>
        </w:tabs>
        <w:rPr>
          <w:rFonts w:cs="Arial"/>
          <w:szCs w:val="24"/>
          <w:lang w:val="en-GB"/>
        </w:rPr>
      </w:pPr>
    </w:p>
    <w:p w14:paraId="2C5C311A" w14:textId="0D45E6F4" w:rsidR="0023565D" w:rsidRDefault="0023565D" w:rsidP="002E07C5">
      <w:pPr>
        <w:rPr>
          <w:rFonts w:cs="Arial"/>
          <w:szCs w:val="24"/>
          <w:lang w:val="en-GB"/>
        </w:rPr>
      </w:pPr>
      <w:r w:rsidRPr="00EB4F0C">
        <w:rPr>
          <w:rFonts w:cs="Arial"/>
          <w:szCs w:val="24"/>
          <w:lang w:val="en-GB"/>
        </w:rPr>
        <w:t xml:space="preserve">The </w:t>
      </w:r>
      <w:r w:rsidRPr="00E01E41">
        <w:rPr>
          <w:rFonts w:cs="Arial"/>
          <w:szCs w:val="24"/>
          <w:lang w:val="en-GB"/>
        </w:rPr>
        <w:t>NHIF</w:t>
      </w:r>
      <w:r w:rsidRPr="00EB4F0C">
        <w:rPr>
          <w:rFonts w:cs="Arial"/>
          <w:szCs w:val="24"/>
          <w:lang w:val="en-GB"/>
        </w:rPr>
        <w:t xml:space="preserve"> has one nation-wide pool into which all </w:t>
      </w:r>
      <w:r w:rsidR="005607ED">
        <w:rPr>
          <w:rFonts w:cs="Arial"/>
          <w:szCs w:val="24"/>
          <w:lang w:val="en-GB"/>
        </w:rPr>
        <w:t xml:space="preserve">premium revenue collected together with returns from investments are deposited. </w:t>
      </w:r>
      <w:r w:rsidRPr="00EB4F0C">
        <w:rPr>
          <w:rFonts w:cs="Arial"/>
          <w:szCs w:val="24"/>
          <w:lang w:val="en-GB"/>
        </w:rPr>
        <w:t xml:space="preserve">The </w:t>
      </w:r>
      <w:r w:rsidR="000015A6">
        <w:rPr>
          <w:rFonts w:cs="Arial"/>
          <w:szCs w:val="24"/>
          <w:lang w:val="en-GB"/>
        </w:rPr>
        <w:t xml:space="preserve">relatively </w:t>
      </w:r>
      <w:r w:rsidRPr="00EB4F0C">
        <w:rPr>
          <w:rFonts w:cs="Arial"/>
          <w:szCs w:val="24"/>
          <w:lang w:val="en-GB"/>
        </w:rPr>
        <w:t xml:space="preserve">large pool gives it financial viability. </w:t>
      </w:r>
      <w:r w:rsidR="00E62075">
        <w:rPr>
          <w:rFonts w:cs="Arial"/>
          <w:szCs w:val="24"/>
          <w:lang w:val="en-GB"/>
        </w:rPr>
        <w:t xml:space="preserve">On the contrary, </w:t>
      </w:r>
      <w:r w:rsidR="0056567B">
        <w:rPr>
          <w:rFonts w:cs="Arial"/>
          <w:szCs w:val="24"/>
          <w:lang w:val="en-GB"/>
        </w:rPr>
        <w:t xml:space="preserve">SHIB </w:t>
      </w:r>
      <w:r w:rsidR="00E01E41">
        <w:rPr>
          <w:rFonts w:cs="Arial"/>
          <w:szCs w:val="24"/>
          <w:lang w:val="en-GB"/>
        </w:rPr>
        <w:t xml:space="preserve">and </w:t>
      </w:r>
      <w:r w:rsidR="0056567B">
        <w:rPr>
          <w:rFonts w:cs="Arial"/>
          <w:szCs w:val="24"/>
          <w:lang w:val="en-GB"/>
        </w:rPr>
        <w:t xml:space="preserve">the </w:t>
      </w:r>
      <w:r w:rsidR="00E01E41">
        <w:rPr>
          <w:rFonts w:cs="Arial"/>
          <w:szCs w:val="24"/>
          <w:lang w:val="en-GB"/>
        </w:rPr>
        <w:t>isolated community-based or mutual health insurance schemes (CBHI/MHIS)</w:t>
      </w:r>
      <w:r w:rsidRPr="00EB4F0C">
        <w:rPr>
          <w:rFonts w:cs="Arial"/>
          <w:szCs w:val="24"/>
          <w:lang w:val="en-GB"/>
        </w:rPr>
        <w:t xml:space="preserve"> have small risk pools. In the case of CBHI/MHIS, the small size of the pool</w:t>
      </w:r>
      <w:r w:rsidR="000015A6">
        <w:rPr>
          <w:rFonts w:cs="Arial"/>
          <w:szCs w:val="24"/>
          <w:lang w:val="en-GB"/>
        </w:rPr>
        <w:t>s</w:t>
      </w:r>
      <w:r w:rsidRPr="00EB4F0C">
        <w:rPr>
          <w:rFonts w:cs="Arial"/>
          <w:szCs w:val="24"/>
          <w:lang w:val="en-GB"/>
        </w:rPr>
        <w:t xml:space="preserve"> makes pooling </w:t>
      </w:r>
      <w:r w:rsidR="00E62075">
        <w:rPr>
          <w:rFonts w:cs="Arial"/>
          <w:szCs w:val="24"/>
          <w:lang w:val="en-GB"/>
        </w:rPr>
        <w:t xml:space="preserve">relatively </w:t>
      </w:r>
      <w:r w:rsidRPr="00EB4F0C">
        <w:rPr>
          <w:rFonts w:cs="Arial"/>
          <w:szCs w:val="24"/>
          <w:lang w:val="en-GB"/>
        </w:rPr>
        <w:t xml:space="preserve">inefficient due to the low financial stability and sustainability, as well as limits equity effects through redistribution. In the case of </w:t>
      </w:r>
      <w:r w:rsidRPr="00E62075">
        <w:rPr>
          <w:rFonts w:cs="Arial"/>
          <w:szCs w:val="24"/>
          <w:lang w:val="en-GB"/>
        </w:rPr>
        <w:t>private insurance</w:t>
      </w:r>
      <w:r w:rsidRPr="00EB4F0C">
        <w:rPr>
          <w:rFonts w:cs="Arial"/>
          <w:szCs w:val="24"/>
          <w:lang w:val="en-GB"/>
        </w:rPr>
        <w:t>, the risk</w:t>
      </w:r>
      <w:r w:rsidR="00E202F0">
        <w:rPr>
          <w:rFonts w:cs="Arial"/>
          <w:szCs w:val="24"/>
          <w:lang w:val="en-GB"/>
        </w:rPr>
        <w:t xml:space="preserve"> </w:t>
      </w:r>
      <w:r w:rsidRPr="00EB4F0C">
        <w:rPr>
          <w:rFonts w:cs="Arial"/>
          <w:szCs w:val="24"/>
          <w:lang w:val="en-GB"/>
        </w:rPr>
        <w:t xml:space="preserve">pool is only balancing risks partially as insurance contracts are </w:t>
      </w:r>
      <w:r w:rsidRPr="00EB4F0C">
        <w:rPr>
          <w:rFonts w:cs="Arial"/>
          <w:szCs w:val="24"/>
          <w:lang w:val="en-GB"/>
        </w:rPr>
        <w:lastRenderedPageBreak/>
        <w:t>written individually</w:t>
      </w:r>
      <w:r w:rsidR="00E202F0">
        <w:rPr>
          <w:rFonts w:cs="Arial"/>
          <w:szCs w:val="24"/>
          <w:lang w:val="en-GB"/>
        </w:rPr>
        <w:t xml:space="preserve"> and</w:t>
      </w:r>
      <w:r w:rsidRPr="00EB4F0C">
        <w:rPr>
          <w:rFonts w:cs="Arial"/>
          <w:szCs w:val="24"/>
          <w:lang w:val="en-GB"/>
        </w:rPr>
        <w:t xml:space="preserve"> negotiated between the company </w:t>
      </w:r>
      <w:proofErr w:type="gramStart"/>
      <w:r w:rsidRPr="00EB4F0C">
        <w:rPr>
          <w:rFonts w:cs="Arial"/>
          <w:szCs w:val="24"/>
          <w:lang w:val="en-GB"/>
        </w:rPr>
        <w:t>or</w:t>
      </w:r>
      <w:proofErr w:type="gramEnd"/>
      <w:r w:rsidRPr="00EB4F0C">
        <w:rPr>
          <w:rFonts w:cs="Arial"/>
          <w:szCs w:val="24"/>
          <w:lang w:val="en-GB"/>
        </w:rPr>
        <w:t xml:space="preserve"> individual</w:t>
      </w:r>
      <w:r w:rsidR="00C57C33">
        <w:rPr>
          <w:rFonts w:cs="Arial"/>
          <w:szCs w:val="24"/>
          <w:lang w:val="en-GB"/>
        </w:rPr>
        <w:t>s</w:t>
      </w:r>
      <w:r w:rsidRPr="00EB4F0C">
        <w:rPr>
          <w:rFonts w:cs="Arial"/>
          <w:szCs w:val="24"/>
          <w:lang w:val="en-GB"/>
        </w:rPr>
        <w:t xml:space="preserve"> seeking insurance cover</w:t>
      </w:r>
      <w:r w:rsidR="00E202F0">
        <w:rPr>
          <w:rFonts w:cs="Arial"/>
          <w:szCs w:val="24"/>
          <w:lang w:val="en-GB"/>
        </w:rPr>
        <w:t>age</w:t>
      </w:r>
      <w:r w:rsidRPr="00EB4F0C">
        <w:rPr>
          <w:rFonts w:cs="Arial"/>
          <w:szCs w:val="24"/>
          <w:lang w:val="en-GB"/>
        </w:rPr>
        <w:t>.</w:t>
      </w:r>
    </w:p>
    <w:p w14:paraId="67D48251" w14:textId="77777777" w:rsidR="00E01E41" w:rsidRPr="00EB4F0C" w:rsidRDefault="00E01E41" w:rsidP="002E07C5">
      <w:pPr>
        <w:rPr>
          <w:rFonts w:cs="Arial"/>
          <w:szCs w:val="24"/>
          <w:lang w:val="en-GB"/>
        </w:rPr>
      </w:pPr>
    </w:p>
    <w:p w14:paraId="5E984F64" w14:textId="77777777" w:rsidR="00E01E41" w:rsidRPr="00E01E41" w:rsidRDefault="00E01E41" w:rsidP="00E01E41">
      <w:pPr>
        <w:spacing w:after="120"/>
        <w:rPr>
          <w:rFonts w:cs="Arial"/>
          <w:b/>
          <w:color w:val="000000" w:themeColor="text1"/>
          <w:szCs w:val="24"/>
        </w:rPr>
      </w:pPr>
      <w:r w:rsidRPr="00E01E41">
        <w:rPr>
          <w:rFonts w:cs="Arial"/>
          <w:b/>
          <w:color w:val="000000" w:themeColor="text1"/>
          <w:szCs w:val="24"/>
        </w:rPr>
        <w:t>Challenges</w:t>
      </w:r>
    </w:p>
    <w:p w14:paraId="142A93BC" w14:textId="44255ABA" w:rsidR="0023565D" w:rsidRPr="00EB4F0C" w:rsidRDefault="0023565D" w:rsidP="00E01E41">
      <w:r w:rsidRPr="00EB4F0C">
        <w:t xml:space="preserve">The main challenge observed is the fragmentation of the </w:t>
      </w:r>
      <w:r w:rsidR="000015A6">
        <w:t>health insurance landscape</w:t>
      </w:r>
      <w:r w:rsidRPr="00EB4F0C">
        <w:t xml:space="preserve">. This fragmentation begins from the </w:t>
      </w:r>
      <w:r w:rsidR="000015A6">
        <w:t>governance structures of the schemes</w:t>
      </w:r>
      <w:r w:rsidRPr="00EB4F0C">
        <w:t>, where different ministries are responsible for different health insurance</w:t>
      </w:r>
      <w:r w:rsidR="000015A6">
        <w:t>s</w:t>
      </w:r>
      <w:r w:rsidRPr="00EB4F0C">
        <w:t xml:space="preserve"> including </w:t>
      </w:r>
      <w:proofErr w:type="spellStart"/>
      <w:r w:rsidRPr="00EB4F0C">
        <w:t>MoHSW</w:t>
      </w:r>
      <w:proofErr w:type="spellEnd"/>
      <w:r w:rsidRPr="00EB4F0C">
        <w:t xml:space="preserve">, MOF, MOL and PMO-RALG. Fragmentation within the </w:t>
      </w:r>
      <w:r w:rsidR="000015A6">
        <w:t>health insurance landscape</w:t>
      </w:r>
      <w:r w:rsidRPr="00EB4F0C">
        <w:t xml:space="preserve"> manifests itself in coordination difficulties </w:t>
      </w:r>
      <w:r w:rsidR="00E202F0">
        <w:t>in</w:t>
      </w:r>
      <w:r w:rsidRPr="00EB4F0C">
        <w:t xml:space="preserve"> strateg</w:t>
      </w:r>
      <w:r w:rsidR="00E202F0">
        <w:t>y</w:t>
      </w:r>
      <w:r w:rsidRPr="00EB4F0C">
        <w:t>, resources and functions amongst the actors, duplication of activities and processes, not profiting from economies of scale, wastage of resources in the absence of an integrated approach and a strategy to achieve formulated policy goals. Another significant challenge posed by fragmentation is the lack of cross-subsidization from the wealthy to the poor</w:t>
      </w:r>
      <w:r w:rsidR="00E202F0">
        <w:t xml:space="preserve"> or the healthy to the sick</w:t>
      </w:r>
      <w:r w:rsidRPr="00EB4F0C">
        <w:t xml:space="preserve">. </w:t>
      </w:r>
    </w:p>
    <w:p w14:paraId="4072560F" w14:textId="77777777" w:rsidR="00611A58" w:rsidRPr="00EB4F0C" w:rsidRDefault="00611A58" w:rsidP="00E01E41"/>
    <w:p w14:paraId="7D5C5137" w14:textId="77777777" w:rsidR="0023565D" w:rsidRPr="00EB4F0C" w:rsidRDefault="0023565D" w:rsidP="00E01E41">
      <w:pPr>
        <w:pStyle w:val="Heading2"/>
      </w:pPr>
      <w:bookmarkStart w:id="16" w:name="_Toc411949921"/>
      <w:r w:rsidRPr="00EB4F0C">
        <w:t xml:space="preserve">Purchasing, </w:t>
      </w:r>
      <w:r w:rsidR="00E01E41">
        <w:t>p</w:t>
      </w:r>
      <w:r w:rsidRPr="00EB4F0C">
        <w:t xml:space="preserve">ayment, </w:t>
      </w:r>
      <w:r w:rsidR="00E01E41">
        <w:t>and a</w:t>
      </w:r>
      <w:r w:rsidRPr="00EB4F0C">
        <w:t>llocation of resources</w:t>
      </w:r>
      <w:bookmarkEnd w:id="16"/>
    </w:p>
    <w:p w14:paraId="59A4AE07" w14:textId="4D2C511D" w:rsidR="00905546" w:rsidRDefault="00905546" w:rsidP="00905546">
      <w:pPr>
        <w:pStyle w:val="Heading3"/>
      </w:pPr>
      <w:bookmarkStart w:id="17" w:name="_Toc411949922"/>
      <w:r>
        <w:t>Provider payment mechanisms</w:t>
      </w:r>
      <w:bookmarkEnd w:id="17"/>
      <w:r>
        <w:t xml:space="preserve"> </w:t>
      </w:r>
    </w:p>
    <w:p w14:paraId="1DB536E9" w14:textId="68167539" w:rsidR="005607ED" w:rsidRDefault="005607ED" w:rsidP="002E07C5">
      <w:pPr>
        <w:rPr>
          <w:rFonts w:cs="Arial"/>
          <w:szCs w:val="24"/>
        </w:rPr>
      </w:pPr>
      <w:r>
        <w:rPr>
          <w:rFonts w:cs="Arial"/>
          <w:szCs w:val="24"/>
        </w:rPr>
        <w:t xml:space="preserve">CHF funds </w:t>
      </w:r>
      <w:r w:rsidRPr="00183E26">
        <w:t>flow back to health facilities through CCHP activities budgeted from cost-sharing funds.</w:t>
      </w:r>
      <w:r>
        <w:t xml:space="preserve"> There is no clear separation between purchaser of health care services and providers.</w:t>
      </w:r>
      <w:r w:rsidRPr="00183E26">
        <w:t xml:space="preserve"> </w:t>
      </w:r>
      <w:r>
        <w:t xml:space="preserve">In the majority of councils CHF cards are not portable across providers and benefit package is limited to one primary facility of household choice. </w:t>
      </w:r>
      <w:r w:rsidRPr="00183E26">
        <w:t>In addition, the limited portability of benefits undermines the risk-pooling potential of CHF/</w:t>
      </w:r>
      <w:r>
        <w:t>T</w:t>
      </w:r>
      <w:r w:rsidRPr="00183E26">
        <w:t>IKA.</w:t>
      </w:r>
    </w:p>
    <w:p w14:paraId="4C083F7E" w14:textId="77777777" w:rsidR="005607ED" w:rsidRDefault="005607ED" w:rsidP="002E07C5">
      <w:pPr>
        <w:rPr>
          <w:rFonts w:cs="Arial"/>
          <w:szCs w:val="24"/>
        </w:rPr>
      </w:pPr>
    </w:p>
    <w:p w14:paraId="73789D1C" w14:textId="3B1A96FE" w:rsidR="001D4B9E" w:rsidRDefault="0023565D" w:rsidP="002E07C5">
      <w:pPr>
        <w:rPr>
          <w:rFonts w:cs="Arial"/>
          <w:szCs w:val="24"/>
        </w:rPr>
      </w:pPr>
      <w:r w:rsidRPr="00EB4F0C">
        <w:rPr>
          <w:rFonts w:cs="Arial"/>
          <w:szCs w:val="24"/>
        </w:rPr>
        <w:t>There is currently no single provider payment mechanism in Tanzania and each insurance scheme has its own pr</w:t>
      </w:r>
      <w:r w:rsidR="002307C4">
        <w:rPr>
          <w:rFonts w:cs="Arial"/>
          <w:szCs w:val="24"/>
        </w:rPr>
        <w:t>ovider payment system. While CHF</w:t>
      </w:r>
      <w:r w:rsidRPr="00EB4F0C">
        <w:rPr>
          <w:rFonts w:cs="Arial"/>
          <w:szCs w:val="24"/>
        </w:rPr>
        <w:t>, SHIB and CBHI use capitation, NHI</w:t>
      </w:r>
      <w:r w:rsidR="00E01E41">
        <w:rPr>
          <w:rFonts w:cs="Arial"/>
          <w:szCs w:val="24"/>
        </w:rPr>
        <w:t>F and private insurance use fee-for-</w:t>
      </w:r>
      <w:r w:rsidRPr="00EB4F0C">
        <w:rPr>
          <w:rFonts w:cs="Arial"/>
          <w:szCs w:val="24"/>
        </w:rPr>
        <w:t xml:space="preserve">service. At the LGA level, </w:t>
      </w:r>
      <w:r w:rsidR="00F653B9">
        <w:rPr>
          <w:rFonts w:cs="Arial"/>
          <w:szCs w:val="24"/>
        </w:rPr>
        <w:t>budget</w:t>
      </w:r>
      <w:r w:rsidR="00E01E41">
        <w:rPr>
          <w:rFonts w:cs="Arial"/>
          <w:szCs w:val="24"/>
        </w:rPr>
        <w:t>ary</w:t>
      </w:r>
      <w:r w:rsidR="00F653B9">
        <w:rPr>
          <w:rFonts w:cs="Arial"/>
          <w:szCs w:val="24"/>
        </w:rPr>
        <w:t xml:space="preserve"> transfer </w:t>
      </w:r>
      <w:r w:rsidRPr="00EB4F0C">
        <w:rPr>
          <w:rFonts w:cs="Arial"/>
          <w:szCs w:val="24"/>
        </w:rPr>
        <w:t xml:space="preserve">is used for </w:t>
      </w:r>
      <w:r w:rsidR="005B50C6">
        <w:rPr>
          <w:rFonts w:cs="Arial"/>
          <w:szCs w:val="24"/>
        </w:rPr>
        <w:t>o</w:t>
      </w:r>
      <w:r w:rsidR="00E01E41">
        <w:rPr>
          <w:rFonts w:cs="Arial"/>
          <w:szCs w:val="24"/>
        </w:rPr>
        <w:t xml:space="preserve">ther </w:t>
      </w:r>
      <w:r w:rsidR="005B50C6">
        <w:rPr>
          <w:rFonts w:cs="Arial"/>
          <w:szCs w:val="24"/>
        </w:rPr>
        <w:t>c</w:t>
      </w:r>
      <w:r w:rsidR="00E01E41">
        <w:rPr>
          <w:rFonts w:cs="Arial"/>
          <w:szCs w:val="24"/>
        </w:rPr>
        <w:t>harges</w:t>
      </w:r>
      <w:r w:rsidR="005B50C6">
        <w:rPr>
          <w:rFonts w:cs="Arial"/>
          <w:szCs w:val="24"/>
        </w:rPr>
        <w:t xml:space="preserve"> (OC)</w:t>
      </w:r>
      <w:r w:rsidR="00E01E41">
        <w:rPr>
          <w:rFonts w:cs="Arial"/>
          <w:szCs w:val="24"/>
        </w:rPr>
        <w:t xml:space="preserve">, the non-salary recurrent costs, </w:t>
      </w:r>
      <w:r w:rsidRPr="00EB4F0C">
        <w:rPr>
          <w:rFonts w:cs="Arial"/>
          <w:szCs w:val="24"/>
        </w:rPr>
        <w:t xml:space="preserve">and </w:t>
      </w:r>
      <w:r w:rsidR="00E01E41">
        <w:rPr>
          <w:rFonts w:cs="Arial"/>
          <w:szCs w:val="24"/>
        </w:rPr>
        <w:t xml:space="preserve">for the </w:t>
      </w:r>
      <w:r w:rsidRPr="00EB4F0C">
        <w:rPr>
          <w:rFonts w:cs="Arial"/>
          <w:szCs w:val="24"/>
        </w:rPr>
        <w:t>HBF, whereas other key flows employ other mechanisms such as user fees and NHIF</w:t>
      </w:r>
      <w:r w:rsidR="00F653B9">
        <w:rPr>
          <w:rFonts w:cs="Arial"/>
          <w:szCs w:val="24"/>
        </w:rPr>
        <w:t xml:space="preserve"> reimbursements</w:t>
      </w:r>
      <w:r w:rsidR="00630956">
        <w:rPr>
          <w:rFonts w:cs="Arial"/>
          <w:szCs w:val="24"/>
        </w:rPr>
        <w:t xml:space="preserve">. </w:t>
      </w:r>
    </w:p>
    <w:p w14:paraId="7530414A" w14:textId="77777777" w:rsidR="001D4B9E" w:rsidRPr="00EB4F0C" w:rsidRDefault="001D4B9E" w:rsidP="0056567B">
      <w:pPr>
        <w:rPr>
          <w:rFonts w:cs="Arial"/>
          <w:szCs w:val="24"/>
        </w:rPr>
      </w:pPr>
    </w:p>
    <w:p w14:paraId="5745B97B" w14:textId="77777777" w:rsidR="001D4B9E" w:rsidRPr="001D4B9E" w:rsidRDefault="001D4B9E" w:rsidP="002E07C5">
      <w:pPr>
        <w:rPr>
          <w:rFonts w:asciiTheme="majorHAnsi" w:eastAsiaTheme="majorEastAsia" w:hAnsiTheme="majorHAnsi" w:cstheme="majorBidi"/>
          <w:b/>
          <w:bCs/>
          <w:color w:val="4F81BD" w:themeColor="accent1"/>
        </w:rPr>
      </w:pPr>
      <w:r w:rsidRPr="001D4B9E">
        <w:rPr>
          <w:rFonts w:asciiTheme="majorHAnsi" w:eastAsia="SimSun" w:hAnsiTheme="majorHAnsi" w:cstheme="majorBidi"/>
          <w:b/>
          <w:bCs/>
          <w:color w:val="4F81BD" w:themeColor="accent1"/>
          <w:lang w:eastAsia="zh-CN"/>
        </w:rPr>
        <w:t>3.3.2</w:t>
      </w:r>
      <w:r w:rsidRPr="001D4B9E">
        <w:rPr>
          <w:rFonts w:asciiTheme="majorHAnsi" w:eastAsiaTheme="majorEastAsia" w:hAnsiTheme="majorHAnsi" w:cstheme="majorBidi"/>
          <w:b/>
          <w:bCs/>
          <w:color w:val="4F81BD" w:themeColor="accent1"/>
        </w:rPr>
        <w:t xml:space="preserve"> </w:t>
      </w:r>
      <w:r w:rsidRPr="001D4B9E">
        <w:rPr>
          <w:rFonts w:asciiTheme="majorHAnsi" w:eastAsiaTheme="majorEastAsia" w:hAnsiTheme="majorHAnsi" w:cstheme="majorBidi"/>
          <w:b/>
          <w:bCs/>
          <w:color w:val="4F81BD" w:themeColor="accent1"/>
        </w:rPr>
        <w:tab/>
        <w:t>Resource Allocation</w:t>
      </w:r>
    </w:p>
    <w:p w14:paraId="28E9786E" w14:textId="7DC773C1" w:rsidR="0023565D" w:rsidRPr="00EB4F0C" w:rsidRDefault="0023565D" w:rsidP="002E07C5">
      <w:pPr>
        <w:rPr>
          <w:rFonts w:cs="Arial"/>
          <w:szCs w:val="24"/>
        </w:rPr>
      </w:pPr>
      <w:r w:rsidRPr="00EB4F0C">
        <w:rPr>
          <w:rFonts w:cs="Arial"/>
          <w:szCs w:val="24"/>
        </w:rPr>
        <w:t xml:space="preserve">Resources </w:t>
      </w:r>
      <w:r w:rsidR="00F653B9">
        <w:rPr>
          <w:rFonts w:cs="Arial"/>
          <w:szCs w:val="24"/>
        </w:rPr>
        <w:t>f</w:t>
      </w:r>
      <w:r w:rsidR="00630956">
        <w:rPr>
          <w:rFonts w:cs="Arial"/>
          <w:szCs w:val="24"/>
        </w:rPr>
        <w:t>r</w:t>
      </w:r>
      <w:r w:rsidR="00F653B9">
        <w:rPr>
          <w:rFonts w:cs="Arial"/>
          <w:szCs w:val="24"/>
        </w:rPr>
        <w:t>o</w:t>
      </w:r>
      <w:r w:rsidR="00630956">
        <w:rPr>
          <w:rFonts w:cs="Arial"/>
          <w:szCs w:val="24"/>
        </w:rPr>
        <w:t>m</w:t>
      </w:r>
      <w:r w:rsidR="00F653B9">
        <w:rPr>
          <w:rFonts w:cs="Arial"/>
          <w:szCs w:val="24"/>
        </w:rPr>
        <w:t xml:space="preserve"> </w:t>
      </w:r>
      <w:r w:rsidR="00362C71">
        <w:rPr>
          <w:rFonts w:cs="Arial"/>
          <w:szCs w:val="24"/>
        </w:rPr>
        <w:t xml:space="preserve">the HBF </w:t>
      </w:r>
      <w:r w:rsidRPr="00EB4F0C">
        <w:rPr>
          <w:rFonts w:cs="Arial"/>
          <w:szCs w:val="24"/>
        </w:rPr>
        <w:t xml:space="preserve">are allocated </w:t>
      </w:r>
      <w:r w:rsidR="00871B7E">
        <w:rPr>
          <w:rFonts w:cs="Arial"/>
          <w:szCs w:val="24"/>
        </w:rPr>
        <w:t>according to a</w:t>
      </w:r>
      <w:r w:rsidR="00F653B9">
        <w:rPr>
          <w:rFonts w:cs="Arial"/>
          <w:szCs w:val="24"/>
        </w:rPr>
        <w:t xml:space="preserve"> formula</w:t>
      </w:r>
      <w:r w:rsidR="00871B7E">
        <w:rPr>
          <w:rFonts w:cs="Arial"/>
          <w:szCs w:val="24"/>
        </w:rPr>
        <w:t xml:space="preserve"> based largely on population (60</w:t>
      </w:r>
      <w:r w:rsidR="00267347">
        <w:rPr>
          <w:rFonts w:cs="Arial"/>
          <w:szCs w:val="24"/>
        </w:rPr>
        <w:t xml:space="preserve"> percent</w:t>
      </w:r>
      <w:r w:rsidR="00871B7E">
        <w:rPr>
          <w:rFonts w:cs="Arial"/>
          <w:szCs w:val="24"/>
        </w:rPr>
        <w:t>)</w:t>
      </w:r>
      <w:r w:rsidR="00F653B9">
        <w:rPr>
          <w:rFonts w:cs="Arial"/>
          <w:szCs w:val="24"/>
        </w:rPr>
        <w:t>.</w:t>
      </w:r>
      <w:r w:rsidRPr="00EB4F0C">
        <w:rPr>
          <w:rFonts w:cs="Arial"/>
          <w:szCs w:val="24"/>
        </w:rPr>
        <w:t xml:space="preserve"> The </w:t>
      </w:r>
      <w:r w:rsidR="00F653B9">
        <w:rPr>
          <w:rFonts w:cs="Arial"/>
          <w:szCs w:val="24"/>
        </w:rPr>
        <w:t>formula</w:t>
      </w:r>
      <w:r w:rsidR="00871B7E">
        <w:rPr>
          <w:rFonts w:cs="Arial"/>
          <w:szCs w:val="24"/>
        </w:rPr>
        <w:t xml:space="preserve"> is</w:t>
      </w:r>
      <w:r w:rsidR="00F653B9">
        <w:rPr>
          <w:rFonts w:cs="Arial"/>
          <w:szCs w:val="24"/>
        </w:rPr>
        <w:t xml:space="preserve"> designed to improve equity through the inclusion of weights for factors </w:t>
      </w:r>
      <w:r w:rsidRPr="00EB4F0C">
        <w:rPr>
          <w:rFonts w:cs="Arial"/>
          <w:szCs w:val="24"/>
        </w:rPr>
        <w:t>influenc</w:t>
      </w:r>
      <w:r w:rsidR="00362C71">
        <w:rPr>
          <w:rFonts w:cs="Arial"/>
          <w:szCs w:val="24"/>
        </w:rPr>
        <w:t>ing</w:t>
      </w:r>
      <w:r w:rsidRPr="00EB4F0C">
        <w:rPr>
          <w:rFonts w:cs="Arial"/>
          <w:szCs w:val="24"/>
        </w:rPr>
        <w:t xml:space="preserve"> the need for funding in different geographical locations.  Currently, these factors are poverty</w:t>
      </w:r>
      <w:r w:rsidR="00861AA4">
        <w:rPr>
          <w:rFonts w:cs="Arial"/>
          <w:szCs w:val="24"/>
        </w:rPr>
        <w:t xml:space="preserve"> </w:t>
      </w:r>
      <w:r w:rsidR="0058066E">
        <w:rPr>
          <w:rFonts w:cs="Arial"/>
          <w:szCs w:val="24"/>
        </w:rPr>
        <w:t>(10</w:t>
      </w:r>
      <w:r w:rsidR="00267347">
        <w:rPr>
          <w:rFonts w:cs="Arial"/>
          <w:szCs w:val="24"/>
        </w:rPr>
        <w:t xml:space="preserve"> percent</w:t>
      </w:r>
      <w:r w:rsidR="0058066E">
        <w:rPr>
          <w:rFonts w:cs="Arial"/>
          <w:szCs w:val="24"/>
        </w:rPr>
        <w:t>)</w:t>
      </w:r>
      <w:r w:rsidR="002959A9">
        <w:rPr>
          <w:rFonts w:cs="Arial"/>
          <w:szCs w:val="24"/>
        </w:rPr>
        <w:t>;</w:t>
      </w:r>
      <w:r w:rsidRPr="00EB4F0C">
        <w:rPr>
          <w:rFonts w:cs="Arial"/>
          <w:szCs w:val="24"/>
        </w:rPr>
        <w:t xml:space="preserve"> health </w:t>
      </w:r>
      <w:r w:rsidR="00F653B9">
        <w:rPr>
          <w:rFonts w:cs="Arial"/>
          <w:szCs w:val="24"/>
        </w:rPr>
        <w:t>need</w:t>
      </w:r>
      <w:r w:rsidR="00362C71">
        <w:rPr>
          <w:rFonts w:cs="Arial"/>
          <w:szCs w:val="24"/>
        </w:rPr>
        <w:t>,</w:t>
      </w:r>
      <w:r w:rsidR="00F653B9">
        <w:rPr>
          <w:rFonts w:cs="Arial"/>
          <w:szCs w:val="24"/>
        </w:rPr>
        <w:t xml:space="preserve"> </w:t>
      </w:r>
      <w:r w:rsidR="005751E6">
        <w:rPr>
          <w:rFonts w:cs="Arial"/>
          <w:szCs w:val="24"/>
        </w:rPr>
        <w:t>proxy</w:t>
      </w:r>
      <w:r w:rsidR="00F653B9">
        <w:rPr>
          <w:rFonts w:cs="Arial"/>
          <w:szCs w:val="24"/>
        </w:rPr>
        <w:t xml:space="preserve"> by the under-five m</w:t>
      </w:r>
      <w:r w:rsidRPr="00EB4F0C">
        <w:rPr>
          <w:rFonts w:cs="Arial"/>
          <w:szCs w:val="24"/>
        </w:rPr>
        <w:t xml:space="preserve">ortality </w:t>
      </w:r>
      <w:r w:rsidR="00F653B9">
        <w:rPr>
          <w:rFonts w:cs="Arial"/>
          <w:szCs w:val="24"/>
        </w:rPr>
        <w:t>r</w:t>
      </w:r>
      <w:r w:rsidRPr="00EB4F0C">
        <w:rPr>
          <w:rFonts w:cs="Arial"/>
          <w:szCs w:val="24"/>
        </w:rPr>
        <w:t>ate</w:t>
      </w:r>
      <w:r w:rsidR="0058066E">
        <w:rPr>
          <w:rFonts w:cs="Arial"/>
          <w:szCs w:val="24"/>
        </w:rPr>
        <w:t xml:space="preserve"> (10</w:t>
      </w:r>
      <w:r w:rsidR="00267347">
        <w:rPr>
          <w:rFonts w:cs="Arial"/>
          <w:szCs w:val="24"/>
        </w:rPr>
        <w:t xml:space="preserve"> percent</w:t>
      </w:r>
      <w:r w:rsidR="0058066E">
        <w:rPr>
          <w:rFonts w:cs="Arial"/>
          <w:szCs w:val="24"/>
        </w:rPr>
        <w:t>)</w:t>
      </w:r>
      <w:r w:rsidR="002959A9">
        <w:rPr>
          <w:rFonts w:cs="Arial"/>
          <w:szCs w:val="24"/>
        </w:rPr>
        <w:t>;</w:t>
      </w:r>
      <w:r w:rsidRPr="00EB4F0C">
        <w:rPr>
          <w:rFonts w:cs="Arial"/>
          <w:szCs w:val="24"/>
        </w:rPr>
        <w:t xml:space="preserve"> and the size of the council</w:t>
      </w:r>
      <w:r w:rsidR="00362C71">
        <w:rPr>
          <w:rFonts w:cs="Arial"/>
          <w:szCs w:val="24"/>
        </w:rPr>
        <w:t>,</w:t>
      </w:r>
      <w:r w:rsidRPr="00EB4F0C">
        <w:rPr>
          <w:rFonts w:cs="Arial"/>
          <w:szCs w:val="24"/>
        </w:rPr>
        <w:t xml:space="preserve"> to reflect cost differentials, with higher land areas or lower population density resulting in higher costs of supervision, distribution of supplies </w:t>
      </w:r>
      <w:r w:rsidRPr="005751E6">
        <w:rPr>
          <w:rFonts w:cs="Arial"/>
          <w:i/>
          <w:szCs w:val="24"/>
        </w:rPr>
        <w:t>etc</w:t>
      </w:r>
      <w:r w:rsidR="005751E6">
        <w:rPr>
          <w:rFonts w:cs="Arial"/>
          <w:szCs w:val="24"/>
        </w:rPr>
        <w:t>.</w:t>
      </w:r>
      <w:r w:rsidR="00362C71">
        <w:rPr>
          <w:rFonts w:cs="Arial"/>
          <w:szCs w:val="24"/>
        </w:rPr>
        <w:t xml:space="preserve"> (20</w:t>
      </w:r>
      <w:r w:rsidR="00267347">
        <w:rPr>
          <w:rFonts w:cs="Arial"/>
          <w:szCs w:val="24"/>
        </w:rPr>
        <w:t xml:space="preserve"> percent</w:t>
      </w:r>
      <w:r w:rsidR="00362C71">
        <w:rPr>
          <w:rFonts w:cs="Arial"/>
          <w:szCs w:val="24"/>
        </w:rPr>
        <w:t>)</w:t>
      </w:r>
      <w:r w:rsidRPr="00EB4F0C">
        <w:rPr>
          <w:rFonts w:cs="Arial"/>
          <w:szCs w:val="24"/>
        </w:rPr>
        <w:t xml:space="preserve">. </w:t>
      </w:r>
      <w:r w:rsidR="0058066E">
        <w:rPr>
          <w:rFonts w:cs="Arial"/>
          <w:szCs w:val="24"/>
        </w:rPr>
        <w:t xml:space="preserve">The allocation of the OC </w:t>
      </w:r>
      <w:r w:rsidR="00861AA4">
        <w:rPr>
          <w:rFonts w:cs="Arial"/>
          <w:szCs w:val="24"/>
        </w:rPr>
        <w:t>follows a broadly</w:t>
      </w:r>
      <w:r w:rsidR="0058066E">
        <w:rPr>
          <w:rFonts w:cs="Arial"/>
          <w:szCs w:val="24"/>
        </w:rPr>
        <w:t xml:space="preserve"> similar formula</w:t>
      </w:r>
      <w:r w:rsidR="00861AA4">
        <w:rPr>
          <w:rFonts w:cs="Arial"/>
          <w:szCs w:val="24"/>
        </w:rPr>
        <w:t xml:space="preserve"> adjusted by other factors identified by the Ministry of Finance. </w:t>
      </w:r>
      <w:r w:rsidR="0058066E">
        <w:rPr>
          <w:rFonts w:cs="Arial"/>
          <w:szCs w:val="24"/>
        </w:rPr>
        <w:t xml:space="preserve"> </w:t>
      </w:r>
      <w:r w:rsidRPr="00EB4F0C">
        <w:rPr>
          <w:rFonts w:cs="Arial"/>
          <w:szCs w:val="24"/>
        </w:rPr>
        <w:t xml:space="preserve"> </w:t>
      </w:r>
    </w:p>
    <w:p w14:paraId="1FBDD826" w14:textId="77777777" w:rsidR="0023565D" w:rsidRPr="00EB4F0C" w:rsidRDefault="0023565D" w:rsidP="002E07C5">
      <w:pPr>
        <w:rPr>
          <w:rFonts w:cs="Arial"/>
          <w:szCs w:val="24"/>
        </w:rPr>
      </w:pPr>
    </w:p>
    <w:p w14:paraId="69FA116D" w14:textId="52FF8C66" w:rsidR="0023565D" w:rsidRPr="00EB4F0C" w:rsidRDefault="001D4B9E" w:rsidP="002E07C5">
      <w:pPr>
        <w:rPr>
          <w:rFonts w:cs="Arial"/>
          <w:szCs w:val="24"/>
        </w:rPr>
      </w:pPr>
      <w:r w:rsidRPr="00EB4F0C">
        <w:rPr>
          <w:rFonts w:cs="Arial"/>
          <w:szCs w:val="24"/>
        </w:rPr>
        <w:lastRenderedPageBreak/>
        <w:t xml:space="preserve">With regard to salaries, </w:t>
      </w:r>
      <w:r>
        <w:rPr>
          <w:rFonts w:cs="Arial"/>
          <w:szCs w:val="24"/>
        </w:rPr>
        <w:t xml:space="preserve">health workers based in </w:t>
      </w:r>
      <w:r w:rsidRPr="00EB4F0C">
        <w:rPr>
          <w:rFonts w:cs="Arial"/>
          <w:szCs w:val="24"/>
        </w:rPr>
        <w:t xml:space="preserve">government </w:t>
      </w:r>
      <w:r>
        <w:rPr>
          <w:rFonts w:cs="Arial"/>
          <w:szCs w:val="24"/>
        </w:rPr>
        <w:t xml:space="preserve">health facilities, and some of those in faith-based organizations, </w:t>
      </w:r>
      <w:r w:rsidRPr="00EB4F0C">
        <w:rPr>
          <w:rFonts w:cs="Arial"/>
          <w:szCs w:val="24"/>
        </w:rPr>
        <w:t>are remunerated through monthly salaries</w:t>
      </w:r>
      <w:r>
        <w:rPr>
          <w:rFonts w:cs="Arial"/>
          <w:szCs w:val="24"/>
        </w:rPr>
        <w:t xml:space="preserve"> which are a separate funding stream directly from MOF</w:t>
      </w:r>
      <w:r w:rsidRPr="00EB4F0C">
        <w:rPr>
          <w:rFonts w:cs="Arial"/>
          <w:szCs w:val="24"/>
        </w:rPr>
        <w:t>.  For the government sector, this is based on nationally agreed pay scales, determined under the President’s Office – Public Service Management</w:t>
      </w:r>
      <w:r>
        <w:rPr>
          <w:rFonts w:cs="Arial"/>
          <w:szCs w:val="24"/>
        </w:rPr>
        <w:t xml:space="preserve"> (PO-PSM)</w:t>
      </w:r>
      <w:r w:rsidRPr="00EB4F0C">
        <w:rPr>
          <w:rFonts w:cs="Arial"/>
          <w:szCs w:val="24"/>
        </w:rPr>
        <w:t xml:space="preserve">. </w:t>
      </w:r>
    </w:p>
    <w:p w14:paraId="519DCC6C" w14:textId="25A5B267" w:rsidR="006C7C8D" w:rsidRPr="00EB4F0C" w:rsidRDefault="006C7C8D" w:rsidP="00905546">
      <w:pPr>
        <w:pStyle w:val="Heading3"/>
        <w:rPr>
          <w:rFonts w:eastAsia="SimSun"/>
          <w:lang w:eastAsia="zh-CN"/>
        </w:rPr>
      </w:pPr>
      <w:bookmarkStart w:id="18" w:name="_Toc411949923"/>
      <w:r w:rsidRPr="00EB4F0C">
        <w:rPr>
          <w:rFonts w:eastAsia="SimSun"/>
          <w:lang w:eastAsia="zh-CN"/>
        </w:rPr>
        <w:t>User-Fees and Waivers/Exemptions</w:t>
      </w:r>
      <w:bookmarkEnd w:id="18"/>
    </w:p>
    <w:p w14:paraId="2DB81FD4" w14:textId="77777777" w:rsidR="006C7C8D" w:rsidRPr="00EB4F0C" w:rsidRDefault="006C7C8D" w:rsidP="00905546">
      <w:pPr>
        <w:rPr>
          <w:lang w:eastAsia="zh-CN"/>
        </w:rPr>
      </w:pPr>
      <w:r w:rsidRPr="00EB4F0C">
        <w:rPr>
          <w:lang w:eastAsia="zh-CN"/>
        </w:rPr>
        <w:t xml:space="preserve">In </w:t>
      </w:r>
      <w:r w:rsidR="00905546">
        <w:rPr>
          <w:lang w:eastAsia="zh-CN"/>
        </w:rPr>
        <w:t>FY</w:t>
      </w:r>
      <w:r w:rsidRPr="00EB4F0C">
        <w:rPr>
          <w:lang w:eastAsia="zh-CN"/>
        </w:rPr>
        <w:t>2010/11 user-fee revenue was reported to be T</w:t>
      </w:r>
      <w:r w:rsidR="00905546">
        <w:rPr>
          <w:lang w:eastAsia="zh-CN"/>
        </w:rPr>
        <w:t>ZS</w:t>
      </w:r>
      <w:r w:rsidRPr="00EB4F0C">
        <w:rPr>
          <w:lang w:eastAsia="zh-CN"/>
        </w:rPr>
        <w:t xml:space="preserve"> 10.1bn, which </w:t>
      </w:r>
      <w:r w:rsidR="00905546">
        <w:rPr>
          <w:lang w:eastAsia="zh-CN"/>
        </w:rPr>
        <w:t xml:space="preserve">was </w:t>
      </w:r>
      <w:r w:rsidRPr="00EB4F0C">
        <w:rPr>
          <w:lang w:eastAsia="zh-CN"/>
        </w:rPr>
        <w:t>about 1.1</w:t>
      </w:r>
      <w:r w:rsidR="00267347">
        <w:rPr>
          <w:lang w:eastAsia="zh-CN"/>
        </w:rPr>
        <w:t xml:space="preserve"> percent</w:t>
      </w:r>
      <w:r w:rsidRPr="00EB4F0C">
        <w:rPr>
          <w:lang w:eastAsia="zh-CN"/>
        </w:rPr>
        <w:t xml:space="preserve"> of the total health budget in that year. Despite the </w:t>
      </w:r>
      <w:r w:rsidR="00905546">
        <w:rPr>
          <w:lang w:eastAsia="zh-CN"/>
        </w:rPr>
        <w:t xml:space="preserve">relatively </w:t>
      </w:r>
      <w:r w:rsidRPr="00EB4F0C">
        <w:rPr>
          <w:lang w:eastAsia="zh-CN"/>
        </w:rPr>
        <w:t xml:space="preserve">low </w:t>
      </w:r>
      <w:r w:rsidR="00905546">
        <w:rPr>
          <w:lang w:eastAsia="zh-CN"/>
        </w:rPr>
        <w:t xml:space="preserve">contribution to the total resource envelope, </w:t>
      </w:r>
      <w:r w:rsidRPr="00EB4F0C">
        <w:rPr>
          <w:lang w:eastAsia="zh-CN"/>
        </w:rPr>
        <w:t xml:space="preserve">it has repeatedly been argued that user-fees are an important source of revenue at the local level, assuring a minimum availability and quality of services and drugs. </w:t>
      </w:r>
    </w:p>
    <w:p w14:paraId="0BA9E4A1" w14:textId="77777777" w:rsidR="006C7C8D" w:rsidRPr="00EB4F0C" w:rsidRDefault="006C7C8D" w:rsidP="00905546">
      <w:pPr>
        <w:rPr>
          <w:lang w:eastAsia="zh-CN"/>
        </w:rPr>
      </w:pPr>
    </w:p>
    <w:p w14:paraId="0FB4BB73" w14:textId="3F526A47" w:rsidR="006C7C8D" w:rsidRPr="00EB4F0C" w:rsidRDefault="006C7C8D" w:rsidP="005D51BE">
      <w:pPr>
        <w:rPr>
          <w:lang w:val="en-GB" w:eastAsia="zh-CN"/>
        </w:rPr>
      </w:pPr>
      <w:r w:rsidRPr="00EB4F0C">
        <w:rPr>
          <w:lang w:eastAsia="zh-CN"/>
        </w:rPr>
        <w:t xml:space="preserve">The waiver and exemption policy </w:t>
      </w:r>
      <w:r w:rsidR="00905546">
        <w:rPr>
          <w:lang w:eastAsia="zh-CN"/>
        </w:rPr>
        <w:t xml:space="preserve">was </w:t>
      </w:r>
      <w:r w:rsidRPr="00EB4F0C">
        <w:rPr>
          <w:lang w:eastAsia="zh-CN"/>
        </w:rPr>
        <w:t xml:space="preserve">designed to provide relief for the poor and to </w:t>
      </w:r>
      <w:r w:rsidR="00905546">
        <w:rPr>
          <w:lang w:eastAsia="zh-CN"/>
        </w:rPr>
        <w:t xml:space="preserve">facilitate </w:t>
      </w:r>
      <w:r w:rsidRPr="00EB4F0C">
        <w:rPr>
          <w:lang w:eastAsia="zh-CN"/>
        </w:rPr>
        <w:t>health care seeking behavior</w:t>
      </w:r>
      <w:r>
        <w:rPr>
          <w:lang w:eastAsia="zh-CN"/>
        </w:rPr>
        <w:t xml:space="preserve"> for priority population groups and conditions</w:t>
      </w:r>
      <w:r w:rsidRPr="00EB4F0C">
        <w:rPr>
          <w:lang w:eastAsia="zh-CN"/>
        </w:rPr>
        <w:t xml:space="preserve">. </w:t>
      </w:r>
      <w:r w:rsidR="005D51BE">
        <w:rPr>
          <w:lang w:eastAsia="zh-CN"/>
        </w:rPr>
        <w:t xml:space="preserve"> Under-fives, pregnant women and the elderly are exempt from payment, while exemptions also extend to treatment for diseases of public health importance such as tuberculosis. While </w:t>
      </w:r>
      <w:r w:rsidRPr="00EB4F0C">
        <w:rPr>
          <w:lang w:eastAsia="zh-CN"/>
        </w:rPr>
        <w:t>exemptions</w:t>
      </w:r>
      <w:r w:rsidR="005D51BE">
        <w:rPr>
          <w:lang w:eastAsia="zh-CN"/>
        </w:rPr>
        <w:t xml:space="preserve">, particularly for children and pregnant women, are largely respected, </w:t>
      </w:r>
      <w:r w:rsidRPr="00EB4F0C">
        <w:rPr>
          <w:lang w:eastAsia="zh-CN"/>
        </w:rPr>
        <w:t xml:space="preserve">the implementation of the waiver scheme for the poor has failed most of those it was meant to protect. The process to obtain waivers are not always clearly outlined, criteria not always explicitly set </w:t>
      </w:r>
      <w:r w:rsidR="005D51BE">
        <w:rPr>
          <w:lang w:eastAsia="zh-CN"/>
        </w:rPr>
        <w:t xml:space="preserve">or </w:t>
      </w:r>
      <w:r w:rsidRPr="00EB4F0C">
        <w:rPr>
          <w:lang w:eastAsia="zh-CN"/>
        </w:rPr>
        <w:t>applied</w:t>
      </w:r>
      <w:r w:rsidR="005D51BE">
        <w:rPr>
          <w:lang w:eastAsia="zh-CN"/>
        </w:rPr>
        <w:t>,</w:t>
      </w:r>
      <w:r w:rsidRPr="00EB4F0C">
        <w:rPr>
          <w:lang w:eastAsia="zh-CN"/>
        </w:rPr>
        <w:t xml:space="preserve"> and poor people find it difficult to make their case in front of health providers and relevant authorities</w:t>
      </w:r>
      <w:r w:rsidRPr="00EB4F0C">
        <w:rPr>
          <w:lang w:val="en-GB" w:eastAsia="zh-CN"/>
        </w:rPr>
        <w:t>.</w:t>
      </w:r>
      <w:r>
        <w:rPr>
          <w:lang w:val="en-GB" w:eastAsia="zh-CN"/>
        </w:rPr>
        <w:t xml:space="preserve"> </w:t>
      </w:r>
      <w:r w:rsidR="005D51BE">
        <w:rPr>
          <w:lang w:val="en-GB" w:eastAsia="zh-CN"/>
        </w:rPr>
        <w:t xml:space="preserve"> </w:t>
      </w:r>
      <w:r w:rsidR="003A18A8">
        <w:rPr>
          <w:lang w:val="en-GB" w:eastAsia="zh-CN"/>
        </w:rPr>
        <w:t>Moreover, given the nature of health services, there are n</w:t>
      </w:r>
      <w:r w:rsidRPr="003A18A8">
        <w:rPr>
          <w:lang w:val="en-GB" w:eastAsia="zh-CN"/>
        </w:rPr>
        <w:t>o incentive</w:t>
      </w:r>
      <w:r w:rsidR="005D51BE">
        <w:rPr>
          <w:lang w:val="en-GB" w:eastAsia="zh-CN"/>
        </w:rPr>
        <w:t>s</w:t>
      </w:r>
      <w:r w:rsidRPr="003A18A8">
        <w:rPr>
          <w:lang w:val="en-GB" w:eastAsia="zh-CN"/>
        </w:rPr>
        <w:t xml:space="preserve"> for </w:t>
      </w:r>
      <w:r w:rsidR="005D51BE">
        <w:rPr>
          <w:lang w:val="en-GB" w:eastAsia="zh-CN"/>
        </w:rPr>
        <w:t xml:space="preserve">health </w:t>
      </w:r>
      <w:r w:rsidRPr="003A18A8">
        <w:rPr>
          <w:lang w:val="en-GB" w:eastAsia="zh-CN"/>
        </w:rPr>
        <w:t>facilit</w:t>
      </w:r>
      <w:r w:rsidR="003A18A8">
        <w:rPr>
          <w:lang w:val="en-GB" w:eastAsia="zh-CN"/>
        </w:rPr>
        <w:t>ies</w:t>
      </w:r>
      <w:r w:rsidRPr="003A18A8">
        <w:rPr>
          <w:lang w:val="en-GB" w:eastAsia="zh-CN"/>
        </w:rPr>
        <w:t xml:space="preserve"> to offer the waiver/exemption </w:t>
      </w:r>
      <w:r w:rsidR="003A18A8">
        <w:rPr>
          <w:lang w:val="en-GB" w:eastAsia="zh-CN"/>
        </w:rPr>
        <w:t>because they know that people will</w:t>
      </w:r>
      <w:r w:rsidRPr="003A18A8">
        <w:rPr>
          <w:lang w:val="en-GB" w:eastAsia="zh-CN"/>
        </w:rPr>
        <w:t xml:space="preserve"> pay for the services</w:t>
      </w:r>
      <w:r w:rsidR="003A18A8">
        <w:rPr>
          <w:lang w:val="en-GB" w:eastAsia="zh-CN"/>
        </w:rPr>
        <w:t xml:space="preserve"> if they are charged</w:t>
      </w:r>
      <w:r w:rsidR="005D51BE">
        <w:rPr>
          <w:lang w:val="en-GB" w:eastAsia="zh-CN"/>
        </w:rPr>
        <w:t xml:space="preserve">, and no mechanisms exist for reimbursement of the resources expended. </w:t>
      </w:r>
      <w:r w:rsidR="002A3D20">
        <w:rPr>
          <w:lang w:val="en-GB" w:eastAsia="zh-CN"/>
        </w:rPr>
        <w:t xml:space="preserve">Based on estimates of the pro-poor option paper, it will cost the government about 48.7billion Tanzania shillings to pay for the CHF premium of those individuals below the basic needs poverty line. However, these estimates to not capture the actual costs of services utilization among the poor in order to </w:t>
      </w:r>
      <w:r w:rsidR="00A82FC6">
        <w:rPr>
          <w:lang w:val="en-GB" w:eastAsia="zh-CN"/>
        </w:rPr>
        <w:t>determine</w:t>
      </w:r>
      <w:r w:rsidR="002A3D20">
        <w:rPr>
          <w:lang w:val="en-GB" w:eastAsia="zh-CN"/>
        </w:rPr>
        <w:t xml:space="preserve"> the maximum amount of resources required to fully recover costs. </w:t>
      </w:r>
    </w:p>
    <w:p w14:paraId="2387DEC8" w14:textId="77777777" w:rsidR="006C7C8D" w:rsidRPr="00EB4F0C" w:rsidRDefault="006C7C8D" w:rsidP="00905546">
      <w:pPr>
        <w:pStyle w:val="Heading3"/>
        <w:rPr>
          <w:rFonts w:eastAsia="SimSun"/>
          <w:lang w:eastAsia="zh-CN"/>
        </w:rPr>
      </w:pPr>
      <w:bookmarkStart w:id="19" w:name="_Toc411949924"/>
      <w:r w:rsidRPr="00EB4F0C">
        <w:rPr>
          <w:rFonts w:eastAsia="SimSun"/>
          <w:lang w:eastAsia="zh-CN"/>
        </w:rPr>
        <w:t>Service Agreements</w:t>
      </w:r>
      <w:bookmarkEnd w:id="19"/>
    </w:p>
    <w:p w14:paraId="2E7A5462" w14:textId="77777777" w:rsidR="006C7C8D" w:rsidRDefault="006C7C8D" w:rsidP="005D51BE">
      <w:pPr>
        <w:rPr>
          <w:lang w:val="en-GB" w:eastAsia="en-GB"/>
        </w:rPr>
      </w:pPr>
      <w:r w:rsidRPr="00EB4F0C">
        <w:rPr>
          <w:lang w:val="en-GB" w:eastAsia="en-GB"/>
        </w:rPr>
        <w:t xml:space="preserve">Where no equivalent public facility exists, </w:t>
      </w:r>
      <w:r w:rsidR="005D51BE">
        <w:rPr>
          <w:lang w:val="en-GB" w:eastAsia="en-GB"/>
        </w:rPr>
        <w:t xml:space="preserve">LGAs may enter into a contract, known as a service agreement, with </w:t>
      </w:r>
      <w:r w:rsidRPr="00EB4F0C">
        <w:rPr>
          <w:lang w:val="en-GB" w:eastAsia="en-GB"/>
        </w:rPr>
        <w:t xml:space="preserve">private service providers </w:t>
      </w:r>
      <w:r w:rsidR="005D51BE">
        <w:rPr>
          <w:lang w:val="en-GB" w:eastAsia="en-GB"/>
        </w:rPr>
        <w:t xml:space="preserve">in order to </w:t>
      </w:r>
      <w:r w:rsidRPr="00EB4F0C">
        <w:rPr>
          <w:lang w:val="en-GB" w:eastAsia="en-GB"/>
        </w:rPr>
        <w:t>deliver the priority health services. LGAs agree to pay the service provider per service provided. The price of a service is negotiated between the LGA and t</w:t>
      </w:r>
      <w:r>
        <w:rPr>
          <w:lang w:val="en-GB" w:eastAsia="en-GB"/>
        </w:rPr>
        <w:t>he provider</w:t>
      </w:r>
      <w:r w:rsidRPr="00EB4F0C">
        <w:rPr>
          <w:lang w:val="en-GB" w:eastAsia="en-GB"/>
        </w:rPr>
        <w:t xml:space="preserve">. In exchange for the payment from public funds, the provider offers the contracted services free to the patients. Financing for this arrangement </w:t>
      </w:r>
      <w:r w:rsidR="005D51BE">
        <w:rPr>
          <w:lang w:val="en-GB" w:eastAsia="en-GB"/>
        </w:rPr>
        <w:t xml:space="preserve">currently </w:t>
      </w:r>
      <w:r w:rsidRPr="00EB4F0C">
        <w:rPr>
          <w:lang w:val="en-GB" w:eastAsia="en-GB"/>
        </w:rPr>
        <w:t xml:space="preserve">comes from the LGA’s HBF allocation. </w:t>
      </w:r>
    </w:p>
    <w:p w14:paraId="782D5214" w14:textId="77777777" w:rsidR="00362633" w:rsidRDefault="00362633" w:rsidP="005D51BE">
      <w:pPr>
        <w:rPr>
          <w:lang w:val="en-GB" w:eastAsia="en-GB"/>
        </w:rPr>
      </w:pPr>
    </w:p>
    <w:p w14:paraId="2603F025" w14:textId="77777777" w:rsidR="006C7C8D" w:rsidRDefault="006C7C8D" w:rsidP="002E07C5">
      <w:pPr>
        <w:rPr>
          <w:rFonts w:cs="Arial"/>
          <w:szCs w:val="24"/>
        </w:rPr>
      </w:pPr>
    </w:p>
    <w:p w14:paraId="00208C4B" w14:textId="77777777" w:rsidR="0023565D" w:rsidRPr="005D51BE" w:rsidRDefault="0023565D" w:rsidP="005D51BE">
      <w:pPr>
        <w:spacing w:after="120"/>
        <w:rPr>
          <w:rFonts w:cs="Arial"/>
          <w:b/>
          <w:szCs w:val="24"/>
        </w:rPr>
      </w:pPr>
      <w:r w:rsidRPr="005D51BE">
        <w:rPr>
          <w:rFonts w:cs="Arial"/>
          <w:b/>
          <w:szCs w:val="24"/>
        </w:rPr>
        <w:lastRenderedPageBreak/>
        <w:t>Challenges</w:t>
      </w:r>
    </w:p>
    <w:p w14:paraId="7BB2CC58" w14:textId="5C1443BF" w:rsidR="006C7C8D" w:rsidRDefault="0023565D" w:rsidP="005D51BE">
      <w:pPr>
        <w:rPr>
          <w:rFonts w:eastAsia="SimSun"/>
          <w:color w:val="000000"/>
          <w:lang w:eastAsia="zh-CN"/>
        </w:rPr>
      </w:pPr>
      <w:r w:rsidRPr="00EB4F0C">
        <w:t xml:space="preserve">Resource allocation is </w:t>
      </w:r>
      <w:r w:rsidR="009B6CBD">
        <w:t xml:space="preserve">hampered </w:t>
      </w:r>
      <w:r w:rsidRPr="00EB4F0C">
        <w:t xml:space="preserve">by a myriad of factors. </w:t>
      </w:r>
      <w:r w:rsidR="009B6CBD">
        <w:t>One</w:t>
      </w:r>
      <w:r w:rsidRPr="00EB4F0C">
        <w:t xml:space="preserve"> salient challenge is the ad</w:t>
      </w:r>
      <w:r w:rsidR="009B6CBD">
        <w:t xml:space="preserve"> </w:t>
      </w:r>
      <w:r w:rsidRPr="00EB4F0C">
        <w:t xml:space="preserve">hoc nature of the allocation of certain resources. </w:t>
      </w:r>
      <w:r w:rsidR="009B6CBD">
        <w:t>A</w:t>
      </w:r>
      <w:r w:rsidRPr="00EB4F0C">
        <w:t>llocation of funds based on DP priorities</w:t>
      </w:r>
      <w:r w:rsidR="009B6CBD">
        <w:t xml:space="preserve"> further complicates the picture. </w:t>
      </w:r>
      <w:r w:rsidR="003A18A8">
        <w:t>There are serious d</w:t>
      </w:r>
      <w:r w:rsidR="003A18A8">
        <w:rPr>
          <w:rFonts w:eastAsia="SimSun"/>
          <w:color w:val="000000"/>
          <w:lang w:eastAsia="zh-CN"/>
        </w:rPr>
        <w:t>elays in disbursement of government funds and health basket funds</w:t>
      </w:r>
      <w:r w:rsidR="009B6CBD">
        <w:rPr>
          <w:rFonts w:eastAsia="SimSun"/>
          <w:color w:val="000000"/>
          <w:lang w:eastAsia="zh-CN"/>
        </w:rPr>
        <w:t>,</w:t>
      </w:r>
      <w:r w:rsidR="003A18A8">
        <w:rPr>
          <w:rFonts w:eastAsia="SimSun"/>
          <w:color w:val="000000"/>
          <w:lang w:eastAsia="zh-CN"/>
        </w:rPr>
        <w:t xml:space="preserve"> due </w:t>
      </w:r>
      <w:r w:rsidR="00D42A41">
        <w:rPr>
          <w:rFonts w:eastAsia="SimSun"/>
          <w:color w:val="000000"/>
          <w:lang w:eastAsia="zh-CN"/>
        </w:rPr>
        <w:t xml:space="preserve">in part </w:t>
      </w:r>
      <w:r w:rsidR="003A18A8">
        <w:rPr>
          <w:rFonts w:eastAsia="SimSun"/>
          <w:color w:val="000000"/>
          <w:lang w:eastAsia="zh-CN"/>
        </w:rPr>
        <w:t>to challenges with reporting</w:t>
      </w:r>
      <w:r w:rsidR="009B6CBD">
        <w:rPr>
          <w:rFonts w:eastAsia="SimSun"/>
          <w:color w:val="000000"/>
          <w:lang w:eastAsia="zh-CN"/>
        </w:rPr>
        <w:t xml:space="preserve"> at all levels,</w:t>
      </w:r>
      <w:r w:rsidR="003A18A8">
        <w:rPr>
          <w:rFonts w:eastAsia="SimSun"/>
          <w:color w:val="000000"/>
          <w:lang w:eastAsia="zh-CN"/>
        </w:rPr>
        <w:t xml:space="preserve"> and </w:t>
      </w:r>
      <w:r w:rsidR="009B6CBD">
        <w:rPr>
          <w:rFonts w:eastAsia="SimSun"/>
          <w:color w:val="000000"/>
          <w:lang w:eastAsia="zh-CN"/>
        </w:rPr>
        <w:t xml:space="preserve">of </w:t>
      </w:r>
      <w:r w:rsidR="003A18A8">
        <w:rPr>
          <w:rFonts w:eastAsia="SimSun"/>
          <w:color w:val="000000"/>
          <w:lang w:eastAsia="zh-CN"/>
        </w:rPr>
        <w:t>CHF matching funds</w:t>
      </w:r>
      <w:r w:rsidR="009B6CBD">
        <w:rPr>
          <w:rFonts w:eastAsia="SimSun"/>
          <w:color w:val="000000"/>
          <w:lang w:eastAsia="zh-CN"/>
        </w:rPr>
        <w:t>,</w:t>
      </w:r>
      <w:r w:rsidR="003A18A8">
        <w:rPr>
          <w:rFonts w:eastAsia="SimSun"/>
          <w:color w:val="000000"/>
          <w:lang w:eastAsia="zh-CN"/>
        </w:rPr>
        <w:t xml:space="preserve"> due to relatively complex administrative requirements compared to staff capacity. </w:t>
      </w:r>
      <w:r w:rsidR="009B6CBD">
        <w:rPr>
          <w:rFonts w:eastAsia="SimSun"/>
          <w:color w:val="000000"/>
          <w:lang w:eastAsia="zh-CN"/>
        </w:rPr>
        <w:t>B</w:t>
      </w:r>
      <w:r w:rsidR="003A18A8">
        <w:rPr>
          <w:rFonts w:eastAsia="SimSun"/>
          <w:color w:val="000000"/>
          <w:lang w:eastAsia="zh-CN"/>
        </w:rPr>
        <w:t xml:space="preserve">ottlenecks at the district as well as the national level prevent facilities from being adequately </w:t>
      </w:r>
      <w:r w:rsidR="009B6CBD">
        <w:rPr>
          <w:rFonts w:eastAsia="SimSun"/>
          <w:color w:val="000000"/>
          <w:lang w:eastAsia="zh-CN"/>
        </w:rPr>
        <w:t xml:space="preserve">reimbursed for service delivery, </w:t>
      </w:r>
      <w:r w:rsidR="003A18A8">
        <w:rPr>
          <w:rFonts w:eastAsia="SimSun"/>
          <w:color w:val="000000"/>
          <w:lang w:eastAsia="zh-CN"/>
        </w:rPr>
        <w:t>particularly as regards CHF, exemption and waivers and service agreements. Furthermore, v</w:t>
      </w:r>
      <w:r w:rsidR="006C7C8D" w:rsidRPr="003A18A8">
        <w:rPr>
          <w:rFonts w:eastAsia="SimSun"/>
          <w:color w:val="000000"/>
          <w:lang w:eastAsia="zh-CN"/>
        </w:rPr>
        <w:t xml:space="preserve">ulnerable groups are insufficiently taken care </w:t>
      </w:r>
      <w:r w:rsidR="009B6CBD">
        <w:rPr>
          <w:rFonts w:eastAsia="SimSun"/>
          <w:color w:val="000000"/>
          <w:lang w:eastAsia="zh-CN"/>
        </w:rPr>
        <w:t xml:space="preserve">of </w:t>
      </w:r>
      <w:r w:rsidR="006C7C8D" w:rsidRPr="003A18A8">
        <w:rPr>
          <w:rFonts w:eastAsia="SimSun"/>
          <w:color w:val="000000"/>
          <w:lang w:eastAsia="zh-CN"/>
        </w:rPr>
        <w:t xml:space="preserve">by the current </w:t>
      </w:r>
      <w:r w:rsidR="003A18A8">
        <w:rPr>
          <w:rFonts w:eastAsia="SimSun"/>
          <w:color w:val="000000"/>
          <w:lang w:eastAsia="zh-CN"/>
        </w:rPr>
        <w:t>system</w:t>
      </w:r>
      <w:r w:rsidR="006C7C8D" w:rsidRPr="005751E6">
        <w:rPr>
          <w:rFonts w:eastAsia="SimSun"/>
          <w:color w:val="000000"/>
          <w:lang w:eastAsia="zh-CN"/>
        </w:rPr>
        <w:t xml:space="preserve">. </w:t>
      </w:r>
      <w:r w:rsidR="002A3D20">
        <w:rPr>
          <w:rFonts w:eastAsia="SimSun"/>
          <w:color w:val="000000"/>
          <w:lang w:eastAsia="zh-CN"/>
        </w:rPr>
        <w:t xml:space="preserve">The CHF </w:t>
      </w:r>
      <w:r w:rsidR="00D4073D">
        <w:rPr>
          <w:rFonts w:eastAsia="SimSun"/>
          <w:color w:val="000000"/>
          <w:lang w:eastAsia="zh-CN"/>
        </w:rPr>
        <w:t>does not have</w:t>
      </w:r>
      <w:r w:rsidR="002A3D20">
        <w:rPr>
          <w:rFonts w:eastAsia="SimSun"/>
          <w:color w:val="000000"/>
          <w:lang w:eastAsia="zh-CN"/>
        </w:rPr>
        <w:t xml:space="preserve"> </w:t>
      </w:r>
      <w:r w:rsidR="00D4073D">
        <w:rPr>
          <w:rFonts w:eastAsia="SimSun"/>
          <w:color w:val="000000"/>
          <w:lang w:eastAsia="zh-CN"/>
        </w:rPr>
        <w:t xml:space="preserve">a </w:t>
      </w:r>
      <w:r w:rsidR="002A3D20">
        <w:rPr>
          <w:rFonts w:eastAsia="SimSun"/>
          <w:color w:val="000000"/>
          <w:lang w:eastAsia="zh-CN"/>
        </w:rPr>
        <w:t xml:space="preserve">separation between the provider of services and the purchaser. </w:t>
      </w:r>
      <w:r w:rsidR="00D4073D">
        <w:rPr>
          <w:rFonts w:eastAsia="SimSun"/>
          <w:color w:val="000000"/>
          <w:lang w:eastAsia="zh-CN"/>
        </w:rPr>
        <w:t xml:space="preserve">Provide payment is largely input rather than output-based and there’s potential for conflicting incentives in the multitude of payment systems used.  Together, many of these factors </w:t>
      </w:r>
      <w:r w:rsidR="002A3D20">
        <w:rPr>
          <w:rFonts w:eastAsia="SimSun"/>
          <w:color w:val="000000"/>
          <w:lang w:eastAsia="zh-CN"/>
        </w:rPr>
        <w:t>give less incentive to improve efficiency and quality of service.</w:t>
      </w:r>
    </w:p>
    <w:p w14:paraId="4F557520" w14:textId="1C7B2A83" w:rsidR="00416860" w:rsidRDefault="00416860">
      <w:pPr>
        <w:spacing w:after="200"/>
        <w:jc w:val="left"/>
        <w:rPr>
          <w:rFonts w:eastAsia="SimSun"/>
          <w:color w:val="000000"/>
          <w:lang w:eastAsia="zh-CN"/>
        </w:rPr>
      </w:pPr>
      <w:r>
        <w:rPr>
          <w:rFonts w:eastAsia="SimSun"/>
          <w:color w:val="000000"/>
          <w:lang w:eastAsia="zh-CN"/>
        </w:rPr>
        <w:br w:type="page"/>
      </w:r>
    </w:p>
    <w:p w14:paraId="4AC3F93D" w14:textId="77777777" w:rsidR="001F6179" w:rsidRPr="0063392A" w:rsidRDefault="001F6179" w:rsidP="001F6179">
      <w:pPr>
        <w:pStyle w:val="Heading1"/>
      </w:pPr>
      <w:bookmarkStart w:id="20" w:name="_Toc411949925"/>
      <w:r w:rsidRPr="0063392A">
        <w:lastRenderedPageBreak/>
        <w:t>HF Strategy</w:t>
      </w:r>
      <w:bookmarkEnd w:id="20"/>
    </w:p>
    <w:p w14:paraId="5B3D80C9" w14:textId="77777777" w:rsidR="001F6179" w:rsidRDefault="001F6179" w:rsidP="001F6179">
      <w:pPr>
        <w:pStyle w:val="Heading2"/>
      </w:pPr>
      <w:bookmarkStart w:id="21" w:name="_Toc411949926"/>
      <w:r w:rsidRPr="0063392A">
        <w:t>Vision</w:t>
      </w:r>
      <w:r w:rsidR="00527560">
        <w:t xml:space="preserve"> and Mission</w:t>
      </w:r>
      <w:bookmarkEnd w:id="21"/>
    </w:p>
    <w:p w14:paraId="618280E0" w14:textId="77777777" w:rsidR="001F6179" w:rsidRDefault="00A75794" w:rsidP="001F6179">
      <w:r>
        <w:t xml:space="preserve">Cost-effective, quality health services are available to all Tanzanian residents without financial barriers at the time of need </w:t>
      </w:r>
    </w:p>
    <w:p w14:paraId="6696F3C1" w14:textId="77777777" w:rsidR="00527560" w:rsidRDefault="00527560" w:rsidP="001F6179"/>
    <w:p w14:paraId="48121FE9" w14:textId="77777777" w:rsidR="00527560" w:rsidRDefault="00527560" w:rsidP="001F6179">
      <w:r>
        <w:t xml:space="preserve">The Mission of the </w:t>
      </w:r>
      <w:r w:rsidR="00A75794">
        <w:t>Health Financing Strategy is to put in place a Social Health Protection System that will enable all Tanzanian residents to access appropriate and affordable health care in time of need</w:t>
      </w:r>
    </w:p>
    <w:p w14:paraId="7A5EFD97" w14:textId="77777777" w:rsidR="001F6179" w:rsidRPr="0063392A" w:rsidRDefault="001F6179" w:rsidP="001F6179">
      <w:pPr>
        <w:ind w:left="360"/>
        <w:rPr>
          <w:rFonts w:cs="Arial"/>
          <w:i/>
          <w:szCs w:val="24"/>
        </w:rPr>
      </w:pPr>
    </w:p>
    <w:p w14:paraId="293382CB" w14:textId="77777777" w:rsidR="001F6179" w:rsidRPr="000871B1" w:rsidRDefault="001F6179" w:rsidP="001F6179">
      <w:pPr>
        <w:pStyle w:val="Heading2"/>
      </w:pPr>
      <w:bookmarkStart w:id="22" w:name="_Toc411949927"/>
      <w:r w:rsidRPr="000871B1">
        <w:t>Goal</w:t>
      </w:r>
      <w:bookmarkEnd w:id="22"/>
      <w:r w:rsidRPr="000871B1">
        <w:t xml:space="preserve"> </w:t>
      </w:r>
    </w:p>
    <w:p w14:paraId="382D5FD1" w14:textId="3D74C0D1" w:rsidR="001F6179" w:rsidRDefault="001F6179" w:rsidP="001F6179">
      <w:r>
        <w:t xml:space="preserve">The HFS </w:t>
      </w:r>
      <w:r w:rsidRPr="000871B1">
        <w:t>goal is to enable equitable access to affordable and cost-effective quality care and financial protection in case of ill health</w:t>
      </w:r>
      <w:r>
        <w:t>,</w:t>
      </w:r>
      <w:r w:rsidRPr="000871B1">
        <w:t xml:space="preserve"> according to </w:t>
      </w:r>
      <w:r>
        <w:t xml:space="preserve">a </w:t>
      </w:r>
      <w:r w:rsidR="00E366B4">
        <w:t>nationally defined standard minimum benefit</w:t>
      </w:r>
      <w:r w:rsidRPr="000871B1">
        <w:t xml:space="preserve"> package.</w:t>
      </w:r>
    </w:p>
    <w:p w14:paraId="3FC1A600" w14:textId="77777777" w:rsidR="001F6179" w:rsidRPr="000871B1" w:rsidRDefault="001F6179" w:rsidP="001F6179">
      <w:pPr>
        <w:ind w:left="709"/>
        <w:contextualSpacing/>
        <w:rPr>
          <w:rFonts w:cs="Arial"/>
          <w:szCs w:val="24"/>
        </w:rPr>
      </w:pPr>
    </w:p>
    <w:p w14:paraId="030A1603" w14:textId="77777777" w:rsidR="001F6179" w:rsidRPr="000871B1" w:rsidRDefault="001F6179" w:rsidP="001F6179">
      <w:pPr>
        <w:pStyle w:val="Heading2"/>
      </w:pPr>
      <w:bookmarkStart w:id="23" w:name="_Toc411949928"/>
      <w:r w:rsidRPr="000871B1">
        <w:t>Objectives</w:t>
      </w:r>
      <w:bookmarkEnd w:id="23"/>
    </w:p>
    <w:p w14:paraId="34FB138F" w14:textId="77777777" w:rsidR="001F6179" w:rsidRPr="005F4C7D" w:rsidRDefault="001F6179" w:rsidP="001F6179">
      <w:pPr>
        <w:spacing w:after="120"/>
      </w:pPr>
      <w:r>
        <w:t>The objectives of the HF Strategy are to:</w:t>
      </w:r>
    </w:p>
    <w:p w14:paraId="1F2A1DB6" w14:textId="77777777" w:rsidR="001F6179" w:rsidRPr="001F6179" w:rsidRDefault="00CA1A3E" w:rsidP="00521A98">
      <w:pPr>
        <w:pStyle w:val="ListParagraph"/>
        <w:numPr>
          <w:ilvl w:val="0"/>
          <w:numId w:val="2"/>
        </w:numPr>
        <w:spacing w:after="120"/>
        <w:contextualSpacing w:val="0"/>
      </w:pPr>
      <w:r>
        <w:t>D</w:t>
      </w:r>
      <w:r w:rsidR="001F6179" w:rsidRPr="001F6179">
        <w:t>evelop a sound, responsive and adequate health financing legal and regulatory framework;</w:t>
      </w:r>
    </w:p>
    <w:p w14:paraId="2DC2818C" w14:textId="231A4CDD" w:rsidR="001F6179" w:rsidRPr="001F6179" w:rsidRDefault="001D4B9E" w:rsidP="00521A98">
      <w:pPr>
        <w:pStyle w:val="ListParagraph"/>
        <w:numPr>
          <w:ilvl w:val="0"/>
          <w:numId w:val="2"/>
        </w:numPr>
        <w:spacing w:after="120"/>
        <w:contextualSpacing w:val="0"/>
      </w:pPr>
      <w:r>
        <w:t>Establish</w:t>
      </w:r>
      <w:r w:rsidR="001F6179" w:rsidRPr="001F6179">
        <w:t xml:space="preserve"> institutional structure with clearly defined roles and responsibilities which reflects the voice of the community/user of the health system and </w:t>
      </w:r>
      <w:r w:rsidR="005F60CD">
        <w:t>moves</w:t>
      </w:r>
      <w:r w:rsidR="001F6179" w:rsidRPr="001F6179">
        <w:t xml:space="preserve"> the reforms towards a mandatory Single National Health Insurance System;</w:t>
      </w:r>
    </w:p>
    <w:p w14:paraId="69E9494D" w14:textId="79A454D2" w:rsidR="005F60CD" w:rsidRPr="001F6179" w:rsidRDefault="005F60CD" w:rsidP="005F60CD">
      <w:pPr>
        <w:pStyle w:val="ListParagraph"/>
        <w:numPr>
          <w:ilvl w:val="0"/>
          <w:numId w:val="2"/>
        </w:numPr>
        <w:spacing w:after="120"/>
        <w:contextualSpacing w:val="0"/>
      </w:pPr>
      <w:r>
        <w:t>S</w:t>
      </w:r>
      <w:r w:rsidRPr="001F6179">
        <w:t>trengthen revenue collection</w:t>
      </w:r>
      <w:r>
        <w:t>/mobilization</w:t>
      </w:r>
      <w:r w:rsidRPr="001F6179">
        <w:t xml:space="preserve"> for the health sector;</w:t>
      </w:r>
    </w:p>
    <w:p w14:paraId="7094AE02" w14:textId="77777777" w:rsidR="005F60CD" w:rsidRPr="001F6179" w:rsidRDefault="005F60CD" w:rsidP="005F60CD">
      <w:pPr>
        <w:pStyle w:val="ListParagraph"/>
        <w:numPr>
          <w:ilvl w:val="0"/>
          <w:numId w:val="2"/>
        </w:numPr>
        <w:spacing w:after="120"/>
        <w:contextualSpacing w:val="0"/>
      </w:pPr>
      <w:r>
        <w:t>I</w:t>
      </w:r>
      <w:r w:rsidRPr="001F6179">
        <w:t>mprove financial and risk pooling mechanisms within the health sector;</w:t>
      </w:r>
    </w:p>
    <w:p w14:paraId="19F094B4" w14:textId="77777777" w:rsidR="001F6179" w:rsidRPr="001F6179" w:rsidRDefault="00CA1A3E" w:rsidP="00521A98">
      <w:pPr>
        <w:pStyle w:val="ListParagraph"/>
        <w:numPr>
          <w:ilvl w:val="0"/>
          <w:numId w:val="2"/>
        </w:numPr>
        <w:spacing w:after="120"/>
        <w:contextualSpacing w:val="0"/>
      </w:pPr>
      <w:r>
        <w:t>D</w:t>
      </w:r>
      <w:r w:rsidR="001F6179">
        <w:t xml:space="preserve">evelop </w:t>
      </w:r>
      <w:r w:rsidR="001F6179" w:rsidRPr="001F6179">
        <w:t>a health financing system which is responsive to the need</w:t>
      </w:r>
      <w:r w:rsidR="001F6179">
        <w:t>s</w:t>
      </w:r>
      <w:r w:rsidR="001F6179" w:rsidRPr="001F6179">
        <w:t xml:space="preserve"> of the poor</w:t>
      </w:r>
      <w:r w:rsidR="001F6179">
        <w:t>,</w:t>
      </w:r>
      <w:r w:rsidR="001F6179" w:rsidRPr="001F6179">
        <w:t xml:space="preserve"> by </w:t>
      </w:r>
      <w:r w:rsidR="001D4B9E">
        <w:t>ensure</w:t>
      </w:r>
      <w:r w:rsidR="001F6179" w:rsidRPr="001F6179">
        <w:t xml:space="preserve"> effective identification and inclusion mechanisms of the poor;</w:t>
      </w:r>
    </w:p>
    <w:p w14:paraId="40E04DA0" w14:textId="77777777" w:rsidR="001F6179" w:rsidRPr="001F6179" w:rsidRDefault="00CA1A3E" w:rsidP="00521A98">
      <w:pPr>
        <w:pStyle w:val="ListParagraph"/>
        <w:numPr>
          <w:ilvl w:val="0"/>
          <w:numId w:val="2"/>
        </w:numPr>
        <w:spacing w:after="120"/>
        <w:contextualSpacing w:val="0"/>
      </w:pPr>
      <w:r>
        <w:t>E</w:t>
      </w:r>
      <w:r w:rsidR="001F6179" w:rsidRPr="001F6179">
        <w:t>nsure appropriate resources allocations and expenditures for health;</w:t>
      </w:r>
    </w:p>
    <w:p w14:paraId="780ED308" w14:textId="77777777" w:rsidR="001F6179" w:rsidRPr="001F6179" w:rsidRDefault="00CA1A3E" w:rsidP="00521A98">
      <w:pPr>
        <w:pStyle w:val="ListParagraph"/>
        <w:numPr>
          <w:ilvl w:val="0"/>
          <w:numId w:val="2"/>
        </w:numPr>
        <w:spacing w:after="120"/>
        <w:contextualSpacing w:val="0"/>
      </w:pPr>
      <w:r>
        <w:t>C</w:t>
      </w:r>
      <w:r w:rsidR="001F6179" w:rsidRPr="001F6179">
        <w:t>ontinuously adapt and shape the purchasing structure with</w:t>
      </w:r>
      <w:r w:rsidR="001F6179">
        <w:t>in</w:t>
      </w:r>
      <w:r w:rsidR="001F6179" w:rsidRPr="001F6179">
        <w:t xml:space="preserve"> the health system, plac</w:t>
      </w:r>
      <w:r w:rsidR="001F6179">
        <w:t>ing particular focus on results-</w:t>
      </w:r>
      <w:r w:rsidR="001F6179" w:rsidRPr="001F6179">
        <w:t>based financing for improved services delivery;</w:t>
      </w:r>
    </w:p>
    <w:p w14:paraId="6BC2C6ED" w14:textId="77777777" w:rsidR="001F6179" w:rsidRPr="005F4C7D" w:rsidRDefault="00CA1A3E" w:rsidP="00521A98">
      <w:pPr>
        <w:pStyle w:val="ListParagraph"/>
        <w:numPr>
          <w:ilvl w:val="0"/>
          <w:numId w:val="2"/>
        </w:numPr>
        <w:spacing w:after="120"/>
        <w:contextualSpacing w:val="0"/>
      </w:pPr>
      <w:r w:rsidRPr="001F6179">
        <w:t>Strengthen</w:t>
      </w:r>
      <w:r w:rsidR="001F6179" w:rsidRPr="001F6179">
        <w:t xml:space="preserve"> the </w:t>
      </w:r>
      <w:r w:rsidR="001F6179">
        <w:t xml:space="preserve">overall </w:t>
      </w:r>
      <w:r w:rsidR="001F6179" w:rsidRPr="001F6179">
        <w:t>public financial and resource data management system</w:t>
      </w:r>
      <w:r w:rsidR="001F6179">
        <w:t>s</w:t>
      </w:r>
      <w:r w:rsidR="001F6179" w:rsidRPr="001F6179">
        <w:t xml:space="preserve"> </w:t>
      </w:r>
      <w:r w:rsidR="001F6179">
        <w:t>within</w:t>
      </w:r>
      <w:r w:rsidR="001F6179" w:rsidRPr="001F6179">
        <w:t xml:space="preserve"> the h</w:t>
      </w:r>
      <w:r w:rsidR="001F6179">
        <w:t>ealth sector.</w:t>
      </w:r>
    </w:p>
    <w:p w14:paraId="2A565707" w14:textId="77777777" w:rsidR="001F6179" w:rsidRDefault="001F6179" w:rsidP="001F6179">
      <w:pPr>
        <w:ind w:left="720"/>
        <w:contextualSpacing/>
        <w:rPr>
          <w:rFonts w:cs="Arial"/>
          <w:szCs w:val="24"/>
        </w:rPr>
      </w:pPr>
    </w:p>
    <w:p w14:paraId="4D5574CB" w14:textId="77777777" w:rsidR="001F6179" w:rsidRPr="000871B1" w:rsidRDefault="001F6179" w:rsidP="001F6179">
      <w:pPr>
        <w:pStyle w:val="Heading2"/>
      </w:pPr>
      <w:bookmarkStart w:id="24" w:name="_Toc411949929"/>
      <w:r w:rsidRPr="000871B1">
        <w:t>Guiding Principles and Values</w:t>
      </w:r>
      <w:bookmarkEnd w:id="24"/>
      <w:r w:rsidRPr="000871B1">
        <w:t xml:space="preserve"> </w:t>
      </w:r>
    </w:p>
    <w:p w14:paraId="626E7400" w14:textId="77777777" w:rsidR="001F6179" w:rsidRPr="0063392A" w:rsidRDefault="00411D5B" w:rsidP="001F6179">
      <w:pPr>
        <w:spacing w:after="120"/>
      </w:pPr>
      <w:r>
        <w:t xml:space="preserve">Implementation of the </w:t>
      </w:r>
      <w:r w:rsidR="001F6179" w:rsidRPr="0063392A">
        <w:t xml:space="preserve">Health Financing Strategy will </w:t>
      </w:r>
      <w:r>
        <w:t xml:space="preserve">adhere to </w:t>
      </w:r>
      <w:r w:rsidR="001F6179" w:rsidRPr="0063392A">
        <w:t>the following principles:</w:t>
      </w:r>
    </w:p>
    <w:p w14:paraId="4264FF30" w14:textId="77777777" w:rsidR="001F6179" w:rsidRDefault="001F6179" w:rsidP="00521A98">
      <w:pPr>
        <w:pStyle w:val="ListParagraph"/>
        <w:numPr>
          <w:ilvl w:val="0"/>
          <w:numId w:val="1"/>
        </w:numPr>
        <w:spacing w:after="120"/>
        <w:contextualSpacing w:val="0"/>
      </w:pPr>
      <w:r>
        <w:lastRenderedPageBreak/>
        <w:t>Equity</w:t>
      </w:r>
    </w:p>
    <w:p w14:paraId="379EB073" w14:textId="77777777" w:rsidR="00E17084" w:rsidRDefault="00E17084" w:rsidP="00E17084">
      <w:pPr>
        <w:spacing w:after="120"/>
      </w:pPr>
      <w:r>
        <w:t>Contribution to health care financing is expected to be progressive whereby those with high income will contribute a relatively higher share of their income to fund health services compared to the poor. Similarly access to health care will be determined by the needs of the people rather than income. This means that those with similar health care need will get same opportunity to access services.</w:t>
      </w:r>
    </w:p>
    <w:p w14:paraId="5DE407B6" w14:textId="77777777" w:rsidR="001F6179" w:rsidRDefault="001F6179" w:rsidP="00521A98">
      <w:pPr>
        <w:pStyle w:val="ListParagraph"/>
        <w:numPr>
          <w:ilvl w:val="0"/>
          <w:numId w:val="1"/>
        </w:numPr>
        <w:spacing w:after="120"/>
        <w:contextualSpacing w:val="0"/>
      </w:pPr>
      <w:r w:rsidRPr="0063392A">
        <w:t xml:space="preserve">Solidarity </w:t>
      </w:r>
    </w:p>
    <w:p w14:paraId="1008CC74" w14:textId="77777777" w:rsidR="00E17084" w:rsidRPr="0063392A" w:rsidRDefault="00E17084" w:rsidP="00E17084">
      <w:pPr>
        <w:spacing w:after="120"/>
      </w:pPr>
      <w:r>
        <w:t>Resources collection and pooling will be organized in a harmonized way to make sure that those with higher income and good health conditions cross-subsidize those with less income and poor health conditions</w:t>
      </w:r>
    </w:p>
    <w:p w14:paraId="3C9830DE" w14:textId="77777777" w:rsidR="001F6179" w:rsidRDefault="001F6179" w:rsidP="00521A98">
      <w:pPr>
        <w:pStyle w:val="ListParagraph"/>
        <w:numPr>
          <w:ilvl w:val="0"/>
          <w:numId w:val="1"/>
        </w:numPr>
        <w:spacing w:after="120"/>
        <w:contextualSpacing w:val="0"/>
      </w:pPr>
      <w:r w:rsidRPr="0063392A">
        <w:t>Transparency and Accountability</w:t>
      </w:r>
    </w:p>
    <w:p w14:paraId="35978D5D" w14:textId="77777777" w:rsidR="00E17084" w:rsidRPr="0063392A" w:rsidRDefault="00E17084" w:rsidP="00E17084">
      <w:pPr>
        <w:spacing w:after="120"/>
      </w:pPr>
      <w:r>
        <w:t>Good governance stands at the core of the survival of this financing strategy. Organization of collection, pooling and purchasing will be done in a transparency way making sure that beneficiaries get timely knowledge of what is happening in the SNHI. Responsible stakeholders will be held accountable for all decisions made in relation to collection, pooling and purchasing of health care services.</w:t>
      </w:r>
    </w:p>
    <w:p w14:paraId="12170506" w14:textId="77777777" w:rsidR="001F6179" w:rsidRDefault="001F6179" w:rsidP="00521A98">
      <w:pPr>
        <w:pStyle w:val="ListParagraph"/>
        <w:numPr>
          <w:ilvl w:val="0"/>
          <w:numId w:val="1"/>
        </w:numPr>
        <w:spacing w:after="120"/>
        <w:contextualSpacing w:val="0"/>
      </w:pPr>
      <w:r w:rsidRPr="0063392A">
        <w:t xml:space="preserve">Sustainability </w:t>
      </w:r>
    </w:p>
    <w:p w14:paraId="182881A9" w14:textId="77777777" w:rsidR="00E17084" w:rsidRDefault="003B3706" w:rsidP="00E17084">
      <w:pPr>
        <w:spacing w:after="120"/>
      </w:pPr>
      <w:r>
        <w:t>Organization of fund collection, pooling and purchasing of health care services will be done in such a way the SNHI will survive for long term. The SNHI will keep on adjusting the level of benefit package according to the ability of the fund.</w:t>
      </w:r>
    </w:p>
    <w:p w14:paraId="6502F900" w14:textId="77777777" w:rsidR="00527560" w:rsidRPr="00F74CCE" w:rsidRDefault="00C01A1A" w:rsidP="00521A98">
      <w:pPr>
        <w:pStyle w:val="ListParagraph"/>
        <w:numPr>
          <w:ilvl w:val="0"/>
          <w:numId w:val="1"/>
        </w:numPr>
        <w:spacing w:after="120"/>
        <w:contextualSpacing w:val="0"/>
      </w:pPr>
      <w:r w:rsidRPr="00F74CCE">
        <w:t>Acceptability</w:t>
      </w:r>
    </w:p>
    <w:p w14:paraId="3E174F37" w14:textId="77777777" w:rsidR="00A60055" w:rsidRPr="0063392A" w:rsidRDefault="00732954" w:rsidP="00A60055">
      <w:pPr>
        <w:spacing w:after="120"/>
      </w:pPr>
      <w:r>
        <w:t>Respecting cultural values and norms is an important aspect when it comes to access to health care. It is the objective of this strategy to make sure that cultural values are maintained by making sure that the arrangement of health care service provision respect what the communities have defined to be their standards. This involves being sensitive to opening hours of service provision, interactions between providers and people of different age groups and other societal norms.</w:t>
      </w:r>
    </w:p>
    <w:p w14:paraId="1F46BF22" w14:textId="77777777" w:rsidR="001F6179" w:rsidRPr="0063392A" w:rsidRDefault="001F6179" w:rsidP="00521A98">
      <w:pPr>
        <w:pStyle w:val="ListParagraph"/>
        <w:numPr>
          <w:ilvl w:val="0"/>
          <w:numId w:val="1"/>
        </w:numPr>
        <w:spacing w:after="120"/>
        <w:contextualSpacing w:val="0"/>
      </w:pPr>
      <w:r w:rsidRPr="0063392A">
        <w:t xml:space="preserve">Efficiency </w:t>
      </w:r>
      <w:r>
        <w:t>and value for money.</w:t>
      </w:r>
    </w:p>
    <w:p w14:paraId="781F4022" w14:textId="77777777" w:rsidR="001F6179" w:rsidRDefault="001F6179" w:rsidP="001F6179">
      <w:r w:rsidRPr="0063392A">
        <w:t xml:space="preserve">The Health Financing Strategy is designed with the value of </w:t>
      </w:r>
      <w:r>
        <w:t>health</w:t>
      </w:r>
      <w:r w:rsidRPr="0063392A">
        <w:t xml:space="preserve"> as a Human Right in mind</w:t>
      </w:r>
      <w:r w:rsidR="002C3E91">
        <w:t xml:space="preserve">.  It </w:t>
      </w:r>
      <w:r w:rsidRPr="0063392A">
        <w:t xml:space="preserve">will </w:t>
      </w:r>
      <w:r w:rsidR="002C3E91">
        <w:t xml:space="preserve">be specifically </w:t>
      </w:r>
      <w:r w:rsidRPr="0063392A">
        <w:t xml:space="preserve">geared towards providing financial protection to the population and </w:t>
      </w:r>
      <w:r w:rsidR="002C3E91">
        <w:t xml:space="preserve">will </w:t>
      </w:r>
      <w:r w:rsidRPr="0063392A">
        <w:t>focus its efforts on the inclusion of the poor into the envisaged Social Health Protection System.</w:t>
      </w:r>
    </w:p>
    <w:p w14:paraId="61EC4ED0" w14:textId="77777777" w:rsidR="00732954" w:rsidRDefault="00732954" w:rsidP="001F6179"/>
    <w:p w14:paraId="41986225" w14:textId="77777777" w:rsidR="00C01A1A" w:rsidRDefault="00732954" w:rsidP="00521A98">
      <w:pPr>
        <w:pStyle w:val="ListParagraph"/>
        <w:numPr>
          <w:ilvl w:val="0"/>
          <w:numId w:val="4"/>
        </w:numPr>
      </w:pPr>
      <w:r>
        <w:t>Gender sensitivity</w:t>
      </w:r>
    </w:p>
    <w:p w14:paraId="4B8995E7" w14:textId="03601884" w:rsidR="00C01A1A" w:rsidRPr="00F74CCE" w:rsidRDefault="004E7D71" w:rsidP="00F74CCE">
      <w:r>
        <w:t xml:space="preserve">Gender equity stands at the core of this strategy. </w:t>
      </w:r>
      <w:r w:rsidR="00C01A1A" w:rsidRPr="00F74CCE">
        <w:t xml:space="preserve">The strategy will make sure that it responds to the health needs of women and men within their socially accepted roles in </w:t>
      </w:r>
      <w:r w:rsidR="00C01A1A" w:rsidRPr="00F74CCE">
        <w:lastRenderedPageBreak/>
        <w:t>society by distributing r</w:t>
      </w:r>
      <w:r w:rsidR="00287F9C">
        <w:t>oles, responsibilities and pow</w:t>
      </w:r>
      <w:r w:rsidR="00C01A1A" w:rsidRPr="00F74CCE">
        <w:t xml:space="preserve">er between the two groups in order to reduce inequalities that affect health and health seeking </w:t>
      </w:r>
      <w:r>
        <w:t>behavior.</w:t>
      </w:r>
    </w:p>
    <w:p w14:paraId="7848AEDC" w14:textId="1FA8AAAA" w:rsidR="002072E9" w:rsidRDefault="002072E9">
      <w:pPr>
        <w:spacing w:after="200"/>
        <w:jc w:val="left"/>
        <w:rPr>
          <w:lang w:val="sw-KE"/>
        </w:rPr>
      </w:pPr>
      <w:r>
        <w:rPr>
          <w:lang w:val="sw-KE"/>
        </w:rPr>
        <w:br w:type="page"/>
      </w:r>
    </w:p>
    <w:p w14:paraId="357DBD04" w14:textId="77777777" w:rsidR="001F6179" w:rsidRPr="001F6179" w:rsidRDefault="001F6179" w:rsidP="001F6179">
      <w:pPr>
        <w:pStyle w:val="Heading1"/>
      </w:pPr>
      <w:bookmarkStart w:id="25" w:name="_Toc411949930"/>
      <w:r w:rsidRPr="001F6179">
        <w:lastRenderedPageBreak/>
        <w:t>Strategic Interventions</w:t>
      </w:r>
      <w:bookmarkEnd w:id="25"/>
      <w:r w:rsidRPr="001F6179">
        <w:t xml:space="preserve"> </w:t>
      </w:r>
    </w:p>
    <w:p w14:paraId="33C91314" w14:textId="53BDBA06" w:rsidR="001F6179" w:rsidRDefault="001F6179" w:rsidP="002C3E91">
      <w:r w:rsidRPr="0063392A">
        <w:t xml:space="preserve">As part of </w:t>
      </w:r>
      <w:r>
        <w:t>reforming the health financing sector via a</w:t>
      </w:r>
      <w:r w:rsidRPr="0063392A">
        <w:t xml:space="preserve"> comprehensive </w:t>
      </w:r>
      <w:r w:rsidR="007E1A5C">
        <w:t>s</w:t>
      </w:r>
      <w:r w:rsidRPr="0063392A">
        <w:t xml:space="preserve">ocial </w:t>
      </w:r>
      <w:r w:rsidR="007E1A5C">
        <w:t>h</w:t>
      </w:r>
      <w:r w:rsidRPr="0063392A">
        <w:t xml:space="preserve">ealth </w:t>
      </w:r>
      <w:r w:rsidR="007E1A5C">
        <w:t>p</w:t>
      </w:r>
      <w:r w:rsidRPr="0063392A">
        <w:t xml:space="preserve">rotection </w:t>
      </w:r>
      <w:r w:rsidR="007E1A5C">
        <w:t>s</w:t>
      </w:r>
      <w:r w:rsidRPr="0063392A">
        <w:t xml:space="preserve">ystem, Tanzania envisages </w:t>
      </w:r>
      <w:r w:rsidR="00A26983">
        <w:t xml:space="preserve">an </w:t>
      </w:r>
      <w:r w:rsidR="00E23AF8">
        <w:t>expansion and consolidation of existing social health insurance schemes into a new</w:t>
      </w:r>
      <w:r w:rsidR="00F92C67">
        <w:t xml:space="preserve"> </w:t>
      </w:r>
      <w:r w:rsidRPr="005E6F49">
        <w:rPr>
          <w:b/>
        </w:rPr>
        <w:t>mandatory</w:t>
      </w:r>
      <w:r>
        <w:t xml:space="preserve"> </w:t>
      </w:r>
      <w:r w:rsidRPr="0063392A">
        <w:rPr>
          <w:b/>
        </w:rPr>
        <w:t>Single National Health Insurance</w:t>
      </w:r>
      <w:r>
        <w:rPr>
          <w:b/>
        </w:rPr>
        <w:t xml:space="preserve"> </w:t>
      </w:r>
      <w:r w:rsidR="002C3E91">
        <w:rPr>
          <w:b/>
        </w:rPr>
        <w:t>(SNHI)</w:t>
      </w:r>
      <w:r w:rsidR="007E1A5C">
        <w:rPr>
          <w:b/>
        </w:rPr>
        <w:t xml:space="preserve">. </w:t>
      </w:r>
      <w:r w:rsidR="007E1A5C" w:rsidRPr="007E1A5C">
        <w:t>SNHI will</w:t>
      </w:r>
      <w:r w:rsidR="007E1A5C">
        <w:t xml:space="preserve"> </w:t>
      </w:r>
      <w:r w:rsidR="004F5959" w:rsidRPr="004F5959">
        <w:t>purchas</w:t>
      </w:r>
      <w:r w:rsidR="007E1A5C">
        <w:t>e</w:t>
      </w:r>
      <w:r w:rsidR="004F5959" w:rsidRPr="004F5959">
        <w:t xml:space="preserve"> a standard minimum benefit package (MBP) for all Tanzanian citizens through</w:t>
      </w:r>
      <w:r w:rsidR="007E1A5C">
        <w:t xml:space="preserve"> </w:t>
      </w:r>
      <w:r w:rsidR="001D4B9E">
        <w:t>performance based</w:t>
      </w:r>
      <w:r>
        <w:t xml:space="preserve"> financing mechanisms to increase quality outcomes in health services delivery</w:t>
      </w:r>
      <w:r w:rsidRPr="0063392A">
        <w:t>.</w:t>
      </w:r>
      <w:r w:rsidR="00E17084">
        <w:t xml:space="preserve"> The new system will aim at reducing fragmentation in health sector resource pooling and increase the size of revenue collectively available to fund health services. It envisaged that the harmonization of health sector funding resources will help to improve efficiency in allocation and use of funds.</w:t>
      </w:r>
      <w:r w:rsidR="0083631C">
        <w:t xml:space="preserve">  </w:t>
      </w:r>
      <w:r w:rsidR="00A53EF8">
        <w:t xml:space="preserve">Introduction of SNHI will not start from scratch but rather build on </w:t>
      </w:r>
      <w:r w:rsidR="00A62E3A">
        <w:t>the current structures and realign</w:t>
      </w:r>
      <w:r w:rsidR="00A53EF8">
        <w:t xml:space="preserve"> </w:t>
      </w:r>
      <w:r w:rsidR="00A62E3A">
        <w:t>with</w:t>
      </w:r>
      <w:r w:rsidR="00A53EF8">
        <w:t xml:space="preserve"> existing health financing interventions.  </w:t>
      </w:r>
      <w:r w:rsidR="0083631C">
        <w:t xml:space="preserve">Figure </w:t>
      </w:r>
      <w:r w:rsidR="00362633">
        <w:t>5</w:t>
      </w:r>
      <w:r w:rsidR="0083631C">
        <w:t xml:space="preserve"> below paints a picture of the overall SNHI concept </w:t>
      </w:r>
      <w:r w:rsidR="005B18DC">
        <w:t>or</w:t>
      </w:r>
      <w:r w:rsidR="0083631C">
        <w:t xml:space="preserve"> the Tanzanian road to UHC </w:t>
      </w:r>
      <w:r w:rsidR="005B18DC">
        <w:t>from 2015-20</w:t>
      </w:r>
      <w:r w:rsidR="002A184B">
        <w:t>2</w:t>
      </w:r>
      <w:r w:rsidR="005B18DC">
        <w:t>5</w:t>
      </w:r>
      <w:r w:rsidR="0083631C">
        <w:t xml:space="preserve">. </w:t>
      </w:r>
    </w:p>
    <w:p w14:paraId="35B37B2B" w14:textId="77777777" w:rsidR="00EA6231" w:rsidRDefault="00EA6231" w:rsidP="002C3E91"/>
    <w:p w14:paraId="69C4A160" w14:textId="43C008E9" w:rsidR="004F5959" w:rsidRDefault="004F5959" w:rsidP="002C3E91">
      <w:r>
        <w:t xml:space="preserve">The Health Financing Strategy is comprehensive in that it includes both individual health services in the SNHI MBP and population-based public health, education and capital investment programs.  It also incorporates both public and private financing.  Ten specific strategies are discussed in the following sections organized by governance and health financing functions of revenue collection, pooling and purchasing; HFS objective; specific strategy and strategic intervention.     </w:t>
      </w:r>
    </w:p>
    <w:p w14:paraId="58EB0540" w14:textId="77777777" w:rsidR="0083631C" w:rsidRDefault="0083631C" w:rsidP="002C3E91"/>
    <w:p w14:paraId="69A64734" w14:textId="2AA2C3D2" w:rsidR="00362633" w:rsidRDefault="00362633" w:rsidP="00362633">
      <w:pPr>
        <w:pStyle w:val="Caption"/>
      </w:pPr>
      <w:r>
        <w:t>Figure 5</w:t>
      </w:r>
      <w:r w:rsidR="002266EC">
        <w:t>.1</w:t>
      </w:r>
      <w:r>
        <w:t xml:space="preserve">: Concept of the </w:t>
      </w:r>
      <w:r w:rsidR="0099670E">
        <w:t>UHC</w:t>
      </w:r>
      <w:r>
        <w:t xml:space="preserve"> </w:t>
      </w:r>
      <w:r w:rsidR="0099670E">
        <w:t xml:space="preserve">development </w:t>
      </w:r>
      <w:r>
        <w:t>for Tanzania</w:t>
      </w:r>
      <w:r w:rsidR="0099670E">
        <w:t xml:space="preserve"> via the SNHI</w:t>
      </w:r>
    </w:p>
    <w:p w14:paraId="0283FDBC" w14:textId="69564278" w:rsidR="0083631C" w:rsidRDefault="0083631C">
      <w:pPr>
        <w:spacing w:after="200"/>
        <w:jc w:val="left"/>
      </w:pPr>
      <w:r w:rsidRPr="0083631C">
        <w:rPr>
          <w:noProof/>
          <w:lang w:val="en-GB" w:eastAsia="en-GB"/>
        </w:rPr>
        <w:drawing>
          <wp:inline distT="0" distB="0" distL="0" distR="0" wp14:anchorId="2D40DA39" wp14:editId="55AB241F">
            <wp:extent cx="5943600" cy="34290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944430" cy="3429479"/>
                    </a:xfrm>
                    <a:prstGeom prst="rect">
                      <a:avLst/>
                    </a:prstGeom>
                  </pic:spPr>
                </pic:pic>
              </a:graphicData>
            </a:graphic>
          </wp:inline>
        </w:drawing>
      </w:r>
      <w:r>
        <w:br w:type="page"/>
      </w:r>
    </w:p>
    <w:p w14:paraId="40298208" w14:textId="77777777" w:rsidR="004329A6" w:rsidRDefault="004329A6" w:rsidP="002C3E91"/>
    <w:p w14:paraId="3452E5DA" w14:textId="2066AC94" w:rsidR="007F5FD4" w:rsidRDefault="007F5FD4" w:rsidP="007F5FD4">
      <w:pPr>
        <w:pStyle w:val="Heading2"/>
      </w:pPr>
      <w:bookmarkStart w:id="26" w:name="_Toc411949931"/>
      <w:r>
        <w:t>Gover</w:t>
      </w:r>
      <w:r w:rsidR="009F3C8D">
        <w:t>n</w:t>
      </w:r>
      <w:r>
        <w:t>ance</w:t>
      </w:r>
      <w:bookmarkEnd w:id="26"/>
    </w:p>
    <w:p w14:paraId="41AD8C9D" w14:textId="3B772FEF" w:rsidR="00C21BAD" w:rsidRDefault="00301A80" w:rsidP="00734DCF">
      <w:pPr>
        <w:pStyle w:val="Heading3"/>
        <w:spacing w:before="0" w:after="0"/>
        <w:ind w:left="806"/>
      </w:pPr>
      <w:bookmarkStart w:id="27" w:name="_Toc411949932"/>
      <w:r>
        <w:t>Objective 1: D</w:t>
      </w:r>
      <w:r w:rsidRPr="001F6179">
        <w:t>evelop a sound, responsive and adequate health financing legal and regulatory framework</w:t>
      </w:r>
      <w:r w:rsidR="007F5FD4">
        <w:t>.</w:t>
      </w:r>
      <w:bookmarkEnd w:id="27"/>
      <w:r w:rsidR="00C65DDD">
        <w:t xml:space="preserve">  </w:t>
      </w:r>
      <w:r w:rsidR="007F5FD4">
        <w:t xml:space="preserve">  </w:t>
      </w:r>
    </w:p>
    <w:p w14:paraId="08B65D25" w14:textId="39F8487D" w:rsidR="00B96AD4" w:rsidRPr="00301A80" w:rsidRDefault="001F6179" w:rsidP="00734DCF">
      <w:pPr>
        <w:pStyle w:val="Heading3"/>
        <w:numPr>
          <w:ilvl w:val="0"/>
          <w:numId w:val="0"/>
        </w:numPr>
        <w:spacing w:before="0" w:after="0"/>
        <w:ind w:left="806"/>
      </w:pPr>
      <w:bookmarkStart w:id="28" w:name="_Toc411949933"/>
      <w:r w:rsidRPr="00301A80">
        <w:t xml:space="preserve">Strategy 1: </w:t>
      </w:r>
      <w:r w:rsidR="007F5FD4" w:rsidRPr="007F5FD4">
        <w:t>Establish SNHI Legal and Regulatory Framework</w:t>
      </w:r>
      <w:bookmarkEnd w:id="28"/>
    </w:p>
    <w:p w14:paraId="007E0F56" w14:textId="734573E1" w:rsidR="00DB37B6" w:rsidRPr="00C355DF" w:rsidRDefault="00B96AD4" w:rsidP="00301A80">
      <w:pPr>
        <w:pStyle w:val="Heading4"/>
        <w:numPr>
          <w:ilvl w:val="0"/>
          <w:numId w:val="0"/>
        </w:numPr>
        <w:ind w:left="864" w:hanging="864"/>
      </w:pPr>
      <w:r w:rsidRPr="00C355DF">
        <w:t xml:space="preserve">Strategic intervention: </w:t>
      </w:r>
      <w:r w:rsidR="00D31029">
        <w:t>Develop and approve SNHI legal and regulatory framework</w:t>
      </w:r>
      <w:r w:rsidR="00DB37B6" w:rsidRPr="00C355DF">
        <w:t xml:space="preserve"> </w:t>
      </w:r>
    </w:p>
    <w:p w14:paraId="28F8DB50" w14:textId="2E944378" w:rsidR="00DB37B6" w:rsidRPr="00CB149B" w:rsidRDefault="00B85D2C" w:rsidP="00DB37B6">
      <w:r w:rsidRPr="00B85D2C">
        <w:t xml:space="preserve">This Strategy aims at developing or adapting a </w:t>
      </w:r>
      <w:r w:rsidR="00E33531">
        <w:t xml:space="preserve">clear and executable </w:t>
      </w:r>
      <w:r w:rsidRPr="00B85D2C">
        <w:t xml:space="preserve">legal and regulatory framework such that it </w:t>
      </w:r>
      <w:r w:rsidR="0092228E">
        <w:t>clarifies and streamlines</w:t>
      </w:r>
      <w:r w:rsidRPr="00B85D2C">
        <w:t xml:space="preserve"> the health financing policy landscape, ensures stakeholder participation, strengthens accountability, and provides clear </w:t>
      </w:r>
      <w:r w:rsidR="00D637BB">
        <w:t xml:space="preserve">direction for </w:t>
      </w:r>
      <w:r w:rsidR="00F50A43">
        <w:t>SNHI</w:t>
      </w:r>
      <w:r w:rsidR="00D637BB">
        <w:t xml:space="preserve"> implementation</w:t>
      </w:r>
      <w:r w:rsidRPr="00B85D2C">
        <w:t>.</w:t>
      </w:r>
      <w:r w:rsidR="00D637BB">
        <w:t xml:space="preserve">  </w:t>
      </w:r>
      <w:r w:rsidRPr="00B85D2C">
        <w:t xml:space="preserve">The legal and regulatory framework will ensure that the vision, values, guiding principles, goals and objectives outlined in </w:t>
      </w:r>
      <w:r w:rsidR="00D637BB">
        <w:t>HFS</w:t>
      </w:r>
      <w:r w:rsidRPr="00B85D2C">
        <w:t xml:space="preserve"> are reflected in relevant </w:t>
      </w:r>
      <w:r w:rsidR="00D637BB">
        <w:t>laws and regulations</w:t>
      </w:r>
      <w:r w:rsidRPr="00B85D2C">
        <w:t xml:space="preserve"> </w:t>
      </w:r>
      <w:r w:rsidR="00D637BB">
        <w:t>thus</w:t>
      </w:r>
      <w:r w:rsidRPr="00B85D2C">
        <w:t xml:space="preserve"> provid</w:t>
      </w:r>
      <w:r w:rsidR="00D637BB">
        <w:t>ing</w:t>
      </w:r>
      <w:r w:rsidRPr="00B85D2C">
        <w:t xml:space="preserve"> the needed legal </w:t>
      </w:r>
      <w:r w:rsidR="00D637BB">
        <w:t xml:space="preserve">and regulatory </w:t>
      </w:r>
      <w:r w:rsidRPr="00B85D2C">
        <w:t>tools to implement</w:t>
      </w:r>
      <w:r w:rsidR="0092228E">
        <w:t>, sustain and ensure the proper and transparent functioning</w:t>
      </w:r>
      <w:r w:rsidRPr="00B85D2C">
        <w:t xml:space="preserve"> </w:t>
      </w:r>
      <w:r w:rsidR="0092228E">
        <w:t xml:space="preserve">of </w:t>
      </w:r>
      <w:r w:rsidR="00D637BB">
        <w:t>SNHI</w:t>
      </w:r>
      <w:r w:rsidR="008E485F">
        <w:t xml:space="preserve"> </w:t>
      </w:r>
      <w:r w:rsidR="00D637BB">
        <w:t xml:space="preserve">in Tanzania. </w:t>
      </w:r>
    </w:p>
    <w:p w14:paraId="68017AA8" w14:textId="3D644F90" w:rsidR="000C262C" w:rsidRDefault="00B85D2C">
      <w:pPr>
        <w:keepNext/>
        <w:keepLines/>
        <w:numPr>
          <w:ilvl w:val="3"/>
          <w:numId w:val="0"/>
        </w:numPr>
        <w:spacing w:before="200" w:after="120"/>
        <w:ind w:left="864" w:hanging="864"/>
        <w:outlineLvl w:val="3"/>
        <w:rPr>
          <w:rFonts w:ascii="Cambria" w:eastAsia="Times New Roman" w:hAnsi="Cambria" w:cs="Times New Roman"/>
          <w:color w:val="4F81BD"/>
        </w:rPr>
      </w:pPr>
      <w:r w:rsidRPr="00B85D2C">
        <w:rPr>
          <w:rFonts w:ascii="Cambria" w:eastAsia="Times New Roman" w:hAnsi="Cambria" w:cs="Times New Roman"/>
          <w:b/>
          <w:bCs/>
          <w:i/>
          <w:iCs/>
          <w:color w:val="4F81BD"/>
        </w:rPr>
        <w:t>New L</w:t>
      </w:r>
      <w:r w:rsidR="002F1D16">
        <w:rPr>
          <w:rFonts w:ascii="Cambria" w:eastAsia="Times New Roman" w:hAnsi="Cambria" w:cs="Times New Roman"/>
          <w:b/>
          <w:bCs/>
          <w:i/>
          <w:iCs/>
          <w:color w:val="4F81BD"/>
        </w:rPr>
        <w:t>aws and Regulations</w:t>
      </w:r>
    </w:p>
    <w:p w14:paraId="6C9A788A" w14:textId="4C4D171C" w:rsidR="000B05EC" w:rsidRDefault="00037E97" w:rsidP="000B05EC">
      <w:pPr>
        <w:contextualSpacing/>
      </w:pPr>
      <w:r>
        <w:rPr>
          <w:rFonts w:cs="Arial"/>
          <w:szCs w:val="24"/>
        </w:rPr>
        <w:t>SNHI proposed in HFS will be mandatory, bringing all existing public and community health insurance together with the view of reducing fragmentation.</w:t>
      </w:r>
      <w:r w:rsidR="00947C6D">
        <w:rPr>
          <w:rFonts w:cs="Arial"/>
          <w:szCs w:val="24"/>
        </w:rPr>
        <w:t xml:space="preserve">  An </w:t>
      </w:r>
      <w:r w:rsidR="001F6179" w:rsidRPr="0063392A">
        <w:t xml:space="preserve">adequate legal and regulatory framework for </w:t>
      </w:r>
      <w:r w:rsidR="00947C6D">
        <w:t>mandatory SNHI</w:t>
      </w:r>
      <w:r w:rsidR="001F6179" w:rsidRPr="0063392A">
        <w:t xml:space="preserve"> </w:t>
      </w:r>
      <w:r w:rsidR="00B0157C">
        <w:t xml:space="preserve">will </w:t>
      </w:r>
      <w:r w:rsidR="001F6179" w:rsidRPr="0063392A">
        <w:t xml:space="preserve">be developed. </w:t>
      </w:r>
      <w:r w:rsidR="00B84941" w:rsidRPr="00B84941">
        <w:t>T</w:t>
      </w:r>
      <w:r w:rsidR="00B84941">
        <w:t xml:space="preserve">he legal framework will </w:t>
      </w:r>
      <w:r w:rsidR="00E33531">
        <w:t xml:space="preserve">safeguard </w:t>
      </w:r>
      <w:r w:rsidR="00413998">
        <w:t>the</w:t>
      </w:r>
      <w:r w:rsidR="00B84941" w:rsidRPr="00B84941">
        <w:t xml:space="preserve"> </w:t>
      </w:r>
      <w:r w:rsidR="00413998">
        <w:t>m</w:t>
      </w:r>
      <w:r w:rsidR="00B84941" w:rsidRPr="00B84941">
        <w:t xml:space="preserve">andatory </w:t>
      </w:r>
      <w:r w:rsidR="00F92C67">
        <w:t>m</w:t>
      </w:r>
      <w:r w:rsidR="00B84941" w:rsidRPr="00B84941">
        <w:t>embership</w:t>
      </w:r>
      <w:r w:rsidR="00E33531">
        <w:t xml:space="preserve"> nature of</w:t>
      </w:r>
      <w:r w:rsidR="00B84941" w:rsidRPr="00B84941">
        <w:t xml:space="preserve"> SNHI and </w:t>
      </w:r>
      <w:r w:rsidR="00E33531">
        <w:t xml:space="preserve">protect a </w:t>
      </w:r>
      <w:r w:rsidR="00F50A43">
        <w:t xml:space="preserve">standard </w:t>
      </w:r>
      <w:r w:rsidR="00B84941" w:rsidRPr="00B84941">
        <w:t xml:space="preserve">Minimum Benefit Package </w:t>
      </w:r>
      <w:r w:rsidR="00413998">
        <w:t xml:space="preserve">(MBP) </w:t>
      </w:r>
      <w:r w:rsidR="00E33531">
        <w:t xml:space="preserve">that will be </w:t>
      </w:r>
      <w:r w:rsidR="00413998">
        <w:t xml:space="preserve">an </w:t>
      </w:r>
      <w:r w:rsidR="00984761">
        <w:t>entitlement</w:t>
      </w:r>
      <w:r w:rsidR="00E33531">
        <w:t xml:space="preserve"> </w:t>
      </w:r>
      <w:r w:rsidR="00413998">
        <w:t>of</w:t>
      </w:r>
      <w:r w:rsidR="00B84941" w:rsidRPr="00B84941">
        <w:t xml:space="preserve"> the entire population.</w:t>
      </w:r>
      <w:r w:rsidR="000B05EC">
        <w:t xml:space="preserve">  </w:t>
      </w:r>
    </w:p>
    <w:p w14:paraId="4BD0FC98" w14:textId="77777777" w:rsidR="000B05EC" w:rsidRDefault="000B05EC" w:rsidP="000B05EC">
      <w:pPr>
        <w:contextualSpacing/>
      </w:pPr>
    </w:p>
    <w:p w14:paraId="412230F3" w14:textId="4A07EDDD" w:rsidR="00037E97" w:rsidRDefault="00CC1F3C" w:rsidP="00F74CCE">
      <w:pPr>
        <w:contextualSpacing/>
        <w:rPr>
          <w:rFonts w:cs="Arial"/>
          <w:szCs w:val="24"/>
        </w:rPr>
      </w:pPr>
      <w:r>
        <w:t>Development and approval of two new health insurance laws will move in parallel, the SNHI Act and the Health Insurance Regulatory Act, and harmon</w:t>
      </w:r>
      <w:r w:rsidR="00E60BAD">
        <w:t>ized</w:t>
      </w:r>
      <w:r w:rsidR="00FC2CEF">
        <w:t xml:space="preserve"> </w:t>
      </w:r>
      <w:r w:rsidR="00E60BAD">
        <w:t>to ensure consistency</w:t>
      </w:r>
      <w:r>
        <w:t xml:space="preserve">.  </w:t>
      </w:r>
      <w:r w:rsidR="000B05EC">
        <w:t xml:space="preserve">The SNHI Act will </w:t>
      </w:r>
      <w:r w:rsidR="000B05EC" w:rsidRPr="006B21EF">
        <w:rPr>
          <w:rFonts w:cs="Arial"/>
          <w:szCs w:val="24"/>
        </w:rPr>
        <w:t>includ</w:t>
      </w:r>
      <w:r w:rsidR="000B05EC">
        <w:rPr>
          <w:rFonts w:cs="Arial"/>
          <w:szCs w:val="24"/>
        </w:rPr>
        <w:t>e</w:t>
      </w:r>
      <w:r w:rsidR="000B05EC" w:rsidRPr="006B21EF">
        <w:rPr>
          <w:rFonts w:cs="Arial"/>
          <w:szCs w:val="24"/>
        </w:rPr>
        <w:t xml:space="preserve"> </w:t>
      </w:r>
      <w:r w:rsidR="000B05EC">
        <w:rPr>
          <w:rFonts w:cs="Arial"/>
          <w:szCs w:val="24"/>
        </w:rPr>
        <w:t xml:space="preserve">at least </w:t>
      </w:r>
      <w:r w:rsidR="000B05EC" w:rsidRPr="006B21EF">
        <w:rPr>
          <w:rFonts w:cs="Arial"/>
          <w:szCs w:val="24"/>
        </w:rPr>
        <w:t xml:space="preserve">the </w:t>
      </w:r>
      <w:r w:rsidR="000B05EC">
        <w:rPr>
          <w:rFonts w:cs="Arial"/>
          <w:szCs w:val="24"/>
        </w:rPr>
        <w:t xml:space="preserve">mandatory </w:t>
      </w:r>
      <w:r w:rsidR="000B05EC" w:rsidRPr="006B21EF">
        <w:rPr>
          <w:rFonts w:cs="Arial"/>
          <w:szCs w:val="24"/>
        </w:rPr>
        <w:t>nature of SNHI</w:t>
      </w:r>
      <w:r w:rsidR="000B05EC">
        <w:rPr>
          <w:rFonts w:cs="Arial"/>
          <w:szCs w:val="24"/>
        </w:rPr>
        <w:t>;</w:t>
      </w:r>
      <w:r w:rsidR="000B05EC" w:rsidRPr="006B21EF">
        <w:rPr>
          <w:rFonts w:cs="Arial"/>
          <w:szCs w:val="24"/>
        </w:rPr>
        <w:t xml:space="preserve"> </w:t>
      </w:r>
      <w:r w:rsidR="000B05EC">
        <w:rPr>
          <w:rFonts w:cs="Arial"/>
          <w:szCs w:val="24"/>
        </w:rPr>
        <w:t xml:space="preserve">consolidation of existing </w:t>
      </w:r>
      <w:r w:rsidR="000A0183">
        <w:rPr>
          <w:rFonts w:cs="Arial"/>
          <w:szCs w:val="24"/>
        </w:rPr>
        <w:t xml:space="preserve">social health </w:t>
      </w:r>
      <w:r w:rsidR="000B05EC">
        <w:rPr>
          <w:rFonts w:cs="Arial"/>
          <w:szCs w:val="24"/>
        </w:rPr>
        <w:t xml:space="preserve">insurance schemes; all institutional structure, roles and relationships; </w:t>
      </w:r>
      <w:r w:rsidR="00A3066C">
        <w:rPr>
          <w:rFonts w:cs="Arial"/>
          <w:szCs w:val="24"/>
        </w:rPr>
        <w:t xml:space="preserve">initial </w:t>
      </w:r>
      <w:r w:rsidR="000B05EC">
        <w:rPr>
          <w:rFonts w:cs="Arial"/>
          <w:szCs w:val="24"/>
        </w:rPr>
        <w:t xml:space="preserve">MBP specification; </w:t>
      </w:r>
      <w:r w:rsidR="000B05EC" w:rsidRPr="006B21EF">
        <w:rPr>
          <w:rFonts w:cs="Arial"/>
          <w:szCs w:val="24"/>
        </w:rPr>
        <w:t>pooling and purchasing m</w:t>
      </w:r>
      <w:r w:rsidR="000B05EC">
        <w:rPr>
          <w:rFonts w:cs="Arial"/>
          <w:szCs w:val="24"/>
        </w:rPr>
        <w:t xml:space="preserve">echanisms, </w:t>
      </w:r>
      <w:r w:rsidR="000B05EC" w:rsidRPr="006B21EF">
        <w:rPr>
          <w:rFonts w:cs="Arial"/>
          <w:szCs w:val="24"/>
        </w:rPr>
        <w:t>consumer participation, relation</w:t>
      </w:r>
      <w:r w:rsidR="000B05EC">
        <w:rPr>
          <w:rFonts w:cs="Arial"/>
          <w:szCs w:val="24"/>
        </w:rPr>
        <w:t>ship</w:t>
      </w:r>
      <w:r w:rsidR="000B05EC" w:rsidRPr="006B21EF">
        <w:rPr>
          <w:rFonts w:cs="Arial"/>
          <w:szCs w:val="24"/>
        </w:rPr>
        <w:t xml:space="preserve"> to private insurance</w:t>
      </w:r>
      <w:r w:rsidR="000B05EC">
        <w:rPr>
          <w:rFonts w:cs="Arial"/>
          <w:szCs w:val="24"/>
        </w:rPr>
        <w:t xml:space="preserve">; and administrative cost.  </w:t>
      </w:r>
      <w:r>
        <w:rPr>
          <w:rFonts w:cs="Arial"/>
          <w:szCs w:val="24"/>
        </w:rPr>
        <w:t xml:space="preserve">The Health Insurance Regulatory Act will regulate all health insurance in </w:t>
      </w:r>
      <w:r w:rsidR="00E60BAD">
        <w:rPr>
          <w:rFonts w:cs="Arial"/>
          <w:szCs w:val="24"/>
        </w:rPr>
        <w:t>in Tanzania</w:t>
      </w:r>
      <w:r>
        <w:rPr>
          <w:rFonts w:cs="Arial"/>
          <w:szCs w:val="24"/>
        </w:rPr>
        <w:t xml:space="preserve">.  </w:t>
      </w:r>
      <w:r w:rsidR="00B84941" w:rsidRPr="00B84941">
        <w:t xml:space="preserve">The existing </w:t>
      </w:r>
      <w:r w:rsidR="00E159AB">
        <w:t>SHI</w:t>
      </w:r>
      <w:r w:rsidR="00B84941" w:rsidRPr="00B84941">
        <w:t xml:space="preserve"> law</w:t>
      </w:r>
      <w:r w:rsidR="00E159AB">
        <w:t>s</w:t>
      </w:r>
      <w:r w:rsidR="00B84941" w:rsidRPr="00B84941">
        <w:t xml:space="preserve"> and acts will have to be </w:t>
      </w:r>
      <w:r w:rsidR="000A0183">
        <w:t xml:space="preserve">amended or </w:t>
      </w:r>
      <w:r w:rsidR="00B84941" w:rsidRPr="00B84941">
        <w:t>annulled (e.g. NHIF Act, CHF Act, SHIB</w:t>
      </w:r>
      <w:r w:rsidR="0099670E">
        <w:t xml:space="preserve">). </w:t>
      </w:r>
      <w:r w:rsidR="000A0183">
        <w:t>O</w:t>
      </w:r>
      <w:r w:rsidR="00B84941" w:rsidRPr="00B84941">
        <w:t>ther existing laws and regulations relating to insurance, social security and service delivery will have to be reviewed, adapted or changed to suit the new system</w:t>
      </w:r>
      <w:r w:rsidR="00E33531">
        <w:t>.</w:t>
      </w:r>
      <w:r w:rsidR="00426C78">
        <w:t xml:space="preserve">  </w:t>
      </w:r>
      <w:r w:rsidR="001F6179" w:rsidRPr="0063392A">
        <w:rPr>
          <w:rFonts w:cs="Arial"/>
          <w:szCs w:val="24"/>
        </w:rPr>
        <w:t xml:space="preserve">As soon as the Strategy enters implementation and the </w:t>
      </w:r>
      <w:r w:rsidR="007138B2">
        <w:rPr>
          <w:rFonts w:cs="Arial"/>
          <w:szCs w:val="24"/>
        </w:rPr>
        <w:t>m</w:t>
      </w:r>
      <w:r w:rsidR="001F6179" w:rsidRPr="0063392A">
        <w:rPr>
          <w:rFonts w:cs="Arial"/>
          <w:szCs w:val="24"/>
        </w:rPr>
        <w:t xml:space="preserve">andatory </w:t>
      </w:r>
      <w:r w:rsidR="00B84941">
        <w:rPr>
          <w:rFonts w:cs="Arial"/>
          <w:szCs w:val="24"/>
        </w:rPr>
        <w:t>S</w:t>
      </w:r>
      <w:r w:rsidR="00370757">
        <w:rPr>
          <w:rFonts w:cs="Arial"/>
          <w:szCs w:val="24"/>
        </w:rPr>
        <w:t>N</w:t>
      </w:r>
      <w:r w:rsidR="00B84941">
        <w:rPr>
          <w:rFonts w:cs="Arial"/>
          <w:szCs w:val="24"/>
        </w:rPr>
        <w:t>HI</w:t>
      </w:r>
      <w:r w:rsidR="001F6179" w:rsidRPr="0063392A">
        <w:rPr>
          <w:rFonts w:cs="Arial"/>
          <w:szCs w:val="24"/>
        </w:rPr>
        <w:t xml:space="preserve"> is created, </w:t>
      </w:r>
      <w:r w:rsidR="005E25B7">
        <w:rPr>
          <w:rFonts w:cs="Arial"/>
          <w:szCs w:val="24"/>
        </w:rPr>
        <w:t xml:space="preserve">appropriate </w:t>
      </w:r>
      <w:r w:rsidR="001F6179" w:rsidRPr="0063392A">
        <w:rPr>
          <w:rFonts w:cs="Arial"/>
          <w:szCs w:val="24"/>
        </w:rPr>
        <w:t>regulation</w:t>
      </w:r>
      <w:r w:rsidR="00DD6B8E">
        <w:rPr>
          <w:rFonts w:cs="Arial"/>
          <w:szCs w:val="24"/>
        </w:rPr>
        <w:t xml:space="preserve">s will </w:t>
      </w:r>
      <w:r w:rsidR="001F6179" w:rsidRPr="0063392A">
        <w:rPr>
          <w:rFonts w:cs="Arial"/>
          <w:szCs w:val="24"/>
        </w:rPr>
        <w:t>be</w:t>
      </w:r>
      <w:r w:rsidR="00DD6B8E">
        <w:rPr>
          <w:rFonts w:cs="Arial"/>
          <w:szCs w:val="24"/>
        </w:rPr>
        <w:t xml:space="preserve"> put</w:t>
      </w:r>
      <w:r w:rsidR="001F6179" w:rsidRPr="0063392A">
        <w:rPr>
          <w:rFonts w:cs="Arial"/>
          <w:szCs w:val="24"/>
        </w:rPr>
        <w:t xml:space="preserve"> in place</w:t>
      </w:r>
      <w:r w:rsidR="00DD6B8E">
        <w:rPr>
          <w:rFonts w:cs="Arial"/>
          <w:szCs w:val="24"/>
        </w:rPr>
        <w:t xml:space="preserve"> to guide its execution</w:t>
      </w:r>
      <w:r w:rsidR="001F6179" w:rsidRPr="0063392A">
        <w:rPr>
          <w:rFonts w:cs="Arial"/>
          <w:szCs w:val="24"/>
        </w:rPr>
        <w:t>.</w:t>
      </w:r>
      <w:r w:rsidR="008E485F">
        <w:rPr>
          <w:rFonts w:cs="Arial"/>
          <w:szCs w:val="24"/>
        </w:rPr>
        <w:t xml:space="preserve">  </w:t>
      </w:r>
    </w:p>
    <w:p w14:paraId="7B48AC3C" w14:textId="77777777" w:rsidR="00037E97" w:rsidRDefault="00037E97" w:rsidP="00F74CCE">
      <w:pPr>
        <w:contextualSpacing/>
        <w:rPr>
          <w:rFonts w:cs="Arial"/>
          <w:szCs w:val="24"/>
        </w:rPr>
      </w:pPr>
    </w:p>
    <w:p w14:paraId="0501BB01" w14:textId="6015094E" w:rsidR="00C21BAD" w:rsidRDefault="00C21BAD" w:rsidP="00734DCF">
      <w:pPr>
        <w:pStyle w:val="Heading3"/>
        <w:spacing w:before="0" w:after="0"/>
        <w:ind w:left="720"/>
      </w:pPr>
      <w:bookmarkStart w:id="29" w:name="_Toc411949934"/>
      <w:r w:rsidRPr="00C21BAD">
        <w:lastRenderedPageBreak/>
        <w:t xml:space="preserve">Objective 2: </w:t>
      </w:r>
      <w:r w:rsidR="004E4537">
        <w:t xml:space="preserve">Establish </w:t>
      </w:r>
      <w:r w:rsidRPr="00C21BAD">
        <w:t xml:space="preserve">institutional structure with clearly defined roles and responsibilities which reflects the voice of the community/user of the health system and </w:t>
      </w:r>
      <w:r w:rsidR="004E4537">
        <w:t xml:space="preserve">moves </w:t>
      </w:r>
      <w:r w:rsidRPr="00C21BAD">
        <w:t>the reforms towards mandatory S</w:t>
      </w:r>
      <w:r>
        <w:t>NHI</w:t>
      </w:r>
      <w:r w:rsidR="00884271">
        <w:t>.</w:t>
      </w:r>
      <w:bookmarkEnd w:id="29"/>
      <w:r w:rsidR="00884271">
        <w:t xml:space="preserve">  </w:t>
      </w:r>
    </w:p>
    <w:p w14:paraId="005CDCEF" w14:textId="1946E8B2" w:rsidR="00884271" w:rsidRPr="00301A80" w:rsidRDefault="00C21BAD" w:rsidP="00734DCF">
      <w:pPr>
        <w:pStyle w:val="Heading3"/>
        <w:numPr>
          <w:ilvl w:val="0"/>
          <w:numId w:val="0"/>
        </w:numPr>
        <w:spacing w:before="0" w:after="0"/>
        <w:ind w:left="720"/>
      </w:pPr>
      <w:bookmarkStart w:id="30" w:name="_Toc411949935"/>
      <w:r w:rsidRPr="00C21BAD">
        <w:t>Strategy 2: Establish and operat</w:t>
      </w:r>
      <w:r w:rsidR="00021690">
        <w:t>e</w:t>
      </w:r>
      <w:r w:rsidRPr="00C21BAD">
        <w:t xml:space="preserve"> SNHI institutional structure, roles and relationships</w:t>
      </w:r>
      <w:bookmarkEnd w:id="30"/>
    </w:p>
    <w:p w14:paraId="05946870" w14:textId="56E82284" w:rsidR="00884271" w:rsidRPr="00C355DF" w:rsidRDefault="00884271" w:rsidP="0099670E">
      <w:pPr>
        <w:pStyle w:val="Heading4"/>
        <w:numPr>
          <w:ilvl w:val="0"/>
          <w:numId w:val="0"/>
        </w:numPr>
        <w:ind w:left="-90" w:hanging="54"/>
        <w:jc w:val="left"/>
      </w:pPr>
      <w:r w:rsidRPr="00C355DF">
        <w:t xml:space="preserve">Strategic intervention: </w:t>
      </w:r>
      <w:r w:rsidR="00C21BAD">
        <w:t>Establish SNHI institutional structure, roles and relationships and develop SNHI purchaser operating capacity</w:t>
      </w:r>
      <w:r w:rsidRPr="00C355DF">
        <w:t xml:space="preserve"> </w:t>
      </w:r>
    </w:p>
    <w:p w14:paraId="5CACB8CF" w14:textId="333DC8FB" w:rsidR="001E3BDC" w:rsidRPr="00250DA4" w:rsidRDefault="001E3BDC" w:rsidP="001E3BDC">
      <w:pPr>
        <w:keepNext/>
        <w:keepLines/>
        <w:numPr>
          <w:ilvl w:val="3"/>
          <w:numId w:val="0"/>
        </w:numPr>
        <w:spacing w:before="200" w:after="120"/>
        <w:ind w:left="864" w:hanging="864"/>
        <w:outlineLvl w:val="3"/>
        <w:rPr>
          <w:rFonts w:ascii="Cambria" w:eastAsia="Times New Roman" w:hAnsi="Cambria" w:cs="Times New Roman"/>
          <w:b/>
          <w:bCs/>
          <w:i/>
          <w:iCs/>
          <w:color w:val="4F81BD"/>
        </w:rPr>
      </w:pPr>
      <w:r>
        <w:rPr>
          <w:rFonts w:ascii="Cambria" w:eastAsia="Times New Roman" w:hAnsi="Cambria" w:cs="Times New Roman"/>
          <w:b/>
          <w:bCs/>
          <w:i/>
          <w:iCs/>
          <w:color w:val="4F81BD"/>
        </w:rPr>
        <w:t>Health Purchaser</w:t>
      </w:r>
    </w:p>
    <w:p w14:paraId="62DBC4B0" w14:textId="7DE0B9CD" w:rsidR="00226D90" w:rsidRPr="006359A4" w:rsidRDefault="00226D90" w:rsidP="00226D90">
      <w:pPr>
        <w:rPr>
          <w:rFonts w:eastAsia="Calibri" w:cs="Times New Roman"/>
        </w:rPr>
      </w:pPr>
      <w:r w:rsidRPr="006359A4">
        <w:rPr>
          <w:rFonts w:eastAsia="Calibri" w:cs="Times New Roman"/>
        </w:rPr>
        <w:t>SNHI will report to the Ministry of Health &amp; Social Welfare</w:t>
      </w:r>
      <w:r>
        <w:rPr>
          <w:rFonts w:eastAsia="Calibri" w:cs="Times New Roman"/>
        </w:rPr>
        <w:t xml:space="preserve"> (Figure 5)</w:t>
      </w:r>
      <w:r w:rsidRPr="006359A4">
        <w:rPr>
          <w:rFonts w:eastAsia="Calibri" w:cs="Times New Roman"/>
        </w:rPr>
        <w:t xml:space="preserve">. Clear functional specifications and roles will be assigned to all relevant entities, and mechanisms for transparent reporting and coordination established.  Unified command is necessary to defragment the SHI governance landscape which is currently split among a number of Ministries (MOHSW, PMORALG, MOF, Ministry of Labor etc.). </w:t>
      </w:r>
    </w:p>
    <w:p w14:paraId="7C1A48FD" w14:textId="2B8B93CE" w:rsidR="00EA09E5" w:rsidRDefault="00EA7261" w:rsidP="00EA7261">
      <w:pPr>
        <w:rPr>
          <w:rFonts w:eastAsia="Calibri" w:cs="Times New Roman"/>
        </w:rPr>
      </w:pPr>
      <w:r w:rsidRPr="00EA7261">
        <w:rPr>
          <w:rFonts w:eastAsia="Calibri" w:cs="Times New Roman"/>
        </w:rPr>
        <w:t>A clear purchaser-provider split will be introduced within the sector. The SNHI</w:t>
      </w:r>
      <w:r w:rsidRPr="006359A4">
        <w:rPr>
          <w:rFonts w:eastAsia="Calibri" w:cs="Times New Roman"/>
        </w:rPr>
        <w:t xml:space="preserve"> </w:t>
      </w:r>
      <w:r>
        <w:rPr>
          <w:rFonts w:eastAsia="Calibri" w:cs="Times New Roman"/>
        </w:rPr>
        <w:t xml:space="preserve">institution/purchaser </w:t>
      </w:r>
      <w:r w:rsidRPr="006359A4">
        <w:rPr>
          <w:rFonts w:eastAsia="Calibri" w:cs="Times New Roman"/>
        </w:rPr>
        <w:t xml:space="preserve">will become the primary purchaser of health services </w:t>
      </w:r>
      <w:r>
        <w:rPr>
          <w:rFonts w:eastAsia="Calibri" w:cs="Times New Roman"/>
        </w:rPr>
        <w:t>for the MBP, while the LGAs and their dispensaries, health centers and district hospitals together with</w:t>
      </w:r>
      <w:r w:rsidRPr="006359A4">
        <w:rPr>
          <w:rFonts w:eastAsia="Calibri" w:cs="Times New Roman"/>
        </w:rPr>
        <w:t xml:space="preserve"> re</w:t>
      </w:r>
      <w:r w:rsidR="00352EF0">
        <w:rPr>
          <w:rFonts w:eastAsia="Calibri" w:cs="Times New Roman"/>
        </w:rPr>
        <w:t>gional/re</w:t>
      </w:r>
      <w:r w:rsidRPr="006359A4">
        <w:rPr>
          <w:rFonts w:eastAsia="Calibri" w:cs="Times New Roman"/>
        </w:rPr>
        <w:t>ferral/national hospitals</w:t>
      </w:r>
      <w:r w:rsidR="008A3F38">
        <w:rPr>
          <w:rFonts w:eastAsia="Calibri" w:cs="Times New Roman"/>
        </w:rPr>
        <w:t>,</w:t>
      </w:r>
      <w:r w:rsidR="008A3F38" w:rsidRPr="008A3F38">
        <w:rPr>
          <w:rFonts w:eastAsia="Calibri" w:cs="Times New Roman"/>
        </w:rPr>
        <w:t xml:space="preserve"> </w:t>
      </w:r>
      <w:r w:rsidR="008A3F38" w:rsidRPr="00022114">
        <w:rPr>
          <w:rFonts w:eastAsia="Calibri" w:cs="Times New Roman"/>
        </w:rPr>
        <w:t>accredited for- and not-for-profit private facilities</w:t>
      </w:r>
      <w:r w:rsidR="00352EF0">
        <w:rPr>
          <w:rFonts w:eastAsia="Calibri" w:cs="Times New Roman"/>
        </w:rPr>
        <w:t xml:space="preserve"> </w:t>
      </w:r>
      <w:r w:rsidRPr="006359A4">
        <w:rPr>
          <w:rFonts w:eastAsia="Calibri" w:cs="Times New Roman"/>
        </w:rPr>
        <w:t>will be the providers.</w:t>
      </w:r>
      <w:r w:rsidR="002E0DBF">
        <w:rPr>
          <w:rFonts w:eastAsia="Calibri" w:cs="Times New Roman"/>
        </w:rPr>
        <w:t xml:space="preserve">  Health service delivery will be also enhanced through public-private partnerships.</w:t>
      </w:r>
    </w:p>
    <w:p w14:paraId="1A89DA8C" w14:textId="77777777" w:rsidR="00EA09E5" w:rsidRDefault="00EA09E5" w:rsidP="00EA7261">
      <w:pPr>
        <w:rPr>
          <w:rFonts w:eastAsia="Calibri" w:cs="Times New Roman"/>
        </w:rPr>
      </w:pPr>
    </w:p>
    <w:p w14:paraId="71A0376F" w14:textId="4D925573" w:rsidR="00EA09E5" w:rsidRDefault="00466F72" w:rsidP="00EA09E5">
      <w:pPr>
        <w:rPr>
          <w:rFonts w:eastAsia="Calibri" w:cs="Times New Roman"/>
        </w:rPr>
      </w:pPr>
      <w:r w:rsidRPr="00466F72">
        <w:t xml:space="preserve">SNHI </w:t>
      </w:r>
      <w:r>
        <w:t xml:space="preserve">purchaser establishment </w:t>
      </w:r>
      <w:r w:rsidRPr="00466F72">
        <w:t xml:space="preserve">will be very important for reforming the Tanzanian </w:t>
      </w:r>
      <w:r>
        <w:t>h</w:t>
      </w:r>
      <w:r w:rsidRPr="00466F72">
        <w:t xml:space="preserve">ealth </w:t>
      </w:r>
      <w:r>
        <w:t>f</w:t>
      </w:r>
      <w:r w:rsidRPr="00466F72">
        <w:t xml:space="preserve">inancing </w:t>
      </w:r>
      <w:r>
        <w:t>s</w:t>
      </w:r>
      <w:r w:rsidRPr="00466F72">
        <w:t>ystem.  It will be the main institution in the country pooling financi</w:t>
      </w:r>
      <w:r>
        <w:t>al</w:t>
      </w:r>
      <w:r w:rsidRPr="00466F72">
        <w:t xml:space="preserve"> resources and purchas</w:t>
      </w:r>
      <w:r>
        <w:t>ing</w:t>
      </w:r>
      <w:r w:rsidRPr="00466F72">
        <w:t xml:space="preserve"> health care services </w:t>
      </w:r>
      <w:r>
        <w:t xml:space="preserve">through MBP </w:t>
      </w:r>
      <w:r w:rsidRPr="00466F72">
        <w:t>for the entire population.</w:t>
      </w:r>
      <w:r>
        <w:t xml:space="preserve">  </w:t>
      </w:r>
      <w:r w:rsidR="00EA09E5">
        <w:rPr>
          <w:rFonts w:eastAsia="Calibri" w:cs="Times New Roman"/>
        </w:rPr>
        <w:t xml:space="preserve">SNHI Act will determine whether SNHI purchaser will be a new institution or a substantial evolution of an existing institution (e.g. NHIF).  In either case, SNHI purchaser will be built on the foundation of existing systems and human resource capacity.  </w:t>
      </w:r>
      <w:r w:rsidR="009574DE">
        <w:rPr>
          <w:rFonts w:eastAsia="Calibri" w:cs="Times New Roman"/>
        </w:rPr>
        <w:t xml:space="preserve">A SNHI Supervisory Board will be established including consumer representatives with its exact representation and roles to be determined in the SNHI Act.  </w:t>
      </w:r>
    </w:p>
    <w:p w14:paraId="5320D3A6" w14:textId="5F2EBFB4" w:rsidR="009574DE" w:rsidRDefault="009574DE" w:rsidP="002E0DBF">
      <w:pPr>
        <w:rPr>
          <w:rFonts w:eastAsia="Calibri" w:cs="Times New Roman"/>
        </w:rPr>
      </w:pPr>
    </w:p>
    <w:p w14:paraId="108EB5BE" w14:textId="4DDEE315" w:rsidR="002E0DBF" w:rsidRDefault="00466F72" w:rsidP="002E0DBF">
      <w:pPr>
        <w:rPr>
          <w:rFonts w:eastAsia="Calibri" w:cs="Times New Roman"/>
        </w:rPr>
      </w:pPr>
      <w:r>
        <w:rPr>
          <w:rFonts w:eastAsia="Calibri" w:cs="Times New Roman"/>
        </w:rPr>
        <w:t>Following approval of SNHI Act, the institutional structure of SNHI purchaser will be established including national organizational structure, regional and district offices as necessary, infrastructure and staff</w:t>
      </w:r>
      <w:r w:rsidR="0041061B">
        <w:rPr>
          <w:rFonts w:eastAsia="Calibri" w:cs="Times New Roman"/>
        </w:rPr>
        <w:t>ing</w:t>
      </w:r>
      <w:r>
        <w:rPr>
          <w:rFonts w:eastAsia="Calibri" w:cs="Times New Roman"/>
        </w:rPr>
        <w:t xml:space="preserve">.  Ongoing SNHI purchaser systems and human resources capacity development and ensuring performance and accountability will be a </w:t>
      </w:r>
      <w:r w:rsidRPr="002E0DBF">
        <w:rPr>
          <w:rFonts w:eastAsia="Calibri" w:cs="Times New Roman"/>
        </w:rPr>
        <w:t>priority throughout HFS implementation.</w:t>
      </w:r>
      <w:r w:rsidR="002E0DBF" w:rsidRPr="002E0DBF">
        <w:rPr>
          <w:rFonts w:eastAsia="Calibri" w:cs="Times New Roman"/>
        </w:rPr>
        <w:t xml:space="preserve"> </w:t>
      </w:r>
      <w:r w:rsidR="002E0DBF" w:rsidRPr="002E0DBF">
        <w:rPr>
          <w:rFonts w:cs="Arial"/>
          <w:szCs w:val="24"/>
        </w:rPr>
        <w:t>SNHI implementation experience and monitoring and evaluation results will be fed back into policy dialogue and continuous revision of legal and regulatory framework as necessary.</w:t>
      </w:r>
      <w:r w:rsidR="002E0DBF">
        <w:rPr>
          <w:rFonts w:cs="Arial"/>
          <w:szCs w:val="24"/>
        </w:rPr>
        <w:t xml:space="preserve">  </w:t>
      </w:r>
      <w:r w:rsidR="002E0DBF" w:rsidRPr="0063392A">
        <w:rPr>
          <w:rFonts w:cs="Arial"/>
          <w:szCs w:val="24"/>
        </w:rPr>
        <w:t xml:space="preserve">  </w:t>
      </w:r>
    </w:p>
    <w:p w14:paraId="077AA493" w14:textId="7B2452EA" w:rsidR="00EA09E5" w:rsidRDefault="00466F72" w:rsidP="00EA7261">
      <w:pPr>
        <w:rPr>
          <w:rFonts w:eastAsia="Calibri" w:cs="Times New Roman"/>
        </w:rPr>
      </w:pPr>
      <w:r>
        <w:rPr>
          <w:rFonts w:eastAsia="Calibri" w:cs="Times New Roman"/>
        </w:rPr>
        <w:t xml:space="preserve">   </w:t>
      </w:r>
    </w:p>
    <w:p w14:paraId="4E30F0B9" w14:textId="4863FB16" w:rsidR="00EA09E5" w:rsidRDefault="00EA09E5" w:rsidP="00EA09E5">
      <w:pPr>
        <w:contextualSpacing/>
        <w:rPr>
          <w:rFonts w:eastAsia="Calibri" w:cs="Times New Roman"/>
        </w:rPr>
      </w:pPr>
      <w:r>
        <w:t>P</w:t>
      </w:r>
      <w:r w:rsidRPr="00B84941">
        <w:t>rivate health insurance</w:t>
      </w:r>
      <w:r>
        <w:t xml:space="preserve"> firms</w:t>
      </w:r>
      <w:r w:rsidRPr="00B84941">
        <w:t xml:space="preserve"> will operate in supplementary </w:t>
      </w:r>
      <w:r w:rsidR="007830F4">
        <w:t>manner</w:t>
      </w:r>
      <w:r w:rsidRPr="00B84941">
        <w:t xml:space="preserve"> to the SNHI</w:t>
      </w:r>
      <w:r w:rsidR="002E0DBF">
        <w:t xml:space="preserve"> by covering benefits outside MBP</w:t>
      </w:r>
      <w:r w:rsidR="007830F4">
        <w:t xml:space="preserve">.  As the private health insurance industry develops, it is </w:t>
      </w:r>
      <w:r w:rsidR="007830F4">
        <w:lastRenderedPageBreak/>
        <w:t xml:space="preserve">envisioned </w:t>
      </w:r>
      <w:r w:rsidR="00262534">
        <w:t xml:space="preserve">to establish by regulation that </w:t>
      </w:r>
      <w:r w:rsidR="007830F4">
        <w:t>they</w:t>
      </w:r>
      <w:r w:rsidRPr="00B84941">
        <w:t xml:space="preserve"> will cover</w:t>
      </w:r>
      <w:r>
        <w:t xml:space="preserve"> services outside the </w:t>
      </w:r>
      <w:r w:rsidR="00262534">
        <w:t xml:space="preserve">standard </w:t>
      </w:r>
      <w:r>
        <w:t>MBP that will be provided by the SNHI.</w:t>
      </w:r>
      <w:r w:rsidRPr="00B84941">
        <w:t xml:space="preserve"> </w:t>
      </w:r>
    </w:p>
    <w:p w14:paraId="0708418B" w14:textId="77777777" w:rsidR="00EA09E5" w:rsidRDefault="00EA09E5" w:rsidP="00EA7261">
      <w:pPr>
        <w:rPr>
          <w:rFonts w:eastAsia="Calibri" w:cs="Times New Roman"/>
        </w:rPr>
      </w:pPr>
    </w:p>
    <w:p w14:paraId="429943EB" w14:textId="1E02458A" w:rsidR="00EA09E5" w:rsidRPr="00DB37B6" w:rsidRDefault="00E60BAD" w:rsidP="00EA09E5">
      <w:pPr>
        <w:contextualSpacing/>
        <w:rPr>
          <w:rFonts w:cs="Arial"/>
          <w:szCs w:val="24"/>
        </w:rPr>
      </w:pPr>
      <w:r w:rsidRPr="00E60BAD">
        <w:rPr>
          <w:rFonts w:cs="Arial"/>
          <w:szCs w:val="24"/>
        </w:rPr>
        <w:t xml:space="preserve">Parallel to this strategy an </w:t>
      </w:r>
      <w:r w:rsidR="00EA09E5" w:rsidRPr="00E60BAD">
        <w:rPr>
          <w:rFonts w:cs="Arial"/>
          <w:szCs w:val="24"/>
        </w:rPr>
        <w:t>independent</w:t>
      </w:r>
      <w:r w:rsidR="00437664" w:rsidRPr="00E60BAD">
        <w:rPr>
          <w:rFonts w:cs="Arial"/>
          <w:szCs w:val="24"/>
        </w:rPr>
        <w:t xml:space="preserve"> </w:t>
      </w:r>
      <w:r w:rsidR="008502C6" w:rsidRPr="000B10A3">
        <w:rPr>
          <w:rFonts w:cs="Arial"/>
          <w:szCs w:val="24"/>
        </w:rPr>
        <w:t>H</w:t>
      </w:r>
      <w:r w:rsidR="00437664" w:rsidRPr="000B10A3">
        <w:rPr>
          <w:rFonts w:cs="Arial"/>
          <w:szCs w:val="24"/>
        </w:rPr>
        <w:t xml:space="preserve">ealth </w:t>
      </w:r>
      <w:r w:rsidR="008502C6" w:rsidRPr="000B10A3">
        <w:rPr>
          <w:rFonts w:cs="Arial"/>
          <w:szCs w:val="24"/>
        </w:rPr>
        <w:t>I</w:t>
      </w:r>
      <w:r w:rsidR="00437664" w:rsidRPr="000B10A3">
        <w:rPr>
          <w:rFonts w:cs="Arial"/>
          <w:szCs w:val="24"/>
        </w:rPr>
        <w:t>nsurance</w:t>
      </w:r>
      <w:r w:rsidR="00EA09E5" w:rsidRPr="000B10A3">
        <w:rPr>
          <w:rFonts w:cs="Arial"/>
          <w:szCs w:val="24"/>
        </w:rPr>
        <w:t xml:space="preserve"> regulatory body will be established to</w:t>
      </w:r>
      <w:r w:rsidR="008502C6" w:rsidRPr="000B10A3">
        <w:rPr>
          <w:rFonts w:cs="Arial"/>
          <w:szCs w:val="24"/>
        </w:rPr>
        <w:t xml:space="preserve"> regulate all health insurance and</w:t>
      </w:r>
      <w:r w:rsidR="00EA09E5" w:rsidRPr="000B10A3">
        <w:rPr>
          <w:rFonts w:cs="Arial"/>
          <w:szCs w:val="24"/>
        </w:rPr>
        <w:t xml:space="preserve"> ensure compliance of the SNHI</w:t>
      </w:r>
      <w:r w:rsidR="00EA09E5" w:rsidRPr="00E60BAD">
        <w:rPr>
          <w:rFonts w:cs="Arial"/>
          <w:szCs w:val="24"/>
        </w:rPr>
        <w:t xml:space="preserve"> and its single payer with the regulatory environment and thus operate efficiently and with client orientation.  As with SNHI purchaser, the regulator</w:t>
      </w:r>
      <w:r w:rsidR="007830F4" w:rsidRPr="00E60BAD">
        <w:rPr>
          <w:rFonts w:cs="Arial"/>
          <w:szCs w:val="24"/>
        </w:rPr>
        <w:t>y body</w:t>
      </w:r>
      <w:r w:rsidR="00EA09E5" w:rsidRPr="00E60BAD">
        <w:rPr>
          <w:rFonts w:cs="Arial"/>
          <w:szCs w:val="24"/>
        </w:rPr>
        <w:t xml:space="preserve"> may be </w:t>
      </w:r>
      <w:r w:rsidR="00EA09E5" w:rsidRPr="00E60BAD">
        <w:rPr>
          <w:rFonts w:eastAsia="Calibri" w:cs="Times New Roman"/>
        </w:rPr>
        <w:t>a new institution or a substantial evolution of an existing institution</w:t>
      </w:r>
      <w:r w:rsidR="007830F4" w:rsidRPr="00E60BAD">
        <w:rPr>
          <w:rFonts w:eastAsia="Calibri" w:cs="Times New Roman"/>
        </w:rPr>
        <w:t xml:space="preserve">.  </w:t>
      </w:r>
      <w:r w:rsidR="008502C6" w:rsidRPr="000B10A3">
        <w:rPr>
          <w:rFonts w:eastAsia="Calibri" w:cs="Times New Roman"/>
        </w:rPr>
        <w:t>The exact regulatory responsibilities and process of the Health Insurance Regulatory Body will be established in the Health Insurance Regulatory Act.</w:t>
      </w:r>
      <w:r w:rsidR="008502C6">
        <w:rPr>
          <w:rFonts w:eastAsia="Calibri" w:cs="Times New Roman"/>
        </w:rPr>
        <w:t xml:space="preserve"> </w:t>
      </w:r>
    </w:p>
    <w:p w14:paraId="5B20F6A3" w14:textId="48E429F1" w:rsidR="002122EA" w:rsidRPr="00250DA4" w:rsidRDefault="002122EA" w:rsidP="002122EA">
      <w:pPr>
        <w:keepNext/>
        <w:keepLines/>
        <w:numPr>
          <w:ilvl w:val="3"/>
          <w:numId w:val="0"/>
        </w:numPr>
        <w:spacing w:before="200" w:after="120"/>
        <w:ind w:left="864" w:hanging="864"/>
        <w:outlineLvl w:val="3"/>
        <w:rPr>
          <w:rFonts w:ascii="Cambria" w:eastAsia="Times New Roman" w:hAnsi="Cambria" w:cs="Times New Roman"/>
          <w:b/>
          <w:bCs/>
          <w:i/>
          <w:iCs/>
          <w:color w:val="4F81BD"/>
        </w:rPr>
      </w:pPr>
      <w:r>
        <w:rPr>
          <w:rFonts w:ascii="Cambria" w:eastAsia="Times New Roman" w:hAnsi="Cambria" w:cs="Times New Roman"/>
          <w:b/>
          <w:bCs/>
          <w:i/>
          <w:iCs/>
          <w:color w:val="4F81BD"/>
        </w:rPr>
        <w:t>Health Provider</w:t>
      </w:r>
    </w:p>
    <w:p w14:paraId="56759986" w14:textId="4DBBF1F4" w:rsidR="00EA7261" w:rsidRPr="00DB37B6" w:rsidRDefault="00673773" w:rsidP="00EA7261">
      <w:pPr>
        <w:rPr>
          <w:rFonts w:eastAsia="Calibri" w:cs="Times New Roman"/>
        </w:rPr>
      </w:pPr>
      <w:r>
        <w:rPr>
          <w:rFonts w:eastAsia="Calibri" w:cs="Times New Roman"/>
        </w:rPr>
        <w:t>Consistent with the</w:t>
      </w:r>
      <w:r w:rsidR="00DD12DD">
        <w:rPr>
          <w:rFonts w:eastAsia="Calibri" w:cs="Times New Roman"/>
        </w:rPr>
        <w:t xml:space="preserve"> purchaser-provider split, LGAs will focus on service provision</w:t>
      </w:r>
      <w:r>
        <w:rPr>
          <w:rFonts w:eastAsia="Calibri" w:cs="Times New Roman"/>
        </w:rPr>
        <w:t xml:space="preserve"> and management</w:t>
      </w:r>
      <w:r w:rsidR="00DD12DD">
        <w:rPr>
          <w:rFonts w:eastAsia="Calibri" w:cs="Times New Roman"/>
        </w:rPr>
        <w:t xml:space="preserve">.  </w:t>
      </w:r>
      <w:r w:rsidR="00EA7261" w:rsidRPr="006359A4">
        <w:rPr>
          <w:rFonts w:eastAsia="Calibri" w:cs="Times New Roman"/>
        </w:rPr>
        <w:t xml:space="preserve"> The LGAs will focus their engagement on </w:t>
      </w:r>
      <w:r>
        <w:rPr>
          <w:rFonts w:eastAsia="Calibri" w:cs="Times New Roman"/>
        </w:rPr>
        <w:t xml:space="preserve">investment in and </w:t>
      </w:r>
      <w:r w:rsidR="00887069">
        <w:rPr>
          <w:rFonts w:eastAsia="Calibri" w:cs="Times New Roman"/>
        </w:rPr>
        <w:t xml:space="preserve">supervision of health providers as the owners of public district and primary facilities, population-based and </w:t>
      </w:r>
      <w:r w:rsidR="00EA7261" w:rsidRPr="006359A4">
        <w:rPr>
          <w:rFonts w:eastAsia="Calibri" w:cs="Times New Roman"/>
        </w:rPr>
        <w:t>community-oriented public health, supervision and monitoring of health policy implementation, and advocacy on behalf of citizens</w:t>
      </w:r>
      <w:r w:rsidR="00887069">
        <w:rPr>
          <w:rFonts w:eastAsia="Calibri" w:cs="Times New Roman"/>
        </w:rPr>
        <w:t>.</w:t>
      </w:r>
    </w:p>
    <w:p w14:paraId="39690EAB" w14:textId="77777777" w:rsidR="001E4384" w:rsidRDefault="001E4384" w:rsidP="00F74CCE">
      <w:pPr>
        <w:contextualSpacing/>
        <w:rPr>
          <w:rFonts w:cs="Arial"/>
          <w:szCs w:val="24"/>
        </w:rPr>
      </w:pPr>
    </w:p>
    <w:p w14:paraId="3BCF25A0" w14:textId="6882EFEB" w:rsidR="00250DA4" w:rsidRPr="00250DA4" w:rsidRDefault="00250DA4" w:rsidP="00250DA4">
      <w:pPr>
        <w:rPr>
          <w:rFonts w:eastAsia="Calibri" w:cs="Times New Roman"/>
        </w:rPr>
      </w:pPr>
      <w:r>
        <w:rPr>
          <w:rFonts w:eastAsia="Calibri" w:cs="Times New Roman"/>
        </w:rPr>
        <w:t>Pr</w:t>
      </w:r>
      <w:r w:rsidRPr="00250DA4">
        <w:rPr>
          <w:rFonts w:eastAsia="Calibri" w:cs="Times New Roman"/>
        </w:rPr>
        <w:t>oviders of health care in the Tanzanian environment will be given increased autonomy in the public system to allow them to allocate their resources more effectively</w:t>
      </w:r>
      <w:r w:rsidR="00DD6B8E">
        <w:rPr>
          <w:rFonts w:eastAsia="Calibri" w:cs="Times New Roman"/>
        </w:rPr>
        <w:t xml:space="preserve"> and efficiently</w:t>
      </w:r>
      <w:r w:rsidRPr="00250DA4">
        <w:rPr>
          <w:rFonts w:eastAsia="Calibri" w:cs="Times New Roman"/>
        </w:rPr>
        <w:t xml:space="preserve"> </w:t>
      </w:r>
      <w:r w:rsidR="00370757">
        <w:rPr>
          <w:rFonts w:eastAsia="Calibri" w:cs="Times New Roman"/>
        </w:rPr>
        <w:t xml:space="preserve">to </w:t>
      </w:r>
      <w:r w:rsidRPr="00250DA4">
        <w:rPr>
          <w:rFonts w:eastAsia="Calibri" w:cs="Times New Roman"/>
        </w:rPr>
        <w:t xml:space="preserve">purchase goods and services </w:t>
      </w:r>
      <w:r w:rsidR="00887069">
        <w:rPr>
          <w:rFonts w:eastAsia="Calibri" w:cs="Times New Roman"/>
        </w:rPr>
        <w:t xml:space="preserve">for the MBP </w:t>
      </w:r>
      <w:r w:rsidRPr="00250DA4">
        <w:rPr>
          <w:rFonts w:eastAsia="Calibri" w:cs="Times New Roman"/>
        </w:rPr>
        <w:t xml:space="preserve">including drugs.  This will facilitate </w:t>
      </w:r>
      <w:r w:rsidR="00887069">
        <w:rPr>
          <w:rFonts w:eastAsia="Calibri" w:cs="Times New Roman"/>
        </w:rPr>
        <w:t xml:space="preserve">leveling the playing field and </w:t>
      </w:r>
      <w:r w:rsidRPr="00250DA4">
        <w:rPr>
          <w:rFonts w:eastAsia="Calibri" w:cs="Times New Roman"/>
        </w:rPr>
        <w:t xml:space="preserve">competition between public and private providers and thus enhance their quality of care. The creation of primary care networks is envisaged below council level, linking any community or outreach services </w:t>
      </w:r>
      <w:r w:rsidR="000D4B67">
        <w:rPr>
          <w:rFonts w:eastAsia="Calibri" w:cs="Times New Roman"/>
        </w:rPr>
        <w:t>and</w:t>
      </w:r>
      <w:r w:rsidR="000D4B67" w:rsidRPr="00250DA4">
        <w:rPr>
          <w:rFonts w:eastAsia="Calibri" w:cs="Times New Roman"/>
        </w:rPr>
        <w:t xml:space="preserve"> </w:t>
      </w:r>
      <w:r w:rsidRPr="00250DA4">
        <w:rPr>
          <w:rFonts w:eastAsia="Calibri" w:cs="Times New Roman"/>
        </w:rPr>
        <w:t xml:space="preserve">dispensaries under a specific health </w:t>
      </w:r>
      <w:r w:rsidR="00370757" w:rsidRPr="00250DA4">
        <w:rPr>
          <w:rFonts w:eastAsia="Calibri" w:cs="Times New Roman"/>
        </w:rPr>
        <w:t>center</w:t>
      </w:r>
      <w:r w:rsidRPr="00250DA4">
        <w:rPr>
          <w:rFonts w:eastAsia="Calibri" w:cs="Times New Roman"/>
        </w:rPr>
        <w:t xml:space="preserve"> for improved financial management and services delivery (</w:t>
      </w:r>
      <w:proofErr w:type="spellStart"/>
      <w:r w:rsidRPr="00250DA4">
        <w:rPr>
          <w:rFonts w:eastAsia="Calibri" w:cs="Times New Roman"/>
        </w:rPr>
        <w:t>Fuenzalida</w:t>
      </w:r>
      <w:proofErr w:type="spellEnd"/>
      <w:r w:rsidRPr="00250DA4">
        <w:rPr>
          <w:rFonts w:eastAsia="Calibri" w:cs="Times New Roman"/>
        </w:rPr>
        <w:t xml:space="preserve"> and </w:t>
      </w:r>
      <w:proofErr w:type="spellStart"/>
      <w:r w:rsidRPr="00250DA4">
        <w:rPr>
          <w:rFonts w:eastAsia="Calibri" w:cs="Times New Roman"/>
        </w:rPr>
        <w:t>Kuper</w:t>
      </w:r>
      <w:proofErr w:type="spellEnd"/>
      <w:r w:rsidRPr="00250DA4">
        <w:rPr>
          <w:rFonts w:eastAsia="Calibri" w:cs="Times New Roman"/>
        </w:rPr>
        <w:t xml:space="preserve"> 2013)</w:t>
      </w:r>
      <w:r w:rsidR="000D4B67">
        <w:rPr>
          <w:rFonts w:eastAsia="Calibri" w:cs="Times New Roman"/>
        </w:rPr>
        <w:t>.</w:t>
      </w:r>
      <w:r w:rsidRPr="00250DA4">
        <w:rPr>
          <w:rFonts w:eastAsia="Calibri" w:cs="Times New Roman"/>
        </w:rPr>
        <w:t xml:space="preserve">   </w:t>
      </w:r>
    </w:p>
    <w:p w14:paraId="70A47E0E" w14:textId="5CAC2B45" w:rsidR="00DB37B6" w:rsidRPr="00250DA4" w:rsidRDefault="00ED0805" w:rsidP="00250DA4">
      <w:pPr>
        <w:keepNext/>
        <w:keepLines/>
        <w:numPr>
          <w:ilvl w:val="3"/>
          <w:numId w:val="0"/>
        </w:numPr>
        <w:spacing w:before="200" w:after="120"/>
        <w:ind w:left="864" w:hanging="864"/>
        <w:outlineLvl w:val="3"/>
        <w:rPr>
          <w:rFonts w:ascii="Cambria" w:eastAsia="Times New Roman" w:hAnsi="Cambria" w:cs="Times New Roman"/>
          <w:b/>
          <w:bCs/>
          <w:i/>
          <w:iCs/>
          <w:color w:val="4F81BD"/>
        </w:rPr>
      </w:pPr>
      <w:r>
        <w:rPr>
          <w:rFonts w:ascii="Cambria" w:eastAsia="Times New Roman" w:hAnsi="Cambria" w:cs="Times New Roman"/>
          <w:b/>
          <w:bCs/>
          <w:i/>
          <w:iCs/>
          <w:color w:val="4F81BD"/>
        </w:rPr>
        <w:t xml:space="preserve"> Stakeholder Engagement</w:t>
      </w:r>
    </w:p>
    <w:p w14:paraId="6EFBB781" w14:textId="023AE6D6" w:rsidR="00ED0805" w:rsidRPr="00ED0805" w:rsidRDefault="00ED0805" w:rsidP="00ED0805">
      <w:pPr>
        <w:rPr>
          <w:rFonts w:cs="Arial"/>
          <w:szCs w:val="24"/>
        </w:rPr>
      </w:pPr>
      <w:r w:rsidRPr="00ED0805">
        <w:rPr>
          <w:rFonts w:cs="Arial"/>
          <w:szCs w:val="24"/>
        </w:rPr>
        <w:t>The essence of social solidarity is comprehensive and positive participation of all s</w:t>
      </w:r>
      <w:r w:rsidR="006359A4">
        <w:rPr>
          <w:rFonts w:cs="Arial"/>
          <w:szCs w:val="24"/>
        </w:rPr>
        <w:t xml:space="preserve">takeholders necessary. </w:t>
      </w:r>
      <w:r w:rsidR="007426A5">
        <w:rPr>
          <w:rFonts w:cs="Arial"/>
          <w:szCs w:val="24"/>
        </w:rPr>
        <w:t xml:space="preserve"> </w:t>
      </w:r>
      <w:r w:rsidRPr="00ED0805">
        <w:rPr>
          <w:rFonts w:cs="Arial"/>
          <w:szCs w:val="24"/>
        </w:rPr>
        <w:t>It is important that this participation is driven from the user</w:t>
      </w:r>
      <w:r w:rsidR="006359A4">
        <w:rPr>
          <w:rFonts w:cs="Arial"/>
          <w:szCs w:val="24"/>
        </w:rPr>
        <w:t>s of the system</w:t>
      </w:r>
      <w:r w:rsidRPr="00ED0805">
        <w:rPr>
          <w:rFonts w:cs="Arial"/>
          <w:szCs w:val="24"/>
        </w:rPr>
        <w:t xml:space="preserve">. </w:t>
      </w:r>
      <w:r w:rsidR="007426A5">
        <w:rPr>
          <w:rFonts w:cs="Arial"/>
          <w:szCs w:val="24"/>
        </w:rPr>
        <w:t xml:space="preserve"> </w:t>
      </w:r>
      <w:r w:rsidR="007426A5">
        <w:rPr>
          <w:rFonts w:cs="Arial"/>
        </w:rPr>
        <w:t xml:space="preserve">Involvement of the broader population will be fostered through ensuring opportunities for </w:t>
      </w:r>
      <w:r w:rsidR="007426A5" w:rsidRPr="001F2336">
        <w:rPr>
          <w:rFonts w:cs="Arial"/>
        </w:rPr>
        <w:t>the community to periodically elect multi</w:t>
      </w:r>
      <w:r w:rsidR="007426A5">
        <w:rPr>
          <w:rFonts w:cs="Arial"/>
        </w:rPr>
        <w:t>-</w:t>
      </w:r>
      <w:r w:rsidR="007426A5" w:rsidRPr="001F2336">
        <w:rPr>
          <w:rFonts w:cs="Arial"/>
        </w:rPr>
        <w:t xml:space="preserve">sectoral representatives to the </w:t>
      </w:r>
      <w:r w:rsidR="007426A5">
        <w:rPr>
          <w:rFonts w:cs="Arial"/>
        </w:rPr>
        <w:t xml:space="preserve">health facility </w:t>
      </w:r>
      <w:r w:rsidR="007426A5" w:rsidRPr="001F2336">
        <w:rPr>
          <w:rFonts w:cs="Arial"/>
        </w:rPr>
        <w:t>governing bodies</w:t>
      </w:r>
      <w:r w:rsidR="007426A5">
        <w:rPr>
          <w:rFonts w:cs="Arial"/>
        </w:rPr>
        <w:t>, and through the creation of structures for participation, linked to the formal sector</w:t>
      </w:r>
      <w:r w:rsidR="007426A5" w:rsidRPr="001F2336">
        <w:rPr>
          <w:rFonts w:cs="Arial"/>
        </w:rPr>
        <w:t>.</w:t>
      </w:r>
      <w:r w:rsidR="007426A5">
        <w:rPr>
          <w:rFonts w:cs="Arial"/>
        </w:rPr>
        <w:t xml:space="preserve">  </w:t>
      </w:r>
      <w:r w:rsidRPr="00ED0805">
        <w:rPr>
          <w:rFonts w:cs="Arial"/>
          <w:szCs w:val="24"/>
        </w:rPr>
        <w:t xml:space="preserve">This strategy will ensure that health facility governing bodies are representative and multi-sectoral in nature, covering all age groups. </w:t>
      </w:r>
      <w:r w:rsidR="007426A5">
        <w:rPr>
          <w:rFonts w:cs="Arial"/>
          <w:szCs w:val="24"/>
        </w:rPr>
        <w:t xml:space="preserve"> </w:t>
      </w:r>
      <w:r w:rsidRPr="00ED0805">
        <w:rPr>
          <w:rFonts w:cs="Arial"/>
          <w:szCs w:val="24"/>
        </w:rPr>
        <w:t>These bodies will be involved in the identification</w:t>
      </w:r>
      <w:r w:rsidR="006359A4">
        <w:rPr>
          <w:rFonts w:cs="Arial"/>
          <w:szCs w:val="24"/>
        </w:rPr>
        <w:t xml:space="preserve"> of members</w:t>
      </w:r>
      <w:r w:rsidRPr="00ED0805">
        <w:rPr>
          <w:rFonts w:cs="Arial"/>
          <w:szCs w:val="24"/>
        </w:rPr>
        <w:t xml:space="preserve">, prioritization, planning and evaluation of </w:t>
      </w:r>
      <w:r w:rsidR="007426A5">
        <w:rPr>
          <w:rFonts w:cs="Arial"/>
          <w:szCs w:val="24"/>
        </w:rPr>
        <w:t>SNHI</w:t>
      </w:r>
      <w:r w:rsidRPr="00ED0805">
        <w:rPr>
          <w:rFonts w:cs="Arial"/>
          <w:szCs w:val="24"/>
        </w:rPr>
        <w:t xml:space="preserve"> and </w:t>
      </w:r>
      <w:r w:rsidR="007426A5">
        <w:rPr>
          <w:rFonts w:cs="Arial"/>
          <w:szCs w:val="24"/>
        </w:rPr>
        <w:t xml:space="preserve">health </w:t>
      </w:r>
      <w:r w:rsidRPr="00ED0805">
        <w:rPr>
          <w:rFonts w:cs="Arial"/>
          <w:szCs w:val="24"/>
        </w:rPr>
        <w:t xml:space="preserve">services provided at the facilities, thereby ensuring responsiveness to needs of the user. They will also be involved in health facility management, including recruitment of staff and their evaluation. </w:t>
      </w:r>
    </w:p>
    <w:p w14:paraId="49BBC43A" w14:textId="77777777" w:rsidR="00ED0805" w:rsidRPr="00ED0805" w:rsidRDefault="00ED0805" w:rsidP="00ED0805">
      <w:pPr>
        <w:contextualSpacing/>
        <w:rPr>
          <w:rFonts w:cs="Arial"/>
          <w:szCs w:val="24"/>
        </w:rPr>
      </w:pPr>
      <w:r w:rsidRPr="00ED0805">
        <w:rPr>
          <w:rFonts w:cs="Arial"/>
          <w:szCs w:val="24"/>
        </w:rPr>
        <w:t>.</w:t>
      </w:r>
    </w:p>
    <w:p w14:paraId="30957DC9" w14:textId="76781372" w:rsidR="000C262C" w:rsidRDefault="00ED0805">
      <w:pPr>
        <w:contextualSpacing/>
        <w:rPr>
          <w:rFonts w:cs="Arial"/>
          <w:szCs w:val="24"/>
        </w:rPr>
      </w:pPr>
      <w:r w:rsidRPr="00ED0805">
        <w:rPr>
          <w:rFonts w:cs="Arial"/>
          <w:szCs w:val="24"/>
        </w:rPr>
        <w:lastRenderedPageBreak/>
        <w:t xml:space="preserve">Fora for continuously listening </w:t>
      </w:r>
      <w:r w:rsidR="00A607C9">
        <w:rPr>
          <w:rFonts w:cs="Arial"/>
          <w:szCs w:val="24"/>
        </w:rPr>
        <w:t xml:space="preserve">and responding </w:t>
      </w:r>
      <w:r w:rsidRPr="00ED0805">
        <w:rPr>
          <w:rFonts w:cs="Arial"/>
          <w:szCs w:val="24"/>
        </w:rPr>
        <w:t>to the views of users will be established</w:t>
      </w:r>
      <w:r w:rsidR="00A607C9">
        <w:rPr>
          <w:rFonts w:cs="Arial"/>
          <w:szCs w:val="24"/>
        </w:rPr>
        <w:t xml:space="preserve">.  A variety of mechanisms will be used possibly including </w:t>
      </w:r>
      <w:r w:rsidR="00A607C9" w:rsidRPr="00ED0805">
        <w:rPr>
          <w:rFonts w:cs="Arial"/>
          <w:szCs w:val="24"/>
        </w:rPr>
        <w:t>meetings between providers, purchasers and users</w:t>
      </w:r>
      <w:r w:rsidR="00A607C9">
        <w:rPr>
          <w:rFonts w:cs="Arial"/>
          <w:szCs w:val="24"/>
        </w:rPr>
        <w:t xml:space="preserve">; consumer associations; consumer complaint mechanisms; hotlines; opinion </w:t>
      </w:r>
      <w:proofErr w:type="spellStart"/>
      <w:r w:rsidR="00A607C9">
        <w:rPr>
          <w:rFonts w:cs="Arial"/>
          <w:szCs w:val="24"/>
        </w:rPr>
        <w:t>dropboxes</w:t>
      </w:r>
      <w:proofErr w:type="spellEnd"/>
      <w:r w:rsidR="00A607C9">
        <w:rPr>
          <w:rFonts w:cs="Arial"/>
          <w:szCs w:val="24"/>
        </w:rPr>
        <w:t>; mobile phone mechanisms; and scorecards</w:t>
      </w:r>
      <w:r w:rsidRPr="00ED0805">
        <w:rPr>
          <w:rFonts w:cs="Arial"/>
          <w:szCs w:val="24"/>
        </w:rPr>
        <w:t xml:space="preserve">, </w:t>
      </w:r>
      <w:r w:rsidR="007426A5">
        <w:rPr>
          <w:rFonts w:cs="Arial"/>
          <w:szCs w:val="24"/>
        </w:rPr>
        <w:t xml:space="preserve"> </w:t>
      </w:r>
      <w:r w:rsidRPr="00ED0805">
        <w:rPr>
          <w:rFonts w:cs="Arial"/>
          <w:szCs w:val="24"/>
        </w:rPr>
        <w:t xml:space="preserve">These views will be used to strengthen or change </w:t>
      </w:r>
      <w:r w:rsidR="00A607C9">
        <w:rPr>
          <w:rFonts w:cs="Arial"/>
          <w:szCs w:val="24"/>
        </w:rPr>
        <w:t>MBP and services provided</w:t>
      </w:r>
      <w:r w:rsidRPr="00ED0805">
        <w:rPr>
          <w:rFonts w:cs="Arial"/>
          <w:szCs w:val="24"/>
        </w:rPr>
        <w:t xml:space="preserve"> as needs arise.  </w:t>
      </w:r>
      <w:r w:rsidR="00A607C9">
        <w:rPr>
          <w:rFonts w:cs="Arial"/>
          <w:szCs w:val="24"/>
        </w:rPr>
        <w:t xml:space="preserve">Specific mechanisms will be developed to ensure </w:t>
      </w:r>
      <w:r w:rsidR="00A607C9" w:rsidRPr="00A607C9">
        <w:rPr>
          <w:rFonts w:cs="Arial"/>
          <w:szCs w:val="24"/>
        </w:rPr>
        <w:t>responsiveness to co</w:t>
      </w:r>
      <w:r w:rsidR="00A607C9">
        <w:rPr>
          <w:rFonts w:cs="Arial"/>
          <w:szCs w:val="24"/>
        </w:rPr>
        <w:t>n</w:t>
      </w:r>
      <w:r w:rsidR="00A607C9" w:rsidRPr="00A607C9">
        <w:rPr>
          <w:rFonts w:cs="Arial"/>
          <w:szCs w:val="24"/>
        </w:rPr>
        <w:t>sumer complaints</w:t>
      </w:r>
      <w:r w:rsidR="00A607C9">
        <w:rPr>
          <w:rFonts w:cs="Arial"/>
          <w:szCs w:val="24"/>
        </w:rPr>
        <w:t xml:space="preserve">.  </w:t>
      </w:r>
      <w:r w:rsidRPr="00ED0805">
        <w:rPr>
          <w:rFonts w:cs="Arial"/>
          <w:szCs w:val="24"/>
        </w:rPr>
        <w:t>Finally, accessible information will be provided to enable the user to make decisions to promote their own health and that of the environment in which they live, as well as regularly updated information on the SNHI and how it is managed.</w:t>
      </w:r>
    </w:p>
    <w:p w14:paraId="68A87E38" w14:textId="77777777" w:rsidR="00A607C9" w:rsidRDefault="00A607C9">
      <w:pPr>
        <w:contextualSpacing/>
        <w:rPr>
          <w:rFonts w:cs="Arial"/>
          <w:szCs w:val="24"/>
        </w:rPr>
      </w:pPr>
    </w:p>
    <w:p w14:paraId="19E28B89" w14:textId="18FDA35A" w:rsidR="001F2336" w:rsidRDefault="00A607C9" w:rsidP="00CD2D42">
      <w:pPr>
        <w:rPr>
          <w:rFonts w:cs="Arial"/>
        </w:rPr>
      </w:pPr>
      <w:r w:rsidRPr="00ED0805">
        <w:rPr>
          <w:rFonts w:cs="Arial"/>
          <w:szCs w:val="24"/>
        </w:rPr>
        <w:t>Participation of users in setting contribution levels and means of</w:t>
      </w:r>
      <w:r>
        <w:rPr>
          <w:rFonts w:cs="Arial"/>
          <w:szCs w:val="24"/>
        </w:rPr>
        <w:t xml:space="preserve"> payment will be ensured.  </w:t>
      </w:r>
      <w:r w:rsidR="007426A5">
        <w:rPr>
          <w:rFonts w:cs="Arial"/>
        </w:rPr>
        <w:t xml:space="preserve">Use of existing trusted social groups will be promoted in order to enhance premium collection.  </w:t>
      </w:r>
      <w:r w:rsidR="006511D9">
        <w:rPr>
          <w:rFonts w:cs="Arial"/>
        </w:rPr>
        <w:t>C</w:t>
      </w:r>
      <w:r w:rsidR="001F2336" w:rsidRPr="001F2336">
        <w:rPr>
          <w:rFonts w:cs="Arial"/>
        </w:rPr>
        <w:t xml:space="preserve">ommunity resources </w:t>
      </w:r>
      <w:r w:rsidR="006511D9">
        <w:rPr>
          <w:rFonts w:cs="Arial"/>
        </w:rPr>
        <w:t xml:space="preserve">will </w:t>
      </w:r>
      <w:r w:rsidR="007426A5">
        <w:rPr>
          <w:rFonts w:cs="Arial"/>
        </w:rPr>
        <w:t xml:space="preserve">also </w:t>
      </w:r>
      <w:r w:rsidR="006511D9">
        <w:rPr>
          <w:rFonts w:cs="Arial"/>
        </w:rPr>
        <w:t xml:space="preserve">be mobilized for support with local infrastructure, both to assist with </w:t>
      </w:r>
      <w:r w:rsidR="001F2336" w:rsidRPr="001F2336">
        <w:rPr>
          <w:rFonts w:cs="Arial"/>
        </w:rPr>
        <w:t xml:space="preserve">rehabilitation, </w:t>
      </w:r>
      <w:r w:rsidR="006511D9">
        <w:rPr>
          <w:rFonts w:cs="Arial"/>
        </w:rPr>
        <w:t xml:space="preserve">and to foster </w:t>
      </w:r>
      <w:r w:rsidR="001F2336" w:rsidRPr="001F2336">
        <w:rPr>
          <w:rFonts w:cs="Arial"/>
        </w:rPr>
        <w:t xml:space="preserve">sustainability and </w:t>
      </w:r>
      <w:r w:rsidR="006511D9">
        <w:rPr>
          <w:rFonts w:cs="Arial"/>
        </w:rPr>
        <w:t xml:space="preserve">local </w:t>
      </w:r>
      <w:r w:rsidR="001F2336" w:rsidRPr="001F2336">
        <w:rPr>
          <w:rFonts w:cs="Arial"/>
        </w:rPr>
        <w:t>ownership</w:t>
      </w:r>
      <w:r w:rsidR="006511D9">
        <w:rPr>
          <w:rFonts w:cs="Arial"/>
        </w:rPr>
        <w:t>.</w:t>
      </w:r>
      <w:r w:rsidR="007426A5">
        <w:rPr>
          <w:rFonts w:cs="Arial"/>
        </w:rPr>
        <w:t xml:space="preserve">  </w:t>
      </w:r>
    </w:p>
    <w:p w14:paraId="7DF1B7AA" w14:textId="77777777" w:rsidR="00A607C9" w:rsidRPr="00CD2D42" w:rsidRDefault="00A607C9" w:rsidP="00CD2D42">
      <w:pPr>
        <w:rPr>
          <w:rFonts w:cs="Arial"/>
        </w:rPr>
      </w:pPr>
    </w:p>
    <w:p w14:paraId="571A9D32" w14:textId="03FB62DD" w:rsidR="001F2336" w:rsidRDefault="001F2336" w:rsidP="00BC0213">
      <w:pPr>
        <w:rPr>
          <w:rFonts w:cs="Arial"/>
        </w:rPr>
      </w:pPr>
      <w:r w:rsidRPr="001F2336">
        <w:rPr>
          <w:rFonts w:cs="Arial"/>
        </w:rPr>
        <w:t xml:space="preserve">Political will is necessary at all levels for the </w:t>
      </w:r>
      <w:r w:rsidR="00E342DF">
        <w:rPr>
          <w:rFonts w:cs="Arial"/>
        </w:rPr>
        <w:t>SNHI</w:t>
      </w:r>
      <w:r w:rsidR="00BC0213">
        <w:rPr>
          <w:rFonts w:cs="Arial"/>
        </w:rPr>
        <w:t xml:space="preserve"> </w:t>
      </w:r>
      <w:r w:rsidRPr="001F2336">
        <w:rPr>
          <w:rFonts w:cs="Arial"/>
        </w:rPr>
        <w:t xml:space="preserve">to be acceptable and for </w:t>
      </w:r>
      <w:r w:rsidR="00C11645">
        <w:rPr>
          <w:rFonts w:cs="Arial"/>
        </w:rPr>
        <w:t>i</w:t>
      </w:r>
      <w:r w:rsidRPr="001F2336">
        <w:rPr>
          <w:rFonts w:cs="Arial"/>
        </w:rPr>
        <w:t xml:space="preserve">t to thrive. </w:t>
      </w:r>
      <w:r w:rsidR="007426A5">
        <w:rPr>
          <w:rFonts w:cs="Arial"/>
        </w:rPr>
        <w:t xml:space="preserve"> </w:t>
      </w:r>
      <w:r w:rsidRPr="001F2336">
        <w:rPr>
          <w:rFonts w:cs="Arial"/>
        </w:rPr>
        <w:t xml:space="preserve">In this context the political constituency </w:t>
      </w:r>
      <w:r w:rsidR="00112E3E" w:rsidRPr="00250DA4">
        <w:rPr>
          <w:rFonts w:cs="Arial"/>
        </w:rPr>
        <w:t>will</w:t>
      </w:r>
      <w:r w:rsidR="00112E3E">
        <w:rPr>
          <w:rFonts w:cs="Arial"/>
        </w:rPr>
        <w:t xml:space="preserve"> </w:t>
      </w:r>
      <w:r w:rsidRPr="001F2336">
        <w:rPr>
          <w:rFonts w:cs="Arial"/>
        </w:rPr>
        <w:t xml:space="preserve">be fully </w:t>
      </w:r>
      <w:r w:rsidR="007426A5">
        <w:rPr>
          <w:rFonts w:cs="Arial"/>
        </w:rPr>
        <w:t>involved</w:t>
      </w:r>
      <w:r w:rsidRPr="001F2336">
        <w:rPr>
          <w:rFonts w:cs="Arial"/>
        </w:rPr>
        <w:t xml:space="preserve"> at all levels to support </w:t>
      </w:r>
      <w:r w:rsidR="007426A5">
        <w:rPr>
          <w:rFonts w:cs="Arial"/>
        </w:rPr>
        <w:t>SNHI</w:t>
      </w:r>
      <w:r w:rsidRPr="001F2336">
        <w:rPr>
          <w:rFonts w:cs="Arial"/>
        </w:rPr>
        <w:t xml:space="preserve">. </w:t>
      </w:r>
      <w:r w:rsidR="007426A5">
        <w:rPr>
          <w:rFonts w:cs="Arial"/>
        </w:rPr>
        <w:t xml:space="preserve"> </w:t>
      </w:r>
      <w:r w:rsidR="00BC0213">
        <w:rPr>
          <w:rFonts w:cs="Arial"/>
        </w:rPr>
        <w:t xml:space="preserve">Politicians’ </w:t>
      </w:r>
      <w:r w:rsidRPr="001F2336">
        <w:rPr>
          <w:rFonts w:cs="Arial"/>
        </w:rPr>
        <w:t xml:space="preserve">power to influence opinion, allocate resources, </w:t>
      </w:r>
      <w:r w:rsidR="00BC0213">
        <w:rPr>
          <w:rFonts w:cs="Arial"/>
        </w:rPr>
        <w:t xml:space="preserve">and initiate </w:t>
      </w:r>
      <w:r w:rsidRPr="001F2336">
        <w:rPr>
          <w:rFonts w:cs="Arial"/>
        </w:rPr>
        <w:t xml:space="preserve">new taxes </w:t>
      </w:r>
      <w:r w:rsidR="00BC0213">
        <w:rPr>
          <w:rFonts w:cs="Arial"/>
        </w:rPr>
        <w:t xml:space="preserve">will </w:t>
      </w:r>
      <w:r w:rsidRPr="001F2336">
        <w:rPr>
          <w:rFonts w:cs="Arial"/>
        </w:rPr>
        <w:t xml:space="preserve">be productively directed to help establish and sustain </w:t>
      </w:r>
      <w:r w:rsidR="007426A5">
        <w:rPr>
          <w:rFonts w:cs="Arial"/>
        </w:rPr>
        <w:t>SNHI</w:t>
      </w:r>
      <w:r w:rsidRPr="001F2336">
        <w:rPr>
          <w:rFonts w:cs="Arial"/>
        </w:rPr>
        <w:t>.</w:t>
      </w:r>
      <w:r w:rsidR="007426A5">
        <w:rPr>
          <w:rFonts w:cs="Arial"/>
        </w:rPr>
        <w:t xml:space="preserve">  </w:t>
      </w:r>
      <w:r w:rsidR="00BC0213">
        <w:rPr>
          <w:rFonts w:cs="Arial"/>
        </w:rPr>
        <w:t xml:space="preserve">Capacity development will be provided for </w:t>
      </w:r>
      <w:r w:rsidR="00C11645" w:rsidRPr="00C11645">
        <w:rPr>
          <w:rFonts w:cs="Arial"/>
        </w:rPr>
        <w:t xml:space="preserve">politicians </w:t>
      </w:r>
      <w:r w:rsidR="00BC0213">
        <w:rPr>
          <w:rFonts w:cs="Arial"/>
        </w:rPr>
        <w:t xml:space="preserve">at all levels to enable them to understand the need for social protection through </w:t>
      </w:r>
      <w:r w:rsidR="00E342DF">
        <w:rPr>
          <w:rFonts w:cs="Arial"/>
        </w:rPr>
        <w:t>SNHI</w:t>
      </w:r>
      <w:r w:rsidR="00BC0213">
        <w:rPr>
          <w:rFonts w:cs="Arial"/>
        </w:rPr>
        <w:t xml:space="preserve"> as a means of attaining UHC, the linkages between catastrophic expenditures and impoverishment, and to </w:t>
      </w:r>
      <w:r w:rsidR="00663565">
        <w:rPr>
          <w:rFonts w:cs="Arial"/>
        </w:rPr>
        <w:t>support</w:t>
      </w:r>
      <w:r w:rsidR="00C11645" w:rsidRPr="00C11645">
        <w:rPr>
          <w:rFonts w:cs="Arial"/>
        </w:rPr>
        <w:t xml:space="preserve"> </w:t>
      </w:r>
      <w:r w:rsidR="00BC0213">
        <w:rPr>
          <w:rFonts w:cs="Arial"/>
        </w:rPr>
        <w:t xml:space="preserve">timely implementation </w:t>
      </w:r>
      <w:r w:rsidR="00C11645" w:rsidRPr="00C11645">
        <w:rPr>
          <w:rFonts w:cs="Arial"/>
        </w:rPr>
        <w:t xml:space="preserve">of </w:t>
      </w:r>
      <w:r w:rsidR="00E342DF">
        <w:rPr>
          <w:rFonts w:cs="Arial"/>
        </w:rPr>
        <w:t>SNHI</w:t>
      </w:r>
      <w:r w:rsidR="00BC0213">
        <w:rPr>
          <w:rFonts w:cs="Arial"/>
        </w:rPr>
        <w:t xml:space="preserve"> and the strategy as a whole.  Similarly, education will be provided on the </w:t>
      </w:r>
      <w:r w:rsidRPr="00C11645">
        <w:rPr>
          <w:rFonts w:cs="Arial"/>
        </w:rPr>
        <w:t>critical role that a healthy population plays in building a healthy economy</w:t>
      </w:r>
      <w:r w:rsidR="00BC0213">
        <w:rPr>
          <w:rFonts w:cs="Arial"/>
        </w:rPr>
        <w:t xml:space="preserve">, and the link with </w:t>
      </w:r>
      <w:r w:rsidR="00E342DF">
        <w:rPr>
          <w:rFonts w:cs="Arial"/>
        </w:rPr>
        <w:t>SNHI</w:t>
      </w:r>
      <w:r w:rsidR="00BC0213">
        <w:rPr>
          <w:rFonts w:cs="Arial"/>
        </w:rPr>
        <w:t xml:space="preserve"> and social protection</w:t>
      </w:r>
      <w:r w:rsidRPr="00C11645">
        <w:rPr>
          <w:rFonts w:cs="Arial"/>
        </w:rPr>
        <w:t xml:space="preserve">. </w:t>
      </w:r>
    </w:p>
    <w:p w14:paraId="330D70AA" w14:textId="77777777" w:rsidR="007138B2" w:rsidRDefault="007138B2" w:rsidP="00BC0213">
      <w:pPr>
        <w:rPr>
          <w:rFonts w:cs="Arial"/>
        </w:rPr>
      </w:pPr>
    </w:p>
    <w:p w14:paraId="0081113E" w14:textId="77777777" w:rsidR="00BE28B4" w:rsidRDefault="00BE28B4" w:rsidP="00BE28B4"/>
    <w:p w14:paraId="3646461D" w14:textId="77777777" w:rsidR="00AD49F5" w:rsidRDefault="00AD49F5" w:rsidP="00BC0213">
      <w:pPr>
        <w:rPr>
          <w:rFonts w:cs="Arial"/>
        </w:rPr>
        <w:sectPr w:rsidR="00AD49F5" w:rsidSect="00B85D2C">
          <w:headerReference w:type="even" r:id="rId14"/>
          <w:headerReference w:type="default" r:id="rId15"/>
          <w:footerReference w:type="default" r:id="rId16"/>
          <w:headerReference w:type="first" r:id="rId17"/>
          <w:pgSz w:w="12240" w:h="15840"/>
          <w:pgMar w:top="1440" w:right="1440" w:bottom="1440" w:left="1440" w:header="720" w:footer="720" w:gutter="0"/>
          <w:cols w:space="720"/>
          <w:docGrid w:linePitch="360"/>
        </w:sectPr>
      </w:pPr>
    </w:p>
    <w:p w14:paraId="018A6685" w14:textId="2D0020D8" w:rsidR="00AD49F5" w:rsidRDefault="00AD49F5" w:rsidP="00AD49F5">
      <w:pPr>
        <w:pStyle w:val="Caption"/>
      </w:pPr>
      <w:r>
        <w:lastRenderedPageBreak/>
        <w:t xml:space="preserve">Figure </w:t>
      </w:r>
      <w:fldSimple w:instr=" SEQ Figure \* ARABIC ">
        <w:r w:rsidR="00463644">
          <w:rPr>
            <w:noProof/>
          </w:rPr>
          <w:t>5</w:t>
        </w:r>
      </w:fldSimple>
      <w:r w:rsidR="002266EC">
        <w:rPr>
          <w:noProof/>
        </w:rPr>
        <w:t>.2</w:t>
      </w:r>
      <w:r>
        <w:rPr>
          <w:noProof/>
        </w:rPr>
        <w:t>:</w:t>
      </w:r>
      <w:r>
        <w:t xml:space="preserve"> Proposed SNHI</w:t>
      </w:r>
    </w:p>
    <w:p w14:paraId="485FED63" w14:textId="73BC27DA" w:rsidR="00AD49F5" w:rsidRDefault="00014AC5" w:rsidP="00AD49F5">
      <w:pPr>
        <w:rPr>
          <w:b/>
        </w:rPr>
      </w:pPr>
      <w:r>
        <w:rPr>
          <w:b/>
          <w:noProof/>
          <w:lang w:val="en-GB" w:eastAsia="en-GB"/>
        </w:rPr>
        <w:drawing>
          <wp:inline distT="0" distB="0" distL="0" distR="0" wp14:anchorId="21C90ACA" wp14:editId="1EE50602">
            <wp:extent cx="7803515" cy="5302868"/>
            <wp:effectExtent l="0" t="0" r="6985"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809514" cy="5306944"/>
                    </a:xfrm>
                    <a:prstGeom prst="rect">
                      <a:avLst/>
                    </a:prstGeom>
                    <a:noFill/>
                  </pic:spPr>
                </pic:pic>
              </a:graphicData>
            </a:graphic>
          </wp:inline>
        </w:drawing>
      </w:r>
    </w:p>
    <w:p w14:paraId="379E492B" w14:textId="53242C54" w:rsidR="00AD49F5" w:rsidRDefault="00AD49F5" w:rsidP="00BC0213">
      <w:pPr>
        <w:rPr>
          <w:rFonts w:cs="Arial"/>
        </w:rPr>
        <w:sectPr w:rsidR="00AD49F5" w:rsidSect="00AD49F5">
          <w:pgSz w:w="15840" w:h="12240" w:orient="landscape"/>
          <w:pgMar w:top="1440" w:right="1440" w:bottom="1440" w:left="1440" w:header="720" w:footer="720" w:gutter="0"/>
          <w:cols w:space="720"/>
          <w:docGrid w:linePitch="360"/>
        </w:sectPr>
      </w:pPr>
    </w:p>
    <w:p w14:paraId="382EE6CF" w14:textId="284350E5" w:rsidR="0063392A" w:rsidRDefault="000B10A3" w:rsidP="00BC4C4A">
      <w:pPr>
        <w:pStyle w:val="Heading2"/>
      </w:pPr>
      <w:r>
        <w:rPr>
          <w:rFonts w:cs="Arial"/>
        </w:rPr>
        <w:lastRenderedPageBreak/>
        <w:tab/>
      </w:r>
      <w:bookmarkStart w:id="31" w:name="_Toc411949936"/>
      <w:r w:rsidR="005F338D" w:rsidRPr="00EB4F0C">
        <w:t>Revenue Collection</w:t>
      </w:r>
      <w:bookmarkEnd w:id="31"/>
    </w:p>
    <w:p w14:paraId="378984F5" w14:textId="1B97E025" w:rsidR="00C65DDD" w:rsidRDefault="00C65DDD" w:rsidP="00685E99">
      <w:pPr>
        <w:pStyle w:val="Heading3"/>
        <w:spacing w:before="0" w:after="0"/>
        <w:ind w:left="720"/>
      </w:pPr>
      <w:bookmarkStart w:id="32" w:name="_Toc411949937"/>
      <w:r>
        <w:t>Objective 3: Strengthen Revenue Collection/Mobilization for the Health Sector</w:t>
      </w:r>
      <w:bookmarkEnd w:id="32"/>
    </w:p>
    <w:p w14:paraId="7A5962FF" w14:textId="6500B61B" w:rsidR="00B96AD4" w:rsidRPr="00C65DDD" w:rsidRDefault="00250DA4" w:rsidP="00685E99">
      <w:pPr>
        <w:pStyle w:val="Heading3"/>
        <w:numPr>
          <w:ilvl w:val="0"/>
          <w:numId w:val="0"/>
        </w:numPr>
        <w:spacing w:before="0" w:after="0"/>
        <w:ind w:left="720"/>
      </w:pPr>
      <w:bookmarkStart w:id="33" w:name="_Toc411949938"/>
      <w:r w:rsidRPr="00C65DDD">
        <w:t xml:space="preserve">Strategy </w:t>
      </w:r>
      <w:r w:rsidR="00C65DDD">
        <w:t>3</w:t>
      </w:r>
      <w:r w:rsidR="007D40F1" w:rsidRPr="00C65DDD">
        <w:t xml:space="preserve">: </w:t>
      </w:r>
      <w:r w:rsidR="00B96AD4" w:rsidRPr="00C65DDD">
        <w:t xml:space="preserve">Increase Government </w:t>
      </w:r>
      <w:r w:rsidR="00436ABA" w:rsidRPr="00C65DDD">
        <w:t xml:space="preserve">and Private </w:t>
      </w:r>
      <w:r w:rsidR="00B96AD4" w:rsidRPr="00C65DDD">
        <w:t>Contribution</w:t>
      </w:r>
      <w:r w:rsidR="00893DC1">
        <w:t>s</w:t>
      </w:r>
      <w:r w:rsidR="00B96AD4" w:rsidRPr="00C65DDD">
        <w:t xml:space="preserve"> to the Health Sector</w:t>
      </w:r>
      <w:bookmarkEnd w:id="33"/>
    </w:p>
    <w:p w14:paraId="3F261E60" w14:textId="0F8E8ACD" w:rsidR="0063392A" w:rsidRDefault="002B1AD5" w:rsidP="00C65DDD">
      <w:pPr>
        <w:pStyle w:val="Heading4"/>
        <w:numPr>
          <w:ilvl w:val="0"/>
          <w:numId w:val="0"/>
        </w:numPr>
        <w:ind w:left="864" w:hanging="864"/>
      </w:pPr>
      <w:r w:rsidRPr="00C355DF">
        <w:t xml:space="preserve">Strategic intervention: </w:t>
      </w:r>
      <w:r w:rsidR="007D40F1" w:rsidRPr="00C355DF">
        <w:t>r</w:t>
      </w:r>
      <w:r w:rsidR="0063392A" w:rsidRPr="00C355DF">
        <w:t>evenue</w:t>
      </w:r>
      <w:r w:rsidR="007D40F1" w:rsidRPr="00C355DF">
        <w:t>s</w:t>
      </w:r>
      <w:r w:rsidR="0063392A" w:rsidRPr="00C355DF">
        <w:t xml:space="preserve"> for </w:t>
      </w:r>
      <w:r w:rsidR="007D40F1" w:rsidRPr="00C355DF">
        <w:t>h</w:t>
      </w:r>
      <w:r w:rsidR="0063392A" w:rsidRPr="00C355DF">
        <w:t xml:space="preserve">ealth </w:t>
      </w:r>
    </w:p>
    <w:p w14:paraId="7BD69459" w14:textId="756E0E1A" w:rsidR="006E48CB" w:rsidRDefault="006E48CB" w:rsidP="006E48CB">
      <w:r>
        <w:t xml:space="preserve">The revenue to pay for the SNHI will have to come from multiple sources in both the public and private sector. Current general government spending on health will have to be rechanneled and, in all likelihood, increased. LGA own-source revenues could also contribute. Government contributions and the matching civil servants’ contributions to the </w:t>
      </w:r>
      <w:r w:rsidR="00C92C73">
        <w:t>NHIF</w:t>
      </w:r>
      <w:r>
        <w:t xml:space="preserve"> will have to be rechanneled. Specific government levies might be earmarked for SNHI.  </w:t>
      </w:r>
      <w:r w:rsidR="00C92C73">
        <w:t xml:space="preserve">Large vertical funding streams as well as the </w:t>
      </w:r>
      <w:r>
        <w:t>HIV/AIDS Trust Fund could be folded into the SNHI revenue pool. Private contributions by employers and employees through NHIF will be rechanneled.  The investment earning</w:t>
      </w:r>
      <w:r w:rsidR="00BD65FF">
        <w:t xml:space="preserve">s of NHIF could be contributed. </w:t>
      </w:r>
      <w:r>
        <w:t xml:space="preserve">Other private sources of contributions might be sought. External funds through the </w:t>
      </w:r>
      <w:r w:rsidR="0078675A">
        <w:t>H</w:t>
      </w:r>
      <w:r>
        <w:t xml:space="preserve">ealth </w:t>
      </w:r>
      <w:r w:rsidR="0078675A">
        <w:t>B</w:t>
      </w:r>
      <w:r>
        <w:t xml:space="preserve">asket </w:t>
      </w:r>
      <w:r w:rsidR="0078675A">
        <w:t>F</w:t>
      </w:r>
      <w:r>
        <w:t>und (HBF) could supplement the domestic resources that must make up the great bulk of the funding for the SNHI pool. Finally, the need for revenue for the pool could be made smaller by making the delivery of health services more efficient.</w:t>
      </w:r>
    </w:p>
    <w:p w14:paraId="2A85FB62" w14:textId="77777777" w:rsidR="002266EC" w:rsidRDefault="002266EC" w:rsidP="006E48CB"/>
    <w:p w14:paraId="510826A0" w14:textId="77777777" w:rsidR="00C92C73" w:rsidRDefault="00C92C73" w:rsidP="006E48CB"/>
    <w:p w14:paraId="3A9F0728" w14:textId="77777777" w:rsidR="00C92C73" w:rsidRDefault="00C92C73" w:rsidP="006E48CB"/>
    <w:p w14:paraId="7109B90A" w14:textId="19C74500" w:rsidR="002266EC" w:rsidRDefault="002266EC" w:rsidP="002266EC">
      <w:pPr>
        <w:pStyle w:val="Caption"/>
      </w:pPr>
      <w:r>
        <w:t>Figure 5.3: Proposed revenue flows into SNHI</w:t>
      </w:r>
    </w:p>
    <w:p w14:paraId="76D76805" w14:textId="37FFA41C" w:rsidR="002266EC" w:rsidRDefault="00CB5176" w:rsidP="006E48CB">
      <w:r w:rsidRPr="006D17F7">
        <w:rPr>
          <w:noProof/>
          <w:lang w:val="en-GB" w:eastAsia="en-GB"/>
        </w:rPr>
        <mc:AlternateContent>
          <mc:Choice Requires="wps">
            <w:drawing>
              <wp:anchor distT="0" distB="0" distL="114300" distR="114300" simplePos="0" relativeHeight="251734016" behindDoc="0" locked="0" layoutInCell="1" allowOverlap="1" wp14:anchorId="6E6AB409" wp14:editId="07247CA1">
                <wp:simplePos x="0" y="0"/>
                <wp:positionH relativeFrom="column">
                  <wp:posOffset>2777490</wp:posOffset>
                </wp:positionH>
                <wp:positionV relativeFrom="paragraph">
                  <wp:posOffset>2860387</wp:posOffset>
                </wp:positionV>
                <wp:extent cx="297815" cy="232914"/>
                <wp:effectExtent l="57150" t="19050" r="26035" b="91440"/>
                <wp:wrapNone/>
                <wp:docPr id="43" name="Down Arrow 4"/>
                <wp:cNvGraphicFramePr/>
                <a:graphic xmlns:a="http://schemas.openxmlformats.org/drawingml/2006/main">
                  <a:graphicData uri="http://schemas.microsoft.com/office/word/2010/wordprocessingShape">
                    <wps:wsp>
                      <wps:cNvSpPr/>
                      <wps:spPr>
                        <a:xfrm>
                          <a:off x="0" y="0"/>
                          <a:ext cx="297815" cy="232914"/>
                        </a:xfrm>
                        <a:prstGeom prst="downArrow">
                          <a:avLst/>
                        </a:prstGeom>
                      </wps:spPr>
                      <wps:style>
                        <a:lnRef idx="1">
                          <a:schemeClr val="accent1"/>
                        </a:lnRef>
                        <a:fillRef idx="3">
                          <a:schemeClr val="accent1"/>
                        </a:fillRef>
                        <a:effectRef idx="2">
                          <a:schemeClr val="accent1"/>
                        </a:effectRef>
                        <a:fontRef idx="minor">
                          <a:schemeClr val="lt1"/>
                        </a:fontRef>
                      </wps:style>
                      <wps:bodyPr rtlCol="0" anchor="ctr"/>
                    </wps:wsp>
                  </a:graphicData>
                </a:graphic>
                <wp14:sizeRelV relativeFrom="margin">
                  <wp14:pctHeight>0</wp14:pctHeight>
                </wp14:sizeRelV>
              </wp:anchor>
            </w:drawing>
          </mc:Choice>
          <mc:Fallback>
            <w:pict>
              <v:shapetype w14:anchorId="7DA881D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 o:spid="_x0000_s1026" type="#_x0000_t67" style="position:absolute;margin-left:218.7pt;margin-top:225.25pt;width:23.45pt;height:18.35pt;z-index:251734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" adj="10800" fillcolor="#254163 [1636]" strokecolor="#4579b8 [3044]">
                <v:fill color2="#4477b6 [3012]" rotate="t" angle="180" colors="0 #2c5d98;52429f #3c7bc7;1 #3a7ccb" focus="100%" type="gradient">
                  <o:fill v:ext="view" type="gradientUnscaled"/>
                </v:fill>
                <v:shadow on="t" color="black" opacity="22937f" origin=",.5" offset="0,.63889mm"/>
              </v:shape>
            </w:pict>
          </mc:Fallback>
        </mc:AlternateContent>
      </w:r>
      <w:r w:rsidR="006D17F7" w:rsidRPr="006D17F7">
        <w:rPr>
          <w:noProof/>
          <w:lang w:val="en-GB" w:eastAsia="en-GB"/>
        </w:rPr>
        <w:drawing>
          <wp:inline distT="0" distB="0" distL="0" distR="0" wp14:anchorId="2A82355B" wp14:editId="48801269">
            <wp:extent cx="5943600" cy="2862580"/>
            <wp:effectExtent l="0" t="0" r="0" b="13970"/>
            <wp:docPr id="119" name="Diagram 1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69AB6B98" w14:textId="447D192A" w:rsidR="002266EC" w:rsidRDefault="00CB5176" w:rsidP="006E48CB">
      <w:r w:rsidRPr="006D17F7">
        <w:rPr>
          <w:noProof/>
          <w:lang w:val="en-GB" w:eastAsia="en-GB"/>
        </w:rPr>
        <mc:AlternateContent>
          <mc:Choice Requires="wps">
            <w:drawing>
              <wp:anchor distT="0" distB="0" distL="114300" distR="114300" simplePos="0" relativeHeight="251735040" behindDoc="0" locked="0" layoutInCell="1" allowOverlap="1" wp14:anchorId="524B3E54" wp14:editId="4211DCFF">
                <wp:simplePos x="0" y="0"/>
                <wp:positionH relativeFrom="column">
                  <wp:posOffset>103062</wp:posOffset>
                </wp:positionH>
                <wp:positionV relativeFrom="paragraph">
                  <wp:posOffset>187325</wp:posOffset>
                </wp:positionV>
                <wp:extent cx="5779698" cy="276045"/>
                <wp:effectExtent l="0" t="0" r="12065" b="10160"/>
                <wp:wrapNone/>
                <wp:docPr id="46" name="TextBox 5"/>
                <wp:cNvGraphicFramePr/>
                <a:graphic xmlns:a="http://schemas.openxmlformats.org/drawingml/2006/main">
                  <a:graphicData uri="http://schemas.microsoft.com/office/word/2010/wordprocessingShape">
                    <wps:wsp>
                      <wps:cNvSpPr txBox="1"/>
                      <wps:spPr>
                        <a:xfrm>
                          <a:off x="0" y="0"/>
                          <a:ext cx="5779698" cy="276045"/>
                        </a:xfrm>
                        <a:prstGeom prst="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751F1D6E" w14:textId="77777777" w:rsidR="00C92C73" w:rsidRPr="00CB5176" w:rsidRDefault="00C92C73" w:rsidP="006D17F7">
                            <w:pPr>
                              <w:pStyle w:val="NormalWeb"/>
                              <w:spacing w:before="0" w:beforeAutospacing="0" w:after="0" w:afterAutospacing="0"/>
                              <w:jc w:val="center"/>
                              <w:textAlignment w:val="baseline"/>
                              <w:rPr>
                                <w:b/>
                                <w:bCs/>
                                <w:sz w:val="14"/>
                                <w:szCs w:val="14"/>
                              </w:rPr>
                            </w:pPr>
                            <w:r w:rsidRPr="00CB5176">
                              <w:rPr>
                                <w:rFonts w:asciiTheme="minorHAnsi" w:hAnsi="Calibri" w:cstheme="minorBidi"/>
                                <w:b/>
                                <w:bCs/>
                                <w:color w:val="FFFFFF" w:themeColor="light1"/>
                                <w:kern w:val="24"/>
                                <w:sz w:val="22"/>
                                <w:szCs w:val="22"/>
                              </w:rPr>
                              <w:t>Reimbursement to Facilities Matching Payment to MBP Based on Core Output-Based Payment Systems</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24B3E54" id="_x0000_t202" coordsize="21600,21600" o:spt="202" path="m,l,21600r21600,l21600,xe">
                <v:stroke joinstyle="miter"/>
                <v:path gradientshapeok="t" o:connecttype="rect"/>
              </v:shapetype>
              <v:shape id="TextBox 5" o:spid="_x0000_s1062" type="#_x0000_t202" style="position:absolute;left:0;text-align:left;margin-left:8.1pt;margin-top:14.75pt;width:455.1pt;height:21.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" fillcolor="#9bbb59 [3206]" strokecolor="#4e6128 [1606]" strokeweight="2pt">
                <v:textbox>
                  <w:txbxContent>
                    <w:p w14:paraId="751F1D6E" w14:textId="77777777" w:rsidR="00C92C73" w:rsidRPr="00CB5176" w:rsidRDefault="00C92C73" w:rsidP="006D17F7">
                      <w:pPr>
                        <w:pStyle w:val="NormalWeb"/>
                        <w:spacing w:before="0" w:beforeAutospacing="0" w:after="0" w:afterAutospacing="0"/>
                        <w:jc w:val="center"/>
                        <w:textAlignment w:val="baseline"/>
                        <w:rPr>
                          <w:b/>
                          <w:bCs/>
                          <w:sz w:val="14"/>
                          <w:szCs w:val="14"/>
                        </w:rPr>
                      </w:pPr>
                      <w:r w:rsidRPr="00CB5176">
                        <w:rPr>
                          <w:rFonts w:asciiTheme="minorHAnsi" w:hAnsi="Calibri" w:cstheme="minorBidi"/>
                          <w:b/>
                          <w:bCs/>
                          <w:color w:val="FFFFFF" w:themeColor="light1"/>
                          <w:kern w:val="24"/>
                          <w:sz w:val="22"/>
                          <w:szCs w:val="22"/>
                        </w:rPr>
                        <w:t>Reimbursement to Facilities Matching Payment to MBP Based on Core Output-Based Payment Systems</w:t>
                      </w:r>
                    </w:p>
                  </w:txbxContent>
                </v:textbox>
              </v:shape>
            </w:pict>
          </mc:Fallback>
        </mc:AlternateContent>
      </w:r>
    </w:p>
    <w:p w14:paraId="4C1E8425" w14:textId="299B8842" w:rsidR="00BE3C12" w:rsidRDefault="003331B5" w:rsidP="00BE3C12">
      <w:pPr>
        <w:pStyle w:val="Heading4"/>
        <w:numPr>
          <w:ilvl w:val="0"/>
          <w:numId w:val="0"/>
        </w:numPr>
        <w:ind w:left="864" w:hanging="864"/>
      </w:pPr>
      <w:r>
        <w:lastRenderedPageBreak/>
        <w:t>Stakeholder</w:t>
      </w:r>
      <w:r w:rsidR="00BE3C12">
        <w:t xml:space="preserve"> assessment of domestic revenue possibilities </w:t>
      </w:r>
      <w:r w:rsidR="00BE3C12" w:rsidRPr="00C355DF">
        <w:t xml:space="preserve"> </w:t>
      </w:r>
    </w:p>
    <w:p w14:paraId="6C382DEA" w14:textId="07163034" w:rsidR="006E48CB" w:rsidRDefault="006E48CB" w:rsidP="006E48CB">
      <w:r>
        <w:t xml:space="preserve">A qualitative assessment of domestic revenue possibilities and efficiency </w:t>
      </w:r>
      <w:r w:rsidR="00BE3C12">
        <w:t>gains</w:t>
      </w:r>
      <w:r>
        <w:t xml:space="preserve"> to fund the SNHI pool is shown in Table 5.1. The criteria employed in the assessment are: (1) political feasibility, (2) equity, (3) revenue potential, (4) incentive effects of the collection of the revenue, and (5) whether the source is existing or new to the health sector.</w:t>
      </w:r>
    </w:p>
    <w:p w14:paraId="42466078" w14:textId="77777777" w:rsidR="006E48CB" w:rsidRDefault="006E48CB" w:rsidP="006E48CB"/>
    <w:p w14:paraId="20EFBC2E" w14:textId="305B7B0A" w:rsidR="006E48CB" w:rsidRPr="0099670E" w:rsidRDefault="006E48CB" w:rsidP="006E48CB">
      <w:pPr>
        <w:jc w:val="left"/>
        <w:rPr>
          <w:b/>
          <w:sz w:val="22"/>
        </w:rPr>
      </w:pPr>
      <w:r w:rsidRPr="0099670E">
        <w:rPr>
          <w:b/>
          <w:sz w:val="22"/>
        </w:rPr>
        <w:t>Table 5.1:  Qualitative analysis of potential revenue sources (++= very positive /large, + = positive/large, - = negative, 0= no effect</w:t>
      </w:r>
      <w:proofErr w:type="gramStart"/>
      <w:r w:rsidRPr="0099670E">
        <w:rPr>
          <w:b/>
          <w:sz w:val="22"/>
        </w:rPr>
        <w:t>, ?</w:t>
      </w:r>
      <w:proofErr w:type="gramEnd"/>
      <w:r w:rsidRPr="0099670E">
        <w:rPr>
          <w:b/>
          <w:sz w:val="22"/>
        </w:rPr>
        <w:t>= undetermined effect)</w:t>
      </w:r>
    </w:p>
    <w:tbl>
      <w:tblPr>
        <w:tblStyle w:val="TableGrid"/>
        <w:tblW w:w="0" w:type="auto"/>
        <w:tblLook w:val="04A0" w:firstRow="1" w:lastRow="0" w:firstColumn="1" w:lastColumn="0" w:noHBand="0" w:noVBand="1"/>
      </w:tblPr>
      <w:tblGrid>
        <w:gridCol w:w="2134"/>
        <w:gridCol w:w="1339"/>
        <w:gridCol w:w="1617"/>
        <w:gridCol w:w="1294"/>
        <w:gridCol w:w="1283"/>
        <w:gridCol w:w="1683"/>
      </w:tblGrid>
      <w:tr w:rsidR="006E48CB" w14:paraId="689A1B97" w14:textId="77777777" w:rsidTr="00F95B19">
        <w:trPr>
          <w:tblHeader/>
        </w:trPr>
        <w:tc>
          <w:tcPr>
            <w:tcW w:w="2448" w:type="dxa"/>
          </w:tcPr>
          <w:p w14:paraId="2812E95C" w14:textId="77777777" w:rsidR="006E48CB" w:rsidRPr="00D17BF4" w:rsidRDefault="006E48CB" w:rsidP="00F95B19">
            <w:pPr>
              <w:rPr>
                <w:b/>
              </w:rPr>
            </w:pPr>
            <w:r w:rsidRPr="00D17BF4">
              <w:rPr>
                <w:b/>
              </w:rPr>
              <w:t>Source</w:t>
            </w:r>
          </w:p>
        </w:tc>
        <w:tc>
          <w:tcPr>
            <w:tcW w:w="1350" w:type="dxa"/>
          </w:tcPr>
          <w:p w14:paraId="788F2E2F" w14:textId="77777777" w:rsidR="006E48CB" w:rsidRPr="00D17BF4" w:rsidRDefault="006E48CB" w:rsidP="00F95B19">
            <w:pPr>
              <w:jc w:val="center"/>
              <w:rPr>
                <w:b/>
              </w:rPr>
            </w:pPr>
            <w:r w:rsidRPr="00D17BF4">
              <w:rPr>
                <w:b/>
              </w:rPr>
              <w:t>Political feasibility</w:t>
            </w:r>
          </w:p>
        </w:tc>
        <w:tc>
          <w:tcPr>
            <w:tcW w:w="1530" w:type="dxa"/>
          </w:tcPr>
          <w:p w14:paraId="27EBB105" w14:textId="77777777" w:rsidR="006E48CB" w:rsidRPr="00D17BF4" w:rsidRDefault="006E48CB" w:rsidP="00F95B19">
            <w:pPr>
              <w:jc w:val="center"/>
              <w:rPr>
                <w:b/>
              </w:rPr>
            </w:pPr>
            <w:r w:rsidRPr="00D17BF4">
              <w:rPr>
                <w:b/>
              </w:rPr>
              <w:t>Equity implications</w:t>
            </w:r>
          </w:p>
        </w:tc>
        <w:tc>
          <w:tcPr>
            <w:tcW w:w="1350" w:type="dxa"/>
          </w:tcPr>
          <w:p w14:paraId="17F2CE88" w14:textId="77777777" w:rsidR="006E48CB" w:rsidRPr="00D17BF4" w:rsidRDefault="006E48CB" w:rsidP="00F95B19">
            <w:pPr>
              <w:jc w:val="center"/>
              <w:rPr>
                <w:b/>
              </w:rPr>
            </w:pPr>
            <w:r w:rsidRPr="00D17BF4">
              <w:rPr>
                <w:b/>
              </w:rPr>
              <w:t>Revenue potential</w:t>
            </w:r>
          </w:p>
        </w:tc>
        <w:tc>
          <w:tcPr>
            <w:tcW w:w="1302" w:type="dxa"/>
          </w:tcPr>
          <w:p w14:paraId="58E9F658" w14:textId="77777777" w:rsidR="006E48CB" w:rsidRPr="00D17BF4" w:rsidRDefault="006E48CB" w:rsidP="00F95B19">
            <w:pPr>
              <w:jc w:val="center"/>
              <w:rPr>
                <w:b/>
              </w:rPr>
            </w:pPr>
            <w:r w:rsidRPr="00D17BF4">
              <w:rPr>
                <w:b/>
              </w:rPr>
              <w:t>Incentive effects</w:t>
            </w:r>
          </w:p>
        </w:tc>
        <w:tc>
          <w:tcPr>
            <w:tcW w:w="1596" w:type="dxa"/>
          </w:tcPr>
          <w:p w14:paraId="229C7DFD" w14:textId="77777777" w:rsidR="006E48CB" w:rsidRPr="00D17BF4" w:rsidRDefault="006E48CB" w:rsidP="00F95B19">
            <w:pPr>
              <w:jc w:val="center"/>
              <w:rPr>
                <w:b/>
              </w:rPr>
            </w:pPr>
            <w:r w:rsidRPr="00D17BF4">
              <w:rPr>
                <w:b/>
              </w:rPr>
              <w:t>Existing/new source for health</w:t>
            </w:r>
          </w:p>
        </w:tc>
      </w:tr>
      <w:tr w:rsidR="006E48CB" w14:paraId="482EB6A9" w14:textId="77777777" w:rsidTr="00F95B19">
        <w:tc>
          <w:tcPr>
            <w:tcW w:w="9576" w:type="dxa"/>
            <w:gridSpan w:val="6"/>
          </w:tcPr>
          <w:p w14:paraId="7B215109" w14:textId="77777777" w:rsidR="006E48CB" w:rsidRPr="00D17BF4" w:rsidRDefault="006E48CB" w:rsidP="00F95B19">
            <w:pPr>
              <w:jc w:val="center"/>
              <w:rPr>
                <w:b/>
              </w:rPr>
            </w:pPr>
            <w:r w:rsidRPr="00D17BF4">
              <w:rPr>
                <w:b/>
              </w:rPr>
              <w:t>Government sources</w:t>
            </w:r>
          </w:p>
        </w:tc>
      </w:tr>
      <w:tr w:rsidR="006E48CB" w14:paraId="749A458E" w14:textId="77777777" w:rsidTr="00F95B19">
        <w:tc>
          <w:tcPr>
            <w:tcW w:w="2448" w:type="dxa"/>
          </w:tcPr>
          <w:p w14:paraId="43225CEB" w14:textId="77777777" w:rsidR="006E48CB" w:rsidRDefault="006E48CB" w:rsidP="00F95B19">
            <w:pPr>
              <w:jc w:val="left"/>
            </w:pPr>
            <w:r>
              <w:t>General government budget</w:t>
            </w:r>
          </w:p>
        </w:tc>
        <w:tc>
          <w:tcPr>
            <w:tcW w:w="1350" w:type="dxa"/>
          </w:tcPr>
          <w:p w14:paraId="18536FF3" w14:textId="77777777" w:rsidR="006E48CB" w:rsidRDefault="006E48CB" w:rsidP="00F95B19">
            <w:pPr>
              <w:jc w:val="center"/>
            </w:pPr>
            <w:r>
              <w:t>++</w:t>
            </w:r>
          </w:p>
        </w:tc>
        <w:tc>
          <w:tcPr>
            <w:tcW w:w="1530" w:type="dxa"/>
          </w:tcPr>
          <w:p w14:paraId="53FA892E" w14:textId="77777777" w:rsidR="006E48CB" w:rsidRDefault="006E48CB" w:rsidP="00F95B19">
            <w:pPr>
              <w:jc w:val="center"/>
            </w:pPr>
            <w:r>
              <w:t>+</w:t>
            </w:r>
          </w:p>
        </w:tc>
        <w:tc>
          <w:tcPr>
            <w:tcW w:w="1350" w:type="dxa"/>
          </w:tcPr>
          <w:p w14:paraId="4D6D83A0" w14:textId="77777777" w:rsidR="006E48CB" w:rsidRDefault="006E48CB" w:rsidP="00F95B19">
            <w:pPr>
              <w:jc w:val="center"/>
            </w:pPr>
            <w:r>
              <w:t>++</w:t>
            </w:r>
          </w:p>
        </w:tc>
        <w:tc>
          <w:tcPr>
            <w:tcW w:w="1302" w:type="dxa"/>
          </w:tcPr>
          <w:p w14:paraId="7D5F69C3" w14:textId="77777777" w:rsidR="006E48CB" w:rsidRDefault="006E48CB" w:rsidP="00F95B19">
            <w:pPr>
              <w:jc w:val="center"/>
            </w:pPr>
            <w:r>
              <w:t>0</w:t>
            </w:r>
          </w:p>
        </w:tc>
        <w:tc>
          <w:tcPr>
            <w:tcW w:w="1596" w:type="dxa"/>
          </w:tcPr>
          <w:p w14:paraId="50695979" w14:textId="77777777" w:rsidR="006E48CB" w:rsidRDefault="006E48CB" w:rsidP="00F95B19">
            <w:pPr>
              <w:jc w:val="center"/>
            </w:pPr>
            <w:r>
              <w:t>Existing</w:t>
            </w:r>
          </w:p>
        </w:tc>
      </w:tr>
      <w:tr w:rsidR="006E48CB" w14:paraId="20586FC0" w14:textId="77777777" w:rsidTr="00F95B19">
        <w:tc>
          <w:tcPr>
            <w:tcW w:w="2448" w:type="dxa"/>
          </w:tcPr>
          <w:p w14:paraId="5D6B472E" w14:textId="77777777" w:rsidR="006E48CB" w:rsidRDefault="006E48CB" w:rsidP="00F95B19">
            <w:pPr>
              <w:jc w:val="left"/>
            </w:pPr>
            <w:r>
              <w:t>NSSF</w:t>
            </w:r>
          </w:p>
        </w:tc>
        <w:tc>
          <w:tcPr>
            <w:tcW w:w="1350" w:type="dxa"/>
          </w:tcPr>
          <w:p w14:paraId="77968D71" w14:textId="77777777" w:rsidR="006E48CB" w:rsidRDefault="006E48CB" w:rsidP="00F95B19">
            <w:pPr>
              <w:jc w:val="center"/>
            </w:pPr>
            <w:r>
              <w:t>++</w:t>
            </w:r>
          </w:p>
        </w:tc>
        <w:tc>
          <w:tcPr>
            <w:tcW w:w="1530" w:type="dxa"/>
          </w:tcPr>
          <w:p w14:paraId="65BD312B" w14:textId="59CFF18D" w:rsidR="006E48CB" w:rsidRDefault="004C4C86" w:rsidP="00F95B19">
            <w:pPr>
              <w:jc w:val="center"/>
            </w:pPr>
            <w:r>
              <w:t>+</w:t>
            </w:r>
          </w:p>
        </w:tc>
        <w:tc>
          <w:tcPr>
            <w:tcW w:w="1350" w:type="dxa"/>
          </w:tcPr>
          <w:p w14:paraId="261427E6" w14:textId="77777777" w:rsidR="006E48CB" w:rsidRDefault="006E48CB" w:rsidP="00F95B19">
            <w:pPr>
              <w:jc w:val="center"/>
            </w:pPr>
            <w:r>
              <w:t>+</w:t>
            </w:r>
          </w:p>
        </w:tc>
        <w:tc>
          <w:tcPr>
            <w:tcW w:w="1302" w:type="dxa"/>
          </w:tcPr>
          <w:p w14:paraId="6E4B5DE5" w14:textId="77777777" w:rsidR="006E48CB" w:rsidRDefault="006E48CB" w:rsidP="00F95B19">
            <w:pPr>
              <w:jc w:val="center"/>
            </w:pPr>
            <w:r>
              <w:t>0</w:t>
            </w:r>
          </w:p>
        </w:tc>
        <w:tc>
          <w:tcPr>
            <w:tcW w:w="1596" w:type="dxa"/>
          </w:tcPr>
          <w:p w14:paraId="5C5E14FF" w14:textId="77777777" w:rsidR="006E48CB" w:rsidRDefault="006E48CB" w:rsidP="00F95B19">
            <w:pPr>
              <w:jc w:val="center"/>
            </w:pPr>
            <w:r>
              <w:t>Existing</w:t>
            </w:r>
          </w:p>
        </w:tc>
      </w:tr>
      <w:tr w:rsidR="006E48CB" w14:paraId="4E9DF12A" w14:textId="77777777" w:rsidTr="00F95B19">
        <w:tc>
          <w:tcPr>
            <w:tcW w:w="2448" w:type="dxa"/>
          </w:tcPr>
          <w:p w14:paraId="7BC3EEEA" w14:textId="77777777" w:rsidR="006E48CB" w:rsidRDefault="006E48CB" w:rsidP="00F95B19">
            <w:pPr>
              <w:jc w:val="left"/>
            </w:pPr>
            <w:r>
              <w:t>LGA own-source revenues</w:t>
            </w:r>
          </w:p>
        </w:tc>
        <w:tc>
          <w:tcPr>
            <w:tcW w:w="1350" w:type="dxa"/>
          </w:tcPr>
          <w:p w14:paraId="26B182DE" w14:textId="77777777" w:rsidR="006E48CB" w:rsidRDefault="006E48CB" w:rsidP="00F95B19">
            <w:pPr>
              <w:jc w:val="center"/>
            </w:pPr>
            <w:r>
              <w:t>-?</w:t>
            </w:r>
          </w:p>
        </w:tc>
        <w:tc>
          <w:tcPr>
            <w:tcW w:w="1530" w:type="dxa"/>
          </w:tcPr>
          <w:p w14:paraId="02F63BDE" w14:textId="77777777" w:rsidR="006E48CB" w:rsidRDefault="006E48CB" w:rsidP="00F95B19">
            <w:pPr>
              <w:jc w:val="center"/>
            </w:pPr>
            <w:r>
              <w:t>+</w:t>
            </w:r>
          </w:p>
        </w:tc>
        <w:tc>
          <w:tcPr>
            <w:tcW w:w="1350" w:type="dxa"/>
          </w:tcPr>
          <w:p w14:paraId="3B63767C" w14:textId="77777777" w:rsidR="006E48CB" w:rsidRDefault="006E48CB" w:rsidP="00F95B19">
            <w:pPr>
              <w:jc w:val="center"/>
            </w:pPr>
            <w:r>
              <w:t>+</w:t>
            </w:r>
          </w:p>
        </w:tc>
        <w:tc>
          <w:tcPr>
            <w:tcW w:w="1302" w:type="dxa"/>
          </w:tcPr>
          <w:p w14:paraId="71C54DC9" w14:textId="77777777" w:rsidR="006E48CB" w:rsidRDefault="006E48CB" w:rsidP="00F95B19">
            <w:pPr>
              <w:jc w:val="center"/>
            </w:pPr>
            <w:r>
              <w:t>0</w:t>
            </w:r>
          </w:p>
        </w:tc>
        <w:tc>
          <w:tcPr>
            <w:tcW w:w="1596" w:type="dxa"/>
          </w:tcPr>
          <w:p w14:paraId="39460797" w14:textId="77777777" w:rsidR="006E48CB" w:rsidRDefault="006E48CB" w:rsidP="00F95B19">
            <w:pPr>
              <w:jc w:val="center"/>
            </w:pPr>
            <w:r>
              <w:t>Existing</w:t>
            </w:r>
          </w:p>
        </w:tc>
      </w:tr>
      <w:tr w:rsidR="006E48CB" w14:paraId="14E17E14" w14:textId="77777777" w:rsidTr="00F95B19">
        <w:tc>
          <w:tcPr>
            <w:tcW w:w="2448" w:type="dxa"/>
          </w:tcPr>
          <w:p w14:paraId="1C39B2C6" w14:textId="77777777" w:rsidR="006E48CB" w:rsidRDefault="006E48CB" w:rsidP="00F95B19">
            <w:pPr>
              <w:jc w:val="left"/>
            </w:pPr>
            <w:r>
              <w:t>HIV/AIDS Trust Fund</w:t>
            </w:r>
          </w:p>
        </w:tc>
        <w:tc>
          <w:tcPr>
            <w:tcW w:w="1350" w:type="dxa"/>
          </w:tcPr>
          <w:p w14:paraId="6C8C1996" w14:textId="77777777" w:rsidR="006E48CB" w:rsidRDefault="006E48CB" w:rsidP="00F95B19">
            <w:pPr>
              <w:jc w:val="center"/>
            </w:pPr>
            <w:r>
              <w:t>+?</w:t>
            </w:r>
          </w:p>
        </w:tc>
        <w:tc>
          <w:tcPr>
            <w:tcW w:w="1530" w:type="dxa"/>
          </w:tcPr>
          <w:p w14:paraId="55BE9085" w14:textId="77777777" w:rsidR="006E48CB" w:rsidRDefault="006E48CB" w:rsidP="00F95B19">
            <w:pPr>
              <w:jc w:val="center"/>
            </w:pPr>
            <w:r>
              <w:t>+</w:t>
            </w:r>
          </w:p>
        </w:tc>
        <w:tc>
          <w:tcPr>
            <w:tcW w:w="1350" w:type="dxa"/>
          </w:tcPr>
          <w:p w14:paraId="0ABB0FEB" w14:textId="77777777" w:rsidR="006E48CB" w:rsidRDefault="006E48CB" w:rsidP="00F95B19">
            <w:pPr>
              <w:jc w:val="center"/>
            </w:pPr>
            <w:r>
              <w:t>?</w:t>
            </w:r>
          </w:p>
        </w:tc>
        <w:tc>
          <w:tcPr>
            <w:tcW w:w="1302" w:type="dxa"/>
          </w:tcPr>
          <w:p w14:paraId="455E566E" w14:textId="77777777" w:rsidR="006E48CB" w:rsidRDefault="006E48CB" w:rsidP="00F95B19">
            <w:pPr>
              <w:jc w:val="center"/>
            </w:pPr>
            <w:r>
              <w:t>0</w:t>
            </w:r>
          </w:p>
        </w:tc>
        <w:tc>
          <w:tcPr>
            <w:tcW w:w="1596" w:type="dxa"/>
          </w:tcPr>
          <w:p w14:paraId="4F268C4E" w14:textId="77777777" w:rsidR="006E48CB" w:rsidRDefault="006E48CB" w:rsidP="00F95B19">
            <w:pPr>
              <w:jc w:val="center"/>
            </w:pPr>
            <w:r>
              <w:t>New</w:t>
            </w:r>
          </w:p>
        </w:tc>
      </w:tr>
      <w:tr w:rsidR="006E48CB" w14:paraId="72FDEC90" w14:textId="77777777" w:rsidTr="00F95B19">
        <w:tc>
          <w:tcPr>
            <w:tcW w:w="2448" w:type="dxa"/>
          </w:tcPr>
          <w:p w14:paraId="29AE94C4" w14:textId="77777777" w:rsidR="006E48CB" w:rsidRDefault="006E48CB" w:rsidP="00F95B19">
            <w:r>
              <w:t>Earmarked taxes</w:t>
            </w:r>
          </w:p>
        </w:tc>
        <w:tc>
          <w:tcPr>
            <w:tcW w:w="1350" w:type="dxa"/>
          </w:tcPr>
          <w:p w14:paraId="298DF254" w14:textId="77777777" w:rsidR="006E48CB" w:rsidRDefault="006E48CB" w:rsidP="00F95B19">
            <w:pPr>
              <w:jc w:val="center"/>
            </w:pPr>
            <w:r>
              <w:t>?</w:t>
            </w:r>
          </w:p>
        </w:tc>
        <w:tc>
          <w:tcPr>
            <w:tcW w:w="1530" w:type="dxa"/>
          </w:tcPr>
          <w:p w14:paraId="45965329" w14:textId="77777777" w:rsidR="006E48CB" w:rsidRDefault="006E48CB" w:rsidP="00F95B19">
            <w:pPr>
              <w:jc w:val="center"/>
            </w:pPr>
            <w:r>
              <w:t>+</w:t>
            </w:r>
          </w:p>
        </w:tc>
        <w:tc>
          <w:tcPr>
            <w:tcW w:w="1350" w:type="dxa"/>
          </w:tcPr>
          <w:p w14:paraId="33013326" w14:textId="77777777" w:rsidR="006E48CB" w:rsidRDefault="006E48CB" w:rsidP="00F95B19">
            <w:pPr>
              <w:jc w:val="center"/>
            </w:pPr>
            <w:r>
              <w:t>+</w:t>
            </w:r>
          </w:p>
        </w:tc>
        <w:tc>
          <w:tcPr>
            <w:tcW w:w="1302" w:type="dxa"/>
          </w:tcPr>
          <w:p w14:paraId="5013F7D2" w14:textId="77777777" w:rsidR="006E48CB" w:rsidRDefault="006E48CB" w:rsidP="00F95B19">
            <w:pPr>
              <w:jc w:val="center"/>
            </w:pPr>
            <w:r>
              <w:t>?</w:t>
            </w:r>
          </w:p>
        </w:tc>
        <w:tc>
          <w:tcPr>
            <w:tcW w:w="1596" w:type="dxa"/>
          </w:tcPr>
          <w:p w14:paraId="291703EA" w14:textId="77777777" w:rsidR="006E48CB" w:rsidRDefault="006E48CB" w:rsidP="00F95B19">
            <w:pPr>
              <w:jc w:val="center"/>
            </w:pPr>
            <w:r>
              <w:t>New</w:t>
            </w:r>
          </w:p>
        </w:tc>
      </w:tr>
      <w:tr w:rsidR="006E48CB" w14:paraId="6E6ABC4D" w14:textId="77777777" w:rsidTr="00F95B19">
        <w:tc>
          <w:tcPr>
            <w:tcW w:w="9576" w:type="dxa"/>
            <w:gridSpan w:val="6"/>
          </w:tcPr>
          <w:p w14:paraId="1269583C" w14:textId="77777777" w:rsidR="006E48CB" w:rsidRPr="00D17BF4" w:rsidRDefault="006E48CB" w:rsidP="00F95B19">
            <w:pPr>
              <w:jc w:val="center"/>
              <w:rPr>
                <w:b/>
              </w:rPr>
            </w:pPr>
            <w:r>
              <w:rPr>
                <w:b/>
              </w:rPr>
              <w:t>Private sources</w:t>
            </w:r>
          </w:p>
        </w:tc>
      </w:tr>
      <w:tr w:rsidR="006E48CB" w14:paraId="257A3C9E" w14:textId="77777777" w:rsidTr="00F95B19">
        <w:tc>
          <w:tcPr>
            <w:tcW w:w="2448" w:type="dxa"/>
          </w:tcPr>
          <w:p w14:paraId="0FC6D342" w14:textId="77777777" w:rsidR="006E48CB" w:rsidRDefault="006E48CB" w:rsidP="00F95B19">
            <w:r>
              <w:t>NHIF employer and employee contributions</w:t>
            </w:r>
          </w:p>
        </w:tc>
        <w:tc>
          <w:tcPr>
            <w:tcW w:w="1350" w:type="dxa"/>
          </w:tcPr>
          <w:p w14:paraId="59A33310" w14:textId="77777777" w:rsidR="006E48CB" w:rsidRDefault="006E48CB" w:rsidP="00F95B19">
            <w:pPr>
              <w:jc w:val="center"/>
            </w:pPr>
            <w:r>
              <w:t>++</w:t>
            </w:r>
          </w:p>
        </w:tc>
        <w:tc>
          <w:tcPr>
            <w:tcW w:w="1530" w:type="dxa"/>
          </w:tcPr>
          <w:p w14:paraId="64EACD78" w14:textId="77777777" w:rsidR="006E48CB" w:rsidRDefault="006E48CB" w:rsidP="00F95B19">
            <w:pPr>
              <w:jc w:val="center"/>
            </w:pPr>
            <w:r>
              <w:t>+</w:t>
            </w:r>
          </w:p>
        </w:tc>
        <w:tc>
          <w:tcPr>
            <w:tcW w:w="1350" w:type="dxa"/>
          </w:tcPr>
          <w:p w14:paraId="1ED95A93" w14:textId="77777777" w:rsidR="006E48CB" w:rsidRDefault="006E48CB" w:rsidP="00F95B19">
            <w:pPr>
              <w:jc w:val="center"/>
            </w:pPr>
            <w:r>
              <w:t>++</w:t>
            </w:r>
          </w:p>
        </w:tc>
        <w:tc>
          <w:tcPr>
            <w:tcW w:w="1302" w:type="dxa"/>
          </w:tcPr>
          <w:p w14:paraId="1374750C" w14:textId="77777777" w:rsidR="006E48CB" w:rsidRDefault="006E48CB" w:rsidP="00F95B19">
            <w:pPr>
              <w:jc w:val="center"/>
            </w:pPr>
            <w:r>
              <w:t>0</w:t>
            </w:r>
          </w:p>
        </w:tc>
        <w:tc>
          <w:tcPr>
            <w:tcW w:w="1596" w:type="dxa"/>
          </w:tcPr>
          <w:p w14:paraId="75BB1750" w14:textId="77777777" w:rsidR="006E48CB" w:rsidRDefault="006E48CB" w:rsidP="00F95B19">
            <w:pPr>
              <w:jc w:val="center"/>
            </w:pPr>
            <w:r>
              <w:t>Existing</w:t>
            </w:r>
          </w:p>
        </w:tc>
      </w:tr>
      <w:tr w:rsidR="006E48CB" w14:paraId="02A1063C" w14:textId="77777777" w:rsidTr="00F95B19">
        <w:tc>
          <w:tcPr>
            <w:tcW w:w="2448" w:type="dxa"/>
          </w:tcPr>
          <w:p w14:paraId="5D744A18" w14:textId="77777777" w:rsidR="006E48CB" w:rsidRDefault="006E48CB" w:rsidP="00F95B19">
            <w:pPr>
              <w:jc w:val="left"/>
            </w:pPr>
            <w:r>
              <w:t>TIKA and CHF contributions</w:t>
            </w:r>
          </w:p>
        </w:tc>
        <w:tc>
          <w:tcPr>
            <w:tcW w:w="1350" w:type="dxa"/>
          </w:tcPr>
          <w:p w14:paraId="514B6C9C" w14:textId="77777777" w:rsidR="006E48CB" w:rsidRDefault="006E48CB" w:rsidP="00F95B19">
            <w:pPr>
              <w:jc w:val="center"/>
            </w:pPr>
            <w:r>
              <w:t>++</w:t>
            </w:r>
          </w:p>
        </w:tc>
        <w:tc>
          <w:tcPr>
            <w:tcW w:w="1530" w:type="dxa"/>
          </w:tcPr>
          <w:p w14:paraId="55927A1B" w14:textId="77777777" w:rsidR="006E48CB" w:rsidRDefault="006E48CB" w:rsidP="00F95B19">
            <w:pPr>
              <w:jc w:val="center"/>
            </w:pPr>
            <w:r>
              <w:t>+</w:t>
            </w:r>
          </w:p>
        </w:tc>
        <w:tc>
          <w:tcPr>
            <w:tcW w:w="1350" w:type="dxa"/>
          </w:tcPr>
          <w:p w14:paraId="6F634B0D" w14:textId="77777777" w:rsidR="006E48CB" w:rsidRDefault="006E48CB" w:rsidP="00F95B19">
            <w:pPr>
              <w:jc w:val="center"/>
            </w:pPr>
            <w:r>
              <w:t>+</w:t>
            </w:r>
          </w:p>
        </w:tc>
        <w:tc>
          <w:tcPr>
            <w:tcW w:w="1302" w:type="dxa"/>
          </w:tcPr>
          <w:p w14:paraId="4F432B7B" w14:textId="77777777" w:rsidR="006E48CB" w:rsidRDefault="006E48CB" w:rsidP="00F95B19">
            <w:pPr>
              <w:jc w:val="center"/>
            </w:pPr>
            <w:r>
              <w:t>0</w:t>
            </w:r>
          </w:p>
        </w:tc>
        <w:tc>
          <w:tcPr>
            <w:tcW w:w="1596" w:type="dxa"/>
          </w:tcPr>
          <w:p w14:paraId="5EE7EDF7" w14:textId="77777777" w:rsidR="006E48CB" w:rsidRDefault="006E48CB" w:rsidP="00F95B19">
            <w:pPr>
              <w:jc w:val="center"/>
            </w:pPr>
            <w:r>
              <w:t>Existing</w:t>
            </w:r>
          </w:p>
        </w:tc>
      </w:tr>
      <w:tr w:rsidR="006E48CB" w14:paraId="1C49113A" w14:textId="77777777" w:rsidTr="00F95B19">
        <w:tc>
          <w:tcPr>
            <w:tcW w:w="2448" w:type="dxa"/>
          </w:tcPr>
          <w:p w14:paraId="7678D5AE" w14:textId="77777777" w:rsidR="006E48CB" w:rsidRDefault="006E48CB" w:rsidP="00F95B19">
            <w:r>
              <w:t>Investment revenues from insurance funds</w:t>
            </w:r>
          </w:p>
        </w:tc>
        <w:tc>
          <w:tcPr>
            <w:tcW w:w="1350" w:type="dxa"/>
          </w:tcPr>
          <w:p w14:paraId="14AA62A9" w14:textId="77777777" w:rsidR="006E48CB" w:rsidRDefault="006E48CB" w:rsidP="00F95B19">
            <w:pPr>
              <w:jc w:val="center"/>
            </w:pPr>
            <w:r>
              <w:t>++</w:t>
            </w:r>
          </w:p>
        </w:tc>
        <w:tc>
          <w:tcPr>
            <w:tcW w:w="1530" w:type="dxa"/>
          </w:tcPr>
          <w:p w14:paraId="6797ADC1" w14:textId="77777777" w:rsidR="006E48CB" w:rsidRDefault="006E48CB" w:rsidP="00F95B19">
            <w:pPr>
              <w:jc w:val="center"/>
            </w:pPr>
            <w:r>
              <w:t>+</w:t>
            </w:r>
          </w:p>
        </w:tc>
        <w:tc>
          <w:tcPr>
            <w:tcW w:w="1350" w:type="dxa"/>
          </w:tcPr>
          <w:p w14:paraId="40F1C671" w14:textId="77777777" w:rsidR="006E48CB" w:rsidRDefault="006E48CB" w:rsidP="00F95B19">
            <w:pPr>
              <w:jc w:val="center"/>
            </w:pPr>
            <w:r>
              <w:t>+</w:t>
            </w:r>
          </w:p>
        </w:tc>
        <w:tc>
          <w:tcPr>
            <w:tcW w:w="1302" w:type="dxa"/>
          </w:tcPr>
          <w:p w14:paraId="1656A429" w14:textId="77777777" w:rsidR="006E48CB" w:rsidRDefault="006E48CB" w:rsidP="00F95B19">
            <w:pPr>
              <w:jc w:val="center"/>
            </w:pPr>
            <w:r>
              <w:t>0</w:t>
            </w:r>
          </w:p>
        </w:tc>
        <w:tc>
          <w:tcPr>
            <w:tcW w:w="1596" w:type="dxa"/>
          </w:tcPr>
          <w:p w14:paraId="14E47AD6" w14:textId="77777777" w:rsidR="006E48CB" w:rsidRDefault="006E48CB" w:rsidP="00F95B19">
            <w:pPr>
              <w:jc w:val="center"/>
            </w:pPr>
            <w:r>
              <w:t>New</w:t>
            </w:r>
          </w:p>
        </w:tc>
      </w:tr>
      <w:tr w:rsidR="006E48CB" w14:paraId="59335326" w14:textId="77777777" w:rsidTr="00F95B19">
        <w:tc>
          <w:tcPr>
            <w:tcW w:w="2448" w:type="dxa"/>
          </w:tcPr>
          <w:p w14:paraId="3A269B5D" w14:textId="77777777" w:rsidR="006E48CB" w:rsidRDefault="006E48CB" w:rsidP="00F95B19">
            <w:pPr>
              <w:jc w:val="left"/>
            </w:pPr>
            <w:r>
              <w:t>User co-payments</w:t>
            </w:r>
          </w:p>
        </w:tc>
        <w:tc>
          <w:tcPr>
            <w:tcW w:w="1350" w:type="dxa"/>
          </w:tcPr>
          <w:p w14:paraId="76230896" w14:textId="77777777" w:rsidR="006E48CB" w:rsidRDefault="006E48CB" w:rsidP="00F95B19">
            <w:pPr>
              <w:jc w:val="center"/>
            </w:pPr>
            <w:r>
              <w:t>+</w:t>
            </w:r>
          </w:p>
        </w:tc>
        <w:tc>
          <w:tcPr>
            <w:tcW w:w="1530" w:type="dxa"/>
          </w:tcPr>
          <w:p w14:paraId="390D5F79" w14:textId="77777777" w:rsidR="006E48CB" w:rsidRDefault="006E48CB" w:rsidP="00F95B19">
            <w:pPr>
              <w:jc w:val="center"/>
            </w:pPr>
            <w:r>
              <w:t>-</w:t>
            </w:r>
          </w:p>
        </w:tc>
        <w:tc>
          <w:tcPr>
            <w:tcW w:w="1350" w:type="dxa"/>
          </w:tcPr>
          <w:p w14:paraId="51147DE5" w14:textId="77777777" w:rsidR="006E48CB" w:rsidRDefault="006E48CB" w:rsidP="00F95B19">
            <w:pPr>
              <w:jc w:val="center"/>
            </w:pPr>
            <w:r>
              <w:t>+</w:t>
            </w:r>
          </w:p>
        </w:tc>
        <w:tc>
          <w:tcPr>
            <w:tcW w:w="1302" w:type="dxa"/>
          </w:tcPr>
          <w:p w14:paraId="1A2EAB56" w14:textId="77777777" w:rsidR="006E48CB" w:rsidRDefault="006E48CB" w:rsidP="00F95B19">
            <w:pPr>
              <w:jc w:val="center"/>
            </w:pPr>
            <w:r>
              <w:t>-</w:t>
            </w:r>
          </w:p>
        </w:tc>
        <w:tc>
          <w:tcPr>
            <w:tcW w:w="1596" w:type="dxa"/>
          </w:tcPr>
          <w:p w14:paraId="0B6FC05C" w14:textId="77777777" w:rsidR="006E48CB" w:rsidRDefault="006E48CB" w:rsidP="00F95B19">
            <w:pPr>
              <w:jc w:val="center"/>
            </w:pPr>
            <w:r>
              <w:t>Existing</w:t>
            </w:r>
          </w:p>
        </w:tc>
      </w:tr>
      <w:tr w:rsidR="006E48CB" w14:paraId="591EC46F" w14:textId="77777777" w:rsidTr="00F95B19">
        <w:tc>
          <w:tcPr>
            <w:tcW w:w="2448" w:type="dxa"/>
          </w:tcPr>
          <w:p w14:paraId="2109CED2" w14:textId="77777777" w:rsidR="006E48CB" w:rsidRDefault="006E48CB" w:rsidP="00F95B19">
            <w:pPr>
              <w:jc w:val="left"/>
            </w:pPr>
            <w:r>
              <w:t>Private contributions for start-up infrastructure</w:t>
            </w:r>
          </w:p>
        </w:tc>
        <w:tc>
          <w:tcPr>
            <w:tcW w:w="1350" w:type="dxa"/>
          </w:tcPr>
          <w:p w14:paraId="105004FD" w14:textId="77777777" w:rsidR="006E48CB" w:rsidRDefault="006E48CB" w:rsidP="00F95B19">
            <w:pPr>
              <w:jc w:val="center"/>
            </w:pPr>
            <w:r>
              <w:t>?</w:t>
            </w:r>
          </w:p>
        </w:tc>
        <w:tc>
          <w:tcPr>
            <w:tcW w:w="1530" w:type="dxa"/>
          </w:tcPr>
          <w:p w14:paraId="68DC2850" w14:textId="77777777" w:rsidR="006E48CB" w:rsidRDefault="006E48CB" w:rsidP="00F95B19">
            <w:pPr>
              <w:jc w:val="center"/>
            </w:pPr>
            <w:r>
              <w:t>++</w:t>
            </w:r>
          </w:p>
        </w:tc>
        <w:tc>
          <w:tcPr>
            <w:tcW w:w="1350" w:type="dxa"/>
          </w:tcPr>
          <w:p w14:paraId="61036D10" w14:textId="77777777" w:rsidR="006E48CB" w:rsidRDefault="006E48CB" w:rsidP="00F95B19">
            <w:pPr>
              <w:jc w:val="center"/>
            </w:pPr>
            <w:r>
              <w:t>+</w:t>
            </w:r>
          </w:p>
        </w:tc>
        <w:tc>
          <w:tcPr>
            <w:tcW w:w="1302" w:type="dxa"/>
          </w:tcPr>
          <w:p w14:paraId="5B7BDD25" w14:textId="77777777" w:rsidR="006E48CB" w:rsidRDefault="006E48CB" w:rsidP="00F95B19">
            <w:pPr>
              <w:jc w:val="center"/>
            </w:pPr>
            <w:r>
              <w:t>0</w:t>
            </w:r>
          </w:p>
        </w:tc>
        <w:tc>
          <w:tcPr>
            <w:tcW w:w="1596" w:type="dxa"/>
          </w:tcPr>
          <w:p w14:paraId="39DFC895" w14:textId="77777777" w:rsidR="006E48CB" w:rsidRDefault="006E48CB" w:rsidP="00F95B19">
            <w:pPr>
              <w:jc w:val="center"/>
            </w:pPr>
            <w:r>
              <w:t>New</w:t>
            </w:r>
          </w:p>
        </w:tc>
      </w:tr>
      <w:tr w:rsidR="006E48CB" w14:paraId="452B32BE" w14:textId="77777777" w:rsidTr="00F95B19">
        <w:tc>
          <w:tcPr>
            <w:tcW w:w="2448" w:type="dxa"/>
          </w:tcPr>
          <w:p w14:paraId="0C62BB08" w14:textId="77777777" w:rsidR="006E48CB" w:rsidRDefault="006E48CB" w:rsidP="00F95B19">
            <w:r>
              <w:t>Corporate Social Responsibility contributions from sectors such as mining, gas, and tourism</w:t>
            </w:r>
          </w:p>
        </w:tc>
        <w:tc>
          <w:tcPr>
            <w:tcW w:w="1350" w:type="dxa"/>
          </w:tcPr>
          <w:p w14:paraId="42ADDA2D" w14:textId="77777777" w:rsidR="006E48CB" w:rsidRDefault="006E48CB" w:rsidP="00F95B19">
            <w:pPr>
              <w:jc w:val="center"/>
            </w:pPr>
            <w:r>
              <w:t>+</w:t>
            </w:r>
          </w:p>
        </w:tc>
        <w:tc>
          <w:tcPr>
            <w:tcW w:w="1530" w:type="dxa"/>
          </w:tcPr>
          <w:p w14:paraId="2297DA00" w14:textId="77777777" w:rsidR="006E48CB" w:rsidRDefault="006E48CB" w:rsidP="00F95B19">
            <w:pPr>
              <w:jc w:val="center"/>
            </w:pPr>
            <w:r>
              <w:t>++</w:t>
            </w:r>
          </w:p>
        </w:tc>
        <w:tc>
          <w:tcPr>
            <w:tcW w:w="1350" w:type="dxa"/>
          </w:tcPr>
          <w:p w14:paraId="3692E9D3" w14:textId="77777777" w:rsidR="006E48CB" w:rsidRDefault="006E48CB" w:rsidP="00F95B19">
            <w:pPr>
              <w:jc w:val="center"/>
            </w:pPr>
            <w:r>
              <w:t>+</w:t>
            </w:r>
          </w:p>
        </w:tc>
        <w:tc>
          <w:tcPr>
            <w:tcW w:w="1302" w:type="dxa"/>
          </w:tcPr>
          <w:p w14:paraId="3D21037E" w14:textId="77777777" w:rsidR="006E48CB" w:rsidRDefault="006E48CB" w:rsidP="00F95B19">
            <w:pPr>
              <w:jc w:val="center"/>
            </w:pPr>
            <w:r>
              <w:t>0</w:t>
            </w:r>
          </w:p>
        </w:tc>
        <w:tc>
          <w:tcPr>
            <w:tcW w:w="1596" w:type="dxa"/>
          </w:tcPr>
          <w:p w14:paraId="368FC952" w14:textId="77777777" w:rsidR="006E48CB" w:rsidRDefault="006E48CB" w:rsidP="00F95B19">
            <w:pPr>
              <w:jc w:val="center"/>
            </w:pPr>
            <w:r>
              <w:t>New</w:t>
            </w:r>
          </w:p>
        </w:tc>
      </w:tr>
      <w:tr w:rsidR="006E48CB" w14:paraId="1DF72787" w14:textId="77777777" w:rsidTr="00F95B19">
        <w:tc>
          <w:tcPr>
            <w:tcW w:w="9576" w:type="dxa"/>
            <w:gridSpan w:val="6"/>
          </w:tcPr>
          <w:p w14:paraId="254688B4" w14:textId="77777777" w:rsidR="006E48CB" w:rsidRPr="00D17BF4" w:rsidRDefault="006E48CB" w:rsidP="00F95B19">
            <w:pPr>
              <w:jc w:val="center"/>
              <w:rPr>
                <w:b/>
              </w:rPr>
            </w:pPr>
            <w:r>
              <w:rPr>
                <w:b/>
              </w:rPr>
              <w:t>Efficiency</w:t>
            </w:r>
          </w:p>
        </w:tc>
      </w:tr>
      <w:tr w:rsidR="006E48CB" w14:paraId="1130E7AD" w14:textId="77777777" w:rsidTr="00F95B19">
        <w:tc>
          <w:tcPr>
            <w:tcW w:w="2448" w:type="dxa"/>
          </w:tcPr>
          <w:p w14:paraId="2DB41A1F" w14:textId="77777777" w:rsidR="006E48CB" w:rsidRDefault="006E48CB" w:rsidP="00F95B19">
            <w:r>
              <w:t>Efficiency gains</w:t>
            </w:r>
          </w:p>
        </w:tc>
        <w:tc>
          <w:tcPr>
            <w:tcW w:w="1350" w:type="dxa"/>
          </w:tcPr>
          <w:p w14:paraId="715AD3F3" w14:textId="77777777" w:rsidR="006E48CB" w:rsidRDefault="006E48CB" w:rsidP="00F95B19">
            <w:pPr>
              <w:jc w:val="center"/>
            </w:pPr>
            <w:r>
              <w:t>++</w:t>
            </w:r>
          </w:p>
        </w:tc>
        <w:tc>
          <w:tcPr>
            <w:tcW w:w="1530" w:type="dxa"/>
          </w:tcPr>
          <w:p w14:paraId="4482166D" w14:textId="77777777" w:rsidR="006E48CB" w:rsidRDefault="006E48CB" w:rsidP="00F95B19">
            <w:pPr>
              <w:jc w:val="center"/>
            </w:pPr>
            <w:r>
              <w:t>0</w:t>
            </w:r>
          </w:p>
        </w:tc>
        <w:tc>
          <w:tcPr>
            <w:tcW w:w="1350" w:type="dxa"/>
          </w:tcPr>
          <w:p w14:paraId="4DA324E5" w14:textId="77777777" w:rsidR="006E48CB" w:rsidRDefault="006E48CB" w:rsidP="00F95B19">
            <w:pPr>
              <w:jc w:val="center"/>
            </w:pPr>
            <w:r>
              <w:t>+</w:t>
            </w:r>
          </w:p>
        </w:tc>
        <w:tc>
          <w:tcPr>
            <w:tcW w:w="1302" w:type="dxa"/>
          </w:tcPr>
          <w:p w14:paraId="06CB421B" w14:textId="77777777" w:rsidR="006E48CB" w:rsidRDefault="006E48CB" w:rsidP="00F95B19">
            <w:pPr>
              <w:jc w:val="center"/>
            </w:pPr>
            <w:r>
              <w:t>+</w:t>
            </w:r>
          </w:p>
        </w:tc>
        <w:tc>
          <w:tcPr>
            <w:tcW w:w="1596" w:type="dxa"/>
          </w:tcPr>
          <w:p w14:paraId="3EB3C247" w14:textId="77777777" w:rsidR="006E48CB" w:rsidRDefault="006E48CB" w:rsidP="00F95B19">
            <w:pPr>
              <w:jc w:val="center"/>
            </w:pPr>
            <w:r>
              <w:t>New</w:t>
            </w:r>
          </w:p>
        </w:tc>
      </w:tr>
    </w:tbl>
    <w:p w14:paraId="1C348F13" w14:textId="170A4186" w:rsidR="006E48CB" w:rsidRDefault="006E48CB" w:rsidP="0099670E">
      <w:pPr>
        <w:tabs>
          <w:tab w:val="left" w:pos="6645"/>
        </w:tabs>
      </w:pPr>
      <w:r>
        <w:lastRenderedPageBreak/>
        <w:t xml:space="preserve"> </w:t>
      </w:r>
      <w:r w:rsidR="0099670E">
        <w:tab/>
      </w:r>
    </w:p>
    <w:p w14:paraId="1842012E" w14:textId="3ECF3711" w:rsidR="007652A5" w:rsidRDefault="006E48CB" w:rsidP="007652A5">
      <w:r>
        <w:t>The qualitative analysis of the potential sources indicates that the political feasibility is highest for increased general government budget allocations, the rechanneling of both public and private insurance contributions, earnings from investments of insurance funds, and efficiency gains. The largest potential sources of funding are the general</w:t>
      </w:r>
      <w:r w:rsidR="004C4C86">
        <w:t xml:space="preserve"> government budget</w:t>
      </w:r>
      <w:r w:rsidR="00993CA7">
        <w:t>,</w:t>
      </w:r>
      <w:r w:rsidR="004C4C86">
        <w:t xml:space="preserve"> the NHIF, NSSF </w:t>
      </w:r>
      <w:r>
        <w:t>insurance</w:t>
      </w:r>
      <w:r w:rsidR="00993CA7">
        <w:t xml:space="preserve"> premium contribution</w:t>
      </w:r>
      <w:r w:rsidR="004C4C86">
        <w:t>s a</w:t>
      </w:r>
      <w:r w:rsidR="00577F24">
        <w:t>nd CHF/</w:t>
      </w:r>
      <w:r w:rsidR="004C4C86">
        <w:t>TIKA contribution</w:t>
      </w:r>
      <w:r>
        <w:t xml:space="preserve"> rechanneling. User co-payments are the only source with a negative equity implication and the expected size of the revenue generated </w:t>
      </w:r>
      <w:r w:rsidR="00993CA7">
        <w:t>from this source</w:t>
      </w:r>
      <w:r>
        <w:t xml:space="preserve"> is small.</w:t>
      </w:r>
    </w:p>
    <w:p w14:paraId="5FA8403A" w14:textId="77777777" w:rsidR="007652A5" w:rsidRDefault="007652A5" w:rsidP="007652A5"/>
    <w:p w14:paraId="79B4F62A" w14:textId="201E4B8B" w:rsidR="006E48CB" w:rsidRPr="00993CA7" w:rsidRDefault="006E48CB" w:rsidP="005252F5">
      <w:pPr>
        <w:rPr>
          <w:highlight w:val="yellow"/>
        </w:rPr>
      </w:pPr>
      <w:r w:rsidRPr="00993CA7">
        <w:rPr>
          <w:highlight w:val="yellow"/>
        </w:rPr>
        <w:t xml:space="preserve">Although their political feasibility is unknown, the following possibilities for earmarked taxes </w:t>
      </w:r>
      <w:r w:rsidR="00993CA7">
        <w:rPr>
          <w:highlight w:val="yellow"/>
        </w:rPr>
        <w:t xml:space="preserve">or levies </w:t>
      </w:r>
      <w:r w:rsidRPr="00993CA7">
        <w:rPr>
          <w:highlight w:val="yellow"/>
        </w:rPr>
        <w:t>were identified:</w:t>
      </w:r>
    </w:p>
    <w:p w14:paraId="2E549B13" w14:textId="0F7E6046" w:rsidR="006E48CB" w:rsidRPr="00993CA7" w:rsidRDefault="006E48CB" w:rsidP="006E48CB">
      <w:pPr>
        <w:pStyle w:val="ListParagraph"/>
        <w:numPr>
          <w:ilvl w:val="0"/>
          <w:numId w:val="14"/>
        </w:numPr>
      </w:pPr>
      <w:r w:rsidRPr="00993CA7">
        <w:t xml:space="preserve">Sin taxes on alcohol </w:t>
      </w:r>
      <w:r w:rsidR="005252F5" w:rsidRPr="00993CA7">
        <w:t>and</w:t>
      </w:r>
      <w:r w:rsidRPr="00993CA7">
        <w:t xml:space="preserve"> tobacco</w:t>
      </w:r>
    </w:p>
    <w:p w14:paraId="3FA72D63" w14:textId="536D3886" w:rsidR="006E48CB" w:rsidRPr="00993CA7" w:rsidRDefault="00993CA7" w:rsidP="006E48CB">
      <w:pPr>
        <w:pStyle w:val="ListParagraph"/>
        <w:numPr>
          <w:ilvl w:val="0"/>
          <w:numId w:val="14"/>
        </w:numPr>
      </w:pPr>
      <w:r>
        <w:t>Mobile c</w:t>
      </w:r>
      <w:r w:rsidRPr="00993CA7">
        <w:t>ommunication</w:t>
      </w:r>
      <w:r w:rsidR="005252F5" w:rsidRPr="00993CA7">
        <w:t>/ airtime</w:t>
      </w:r>
      <w:r w:rsidR="006E48CB" w:rsidRPr="00993CA7">
        <w:t xml:space="preserve"> levy</w:t>
      </w:r>
    </w:p>
    <w:p w14:paraId="31A01B07" w14:textId="2E8058C6" w:rsidR="005252F5" w:rsidRPr="00993CA7" w:rsidRDefault="00993CA7" w:rsidP="006E48CB">
      <w:pPr>
        <w:pStyle w:val="ListParagraph"/>
        <w:numPr>
          <w:ilvl w:val="0"/>
          <w:numId w:val="14"/>
        </w:numPr>
      </w:pPr>
      <w:r>
        <w:t>Surplus of public corporations</w:t>
      </w:r>
    </w:p>
    <w:p w14:paraId="49F11251" w14:textId="77777777" w:rsidR="0093570B" w:rsidRDefault="0093570B" w:rsidP="0093570B"/>
    <w:p w14:paraId="4058993F" w14:textId="77777777" w:rsidR="0093570B" w:rsidRDefault="006913FA" w:rsidP="0093570B">
      <w:r w:rsidRPr="0093570B">
        <w:t>A lot of countries decide to raise these additional levies, for example,</w:t>
      </w:r>
      <w:r w:rsidR="0093570B">
        <w:t xml:space="preserve"> </w:t>
      </w:r>
      <w:r w:rsidRPr="00993CA7">
        <w:rPr>
          <w:b/>
        </w:rPr>
        <w:t>sin tax on alcohol and cigarettes</w:t>
      </w:r>
      <w:r>
        <w:t xml:space="preserve"> were levied in the Philippines of which 85% went to the health sector, earmarked specifically to promote universal health care access by supporting the national health insurance system (PhilHealth). The health budget was thus increased by USD 657</w:t>
      </w:r>
      <w:r w:rsidR="0093570B">
        <w:t xml:space="preserve"> million</w:t>
      </w:r>
      <w:r>
        <w:t xml:space="preserve"> from USD 1.2</w:t>
      </w:r>
      <w:r w:rsidR="0093570B">
        <w:t xml:space="preserve"> billion</w:t>
      </w:r>
      <w:r>
        <w:t xml:space="preserve"> to USD 1.9</w:t>
      </w:r>
      <w:r w:rsidR="0093570B">
        <w:t xml:space="preserve"> billion</w:t>
      </w:r>
      <w:r>
        <w:t xml:space="preserve"> of which USD 793</w:t>
      </w:r>
      <w:r w:rsidR="0093570B">
        <w:t xml:space="preserve"> million</w:t>
      </w:r>
      <w:r>
        <w:t xml:space="preserve"> were used to pay PhilHealth premiums. It was estimated to generate USD 6</w:t>
      </w:r>
      <w:r w:rsidR="0093570B">
        <w:t xml:space="preserve"> billion</w:t>
      </w:r>
      <w:r>
        <w:t xml:space="preserve"> over 5 years and thus lower OOP health expenditures. </w:t>
      </w:r>
    </w:p>
    <w:p w14:paraId="58F33B06" w14:textId="77777777" w:rsidR="0093570B" w:rsidRDefault="0093570B" w:rsidP="0093570B"/>
    <w:p w14:paraId="7A6A925C" w14:textId="21FBEE57" w:rsidR="0093570B" w:rsidRPr="0093570B" w:rsidRDefault="006913FA" w:rsidP="0093570B">
      <w:r>
        <w:t>The Republic of Korea National Health Promotion Act (1995) foresaw its National Health Promotion Fund to be funded by dedicated tax of USD 0.15 per pack (as of 2005).</w:t>
      </w:r>
      <w:r w:rsidRPr="00FE1282">
        <w:t xml:space="preserve"> </w:t>
      </w:r>
      <w:r>
        <w:t>33% of funds support health promotion activities this way (health education and anti-smoking campaigns), the remainder is allocated to the National Health Insurance Corporation (NHIC) and to administrative costs.</w:t>
      </w:r>
      <w:r w:rsidRPr="0093570B">
        <w:rPr>
          <w:rFonts w:cs="Lucida Grande"/>
          <w:color w:val="333333"/>
          <w:shd w:val="clear" w:color="auto" w:fill="FFFFFF"/>
        </w:rPr>
        <w:t xml:space="preserve"> </w:t>
      </w:r>
    </w:p>
    <w:p w14:paraId="24DF2D50" w14:textId="77777777" w:rsidR="0093570B" w:rsidRDefault="0093570B" w:rsidP="0093570B">
      <w:pPr>
        <w:rPr>
          <w:rFonts w:cs="Lucida Grande"/>
          <w:color w:val="333333"/>
          <w:shd w:val="clear" w:color="auto" w:fill="FFFFFF"/>
        </w:rPr>
      </w:pPr>
    </w:p>
    <w:p w14:paraId="7847CDF4" w14:textId="63DCD02E" w:rsidR="0093570B" w:rsidRDefault="006913FA" w:rsidP="0093570B">
      <w:pPr>
        <w:rPr>
          <w:rFonts w:cs="Lucida Grande"/>
          <w:color w:val="333333"/>
          <w:shd w:val="clear" w:color="auto" w:fill="FFFFFF"/>
        </w:rPr>
      </w:pPr>
      <w:r w:rsidRPr="0093570B">
        <w:rPr>
          <w:rFonts w:cs="Lucida Grande"/>
          <w:color w:val="333333"/>
          <w:shd w:val="clear" w:color="auto" w:fill="FFFFFF"/>
        </w:rPr>
        <w:t>Nepal implemented special earmarked taxes for health in 1993</w:t>
      </w:r>
      <w:r w:rsidR="0093570B">
        <w:rPr>
          <w:rFonts w:cs="Lucida Grande"/>
          <w:color w:val="333333"/>
          <w:shd w:val="clear" w:color="auto" w:fill="FFFFFF"/>
        </w:rPr>
        <w:t xml:space="preserve"> </w:t>
      </w:r>
      <w:r w:rsidR="0093570B" w:rsidRPr="0093570B">
        <w:rPr>
          <w:rFonts w:cs="Lucida Grande"/>
          <w:color w:val="333333"/>
          <w:shd w:val="clear" w:color="auto" w:fill="FFFFFF"/>
        </w:rPr>
        <w:t>(</w:t>
      </w:r>
      <w:r w:rsidR="0093570B">
        <w:t>25% of excise tax must be allocated to a health tax fund used for cancer treatment, tobacco control and health education)</w:t>
      </w:r>
      <w:r w:rsidRPr="0093570B">
        <w:rPr>
          <w:rFonts w:cs="Lucida Grande"/>
          <w:color w:val="333333"/>
          <w:shd w:val="clear" w:color="auto" w:fill="FFFFFF"/>
        </w:rPr>
        <w:t>, but due to experience</w:t>
      </w:r>
      <w:r w:rsidR="0093570B">
        <w:rPr>
          <w:rFonts w:cs="Lucida Grande"/>
          <w:color w:val="333333"/>
          <w:shd w:val="clear" w:color="auto" w:fill="FFFFFF"/>
        </w:rPr>
        <w:t xml:space="preserve"> of</w:t>
      </w:r>
      <w:r w:rsidRPr="0093570B">
        <w:rPr>
          <w:rFonts w:cs="Lucida Grande"/>
          <w:color w:val="333333"/>
          <w:shd w:val="clear" w:color="auto" w:fill="FFFFFF"/>
        </w:rPr>
        <w:t xml:space="preserve"> administrative difficulties in handling the earmark</w:t>
      </w:r>
      <w:r w:rsidR="0093570B">
        <w:rPr>
          <w:rFonts w:cs="Lucida Grande"/>
          <w:color w:val="333333"/>
          <w:shd w:val="clear" w:color="auto" w:fill="FFFFFF"/>
        </w:rPr>
        <w:t>,</w:t>
      </w:r>
      <w:r w:rsidRPr="0093570B">
        <w:rPr>
          <w:rFonts w:cs="Lucida Grande"/>
          <w:color w:val="333333"/>
          <w:shd w:val="clear" w:color="auto" w:fill="FFFFFF"/>
        </w:rPr>
        <w:t xml:space="preserve"> incorporated it into excise tax in 2003.</w:t>
      </w:r>
    </w:p>
    <w:p w14:paraId="292B5957" w14:textId="77777777" w:rsidR="0093570B" w:rsidRPr="0093570B" w:rsidRDefault="0093570B" w:rsidP="0093570B">
      <w:pPr>
        <w:rPr>
          <w:rFonts w:cs="Lucida Grande"/>
          <w:color w:val="333333"/>
          <w:shd w:val="clear" w:color="auto" w:fill="FFFFFF"/>
        </w:rPr>
      </w:pPr>
    </w:p>
    <w:p w14:paraId="0586C2EB" w14:textId="680FADE2" w:rsidR="006913FA" w:rsidRPr="0093570B" w:rsidRDefault="006913FA" w:rsidP="0093570B">
      <w:pPr>
        <w:rPr>
          <w:rFonts w:cs="Lucida Grande"/>
          <w:color w:val="333333"/>
          <w:shd w:val="clear" w:color="auto" w:fill="FFFFFF"/>
        </w:rPr>
      </w:pPr>
      <w:r>
        <w:rPr>
          <w:rFonts w:cs="Lucida Grande"/>
          <w:color w:val="333333"/>
          <w:shd w:val="clear" w:color="auto" w:fill="FFFFFF"/>
        </w:rPr>
        <w:t xml:space="preserve">Ghana implemented a </w:t>
      </w:r>
      <w:r>
        <w:t xml:space="preserve">2.5% of </w:t>
      </w:r>
      <w:r w:rsidRPr="00993CA7">
        <w:rPr>
          <w:b/>
        </w:rPr>
        <w:t>VAT</w:t>
      </w:r>
      <w:r>
        <w:t xml:space="preserve"> contributions</w:t>
      </w:r>
      <w:r>
        <w:rPr>
          <w:rFonts w:cs="Lucida Grande"/>
          <w:color w:val="333333"/>
          <w:shd w:val="clear" w:color="auto" w:fill="FFFFFF"/>
        </w:rPr>
        <w:t xml:space="preserve"> go into National Health Insurance which in 2009 accounted for 60% funding of the NHI</w:t>
      </w:r>
      <w:r w:rsidR="001624E2">
        <w:rPr>
          <w:rFonts w:cs="Lucida Grande"/>
          <w:color w:val="333333"/>
          <w:shd w:val="clear" w:color="auto" w:fill="FFFFFF"/>
        </w:rPr>
        <w:t>A</w:t>
      </w:r>
      <w:r>
        <w:rPr>
          <w:rFonts w:cs="Lucida Grande"/>
          <w:color w:val="333333"/>
          <w:shd w:val="clear" w:color="auto" w:fill="FFFFFF"/>
        </w:rPr>
        <w:t xml:space="preserve">. Here the </w:t>
      </w:r>
      <w:r w:rsidR="001624E2">
        <w:rPr>
          <w:rFonts w:cs="Lucida Grande"/>
          <w:color w:val="333333"/>
          <w:shd w:val="clear" w:color="auto" w:fill="FFFFFF"/>
        </w:rPr>
        <w:t>advantages</w:t>
      </w:r>
      <w:r>
        <w:rPr>
          <w:rFonts w:cs="Lucida Grande"/>
          <w:color w:val="333333"/>
          <w:shd w:val="clear" w:color="auto" w:fill="FFFFFF"/>
        </w:rPr>
        <w:t xml:space="preserve"> are that</w:t>
      </w:r>
      <w:r w:rsidRPr="00680C17">
        <w:t xml:space="preserve"> </w:t>
      </w:r>
      <w:r w:rsidR="001624E2">
        <w:t>f</w:t>
      </w:r>
      <w:r>
        <w:t xml:space="preserve">unds </w:t>
      </w:r>
      <w:r w:rsidR="001624E2">
        <w:t xml:space="preserve">are </w:t>
      </w:r>
      <w:r>
        <w:t xml:space="preserve">expected to grow as formal labor market expands and </w:t>
      </w:r>
      <w:r w:rsidR="001624E2">
        <w:t>as effect r</w:t>
      </w:r>
      <w:r>
        <w:t xml:space="preserve">educes the </w:t>
      </w:r>
      <w:r w:rsidR="001624E2">
        <w:t>size</w:t>
      </w:r>
      <w:r>
        <w:t xml:space="preserve"> </w:t>
      </w:r>
      <w:r w:rsidR="001624E2">
        <w:t>of</w:t>
      </w:r>
      <w:r>
        <w:t xml:space="preserve"> premium payments from enrollees. On the other hand it has to be noted that </w:t>
      </w:r>
      <w:r w:rsidR="001624E2">
        <w:t>e</w:t>
      </w:r>
      <w:r>
        <w:t xml:space="preserve">ven with the VAT funds the NHIA faces financial sustainability challenges.  Ghana also introduced a </w:t>
      </w:r>
      <w:r w:rsidRPr="00993CA7">
        <w:rPr>
          <w:b/>
        </w:rPr>
        <w:t>communication services tax</w:t>
      </w:r>
      <w:r>
        <w:t xml:space="preserve"> in 2008 consisting of a </w:t>
      </w:r>
      <w:r w:rsidR="001624E2">
        <w:t xml:space="preserve">2.5% National Health Insurance </w:t>
      </w:r>
      <w:r w:rsidR="001624E2">
        <w:lastRenderedPageBreak/>
        <w:t>l</w:t>
      </w:r>
      <w:r>
        <w:t xml:space="preserve">evy on mobile phones which was later replaced with a tax on airtime, texting, data, (e.g. USD 0.01 per minute of talk time) to address tax evasion on mobile phone imports.  The funds were earmarked to youth unemployment and demonstrated revenue generation potential of a small levy on high frequency transactions.  </w:t>
      </w:r>
      <w:r w:rsidR="001624E2">
        <w:t xml:space="preserve">However, this was </w:t>
      </w:r>
      <w:r w:rsidR="0093570B">
        <w:t>c</w:t>
      </w:r>
      <w:r>
        <w:t>onsidered by observers a politically expedient method for increasing tax revenue</w:t>
      </w:r>
      <w:r w:rsidR="001624E2">
        <w:t>.</w:t>
      </w:r>
    </w:p>
    <w:p w14:paraId="137A4619" w14:textId="54DFEF8B" w:rsidR="00BE3C12" w:rsidRPr="00D17BF4" w:rsidRDefault="00BE3C12" w:rsidP="00BE3C12">
      <w:pPr>
        <w:pStyle w:val="Heading4"/>
        <w:numPr>
          <w:ilvl w:val="0"/>
          <w:numId w:val="0"/>
        </w:numPr>
        <w:ind w:left="864" w:hanging="864"/>
      </w:pPr>
      <w:r>
        <w:t>Increase public revenue</w:t>
      </w:r>
    </w:p>
    <w:p w14:paraId="7E998E4D" w14:textId="2B83B6FC" w:rsidR="006E48CB" w:rsidRPr="00943A7F" w:rsidRDefault="006E48CB" w:rsidP="006E48CB">
      <w:pPr>
        <w:rPr>
          <w:rFonts w:cs="Arial"/>
          <w:szCs w:val="24"/>
        </w:rPr>
      </w:pPr>
      <w:r w:rsidRPr="00943A7F">
        <w:t>The government commit</w:t>
      </w:r>
      <w:r>
        <w:t>ment of</w:t>
      </w:r>
      <w:r w:rsidRPr="00943A7F">
        <w:t xml:space="preserve"> more domestic resources </w:t>
      </w:r>
      <w:r>
        <w:t xml:space="preserve">will help to </w:t>
      </w:r>
      <w:r w:rsidRPr="00943A7F">
        <w:t xml:space="preserve">meet health services delivery needs among a growing population in a sustainable manner.  </w:t>
      </w:r>
      <w:r>
        <w:rPr>
          <w:rFonts w:cs="Arial"/>
          <w:szCs w:val="24"/>
        </w:rPr>
        <w:t>The cost of health services is rising and can be expected to continue to rise</w:t>
      </w:r>
      <w:r w:rsidRPr="00943A7F">
        <w:rPr>
          <w:rFonts w:cs="Arial"/>
          <w:szCs w:val="24"/>
        </w:rPr>
        <w:t xml:space="preserve"> due to increased population, rising costs, and the double burden of communicable and non-communicable diseases, among other factors. </w:t>
      </w:r>
      <w:r w:rsidR="00E463DA">
        <w:rPr>
          <w:rFonts w:cs="Arial"/>
          <w:szCs w:val="24"/>
        </w:rPr>
        <w:t>T</w:t>
      </w:r>
      <w:r>
        <w:rPr>
          <w:rFonts w:cs="Arial"/>
          <w:szCs w:val="24"/>
        </w:rPr>
        <w:t xml:space="preserve">he SNHI will ensure that all Tanzanians have access to at least </w:t>
      </w:r>
      <w:r w:rsidR="00A119E5">
        <w:rPr>
          <w:rFonts w:cs="Arial"/>
          <w:szCs w:val="24"/>
        </w:rPr>
        <w:t>the standard MBP</w:t>
      </w:r>
      <w:r>
        <w:rPr>
          <w:rFonts w:cs="Arial"/>
          <w:szCs w:val="24"/>
        </w:rPr>
        <w:t xml:space="preserve"> that now is not the case, so the cost of reaching that objective is higher than current spending. The SNHI will put in place mechanisms to ensure greater equity of access to health services, increased efficiency in the use of health resources, and increase the productive capacity of the population (human capital) by reducing lost labor and schooling time. The cumulative effect will be to obtain greater value for the money allocated to health. </w:t>
      </w:r>
      <w:r w:rsidRPr="00943A7F">
        <w:rPr>
          <w:rFonts w:cs="Arial"/>
          <w:szCs w:val="24"/>
        </w:rPr>
        <w:t>The health sector</w:t>
      </w:r>
      <w:r>
        <w:rPr>
          <w:rFonts w:cs="Arial"/>
          <w:szCs w:val="24"/>
        </w:rPr>
        <w:t>, like other sectors,</w:t>
      </w:r>
      <w:r w:rsidRPr="00943A7F">
        <w:rPr>
          <w:rFonts w:cs="Arial"/>
          <w:szCs w:val="24"/>
        </w:rPr>
        <w:t xml:space="preserve"> expect</w:t>
      </w:r>
      <w:r>
        <w:rPr>
          <w:rFonts w:cs="Arial"/>
          <w:szCs w:val="24"/>
        </w:rPr>
        <w:t>s</w:t>
      </w:r>
      <w:r w:rsidRPr="00943A7F">
        <w:rPr>
          <w:rFonts w:cs="Arial"/>
          <w:szCs w:val="24"/>
        </w:rPr>
        <w:t xml:space="preserve"> to benefit from </w:t>
      </w:r>
      <w:r w:rsidR="003C4EE9">
        <w:rPr>
          <w:rFonts w:cs="Arial"/>
          <w:szCs w:val="24"/>
        </w:rPr>
        <w:t xml:space="preserve">current </w:t>
      </w:r>
      <w:r w:rsidR="00EA69E3">
        <w:rPr>
          <w:rFonts w:cs="Arial"/>
          <w:szCs w:val="24"/>
        </w:rPr>
        <w:t xml:space="preserve">economic growth and </w:t>
      </w:r>
      <w:r w:rsidRPr="00943A7F">
        <w:rPr>
          <w:rFonts w:cs="Arial"/>
          <w:szCs w:val="24"/>
        </w:rPr>
        <w:t>ongoing reforms to strengthen the efficiency of the tax administration system</w:t>
      </w:r>
      <w:r>
        <w:rPr>
          <w:rFonts w:cs="Arial"/>
          <w:szCs w:val="24"/>
        </w:rPr>
        <w:t xml:space="preserve"> that will expand overall government resources</w:t>
      </w:r>
      <w:r w:rsidRPr="00943A7F">
        <w:rPr>
          <w:rFonts w:cs="Arial"/>
          <w:szCs w:val="24"/>
        </w:rPr>
        <w:t>.</w:t>
      </w:r>
    </w:p>
    <w:p w14:paraId="4AF4D1B8" w14:textId="77777777" w:rsidR="006E48CB" w:rsidRPr="00943A7F" w:rsidRDefault="006E48CB" w:rsidP="006E48CB">
      <w:pPr>
        <w:rPr>
          <w:rFonts w:cs="Arial"/>
          <w:szCs w:val="24"/>
        </w:rPr>
      </w:pPr>
    </w:p>
    <w:p w14:paraId="2D1E5D81" w14:textId="77777777" w:rsidR="006E48CB" w:rsidRPr="00943A7F" w:rsidRDefault="006E48CB" w:rsidP="006E48CB">
      <w:r w:rsidRPr="00943A7F">
        <w:t xml:space="preserve">While not mobilizing new resources, </w:t>
      </w:r>
      <w:r>
        <w:t>the need for revenue can be decreased</w:t>
      </w:r>
      <w:r w:rsidRPr="00943A7F">
        <w:t xml:space="preserve"> through </w:t>
      </w:r>
      <w:r w:rsidRPr="00943A7F">
        <w:rPr>
          <w:b/>
        </w:rPr>
        <w:t xml:space="preserve">efficiency gains </w:t>
      </w:r>
      <w:r w:rsidRPr="00943A7F">
        <w:t>including but not limited to the following:</w:t>
      </w:r>
    </w:p>
    <w:p w14:paraId="00F5F9A8" w14:textId="7FB04286" w:rsidR="006E48CB" w:rsidRPr="00943A7F" w:rsidRDefault="00C35472" w:rsidP="006E48CB">
      <w:pPr>
        <w:numPr>
          <w:ilvl w:val="0"/>
          <w:numId w:val="1"/>
        </w:numPr>
        <w:contextualSpacing/>
      </w:pPr>
      <w:r>
        <w:t>Better targeted</w:t>
      </w:r>
      <w:r w:rsidRPr="00943A7F">
        <w:t xml:space="preserve"> </w:t>
      </w:r>
      <w:r w:rsidR="006E48CB" w:rsidRPr="00943A7F">
        <w:t>health care</w:t>
      </w:r>
      <w:r>
        <w:t xml:space="preserve"> services</w:t>
      </w:r>
      <w:r w:rsidR="006E48CB" w:rsidRPr="00943A7F">
        <w:t>, effective gate-keeping mechanisms, enforcement of referral mechanisms, and other priority service delivery improvements</w:t>
      </w:r>
    </w:p>
    <w:p w14:paraId="777742B2" w14:textId="6D822593" w:rsidR="006E48CB" w:rsidRPr="00943A7F" w:rsidRDefault="006E48CB" w:rsidP="006E48CB">
      <w:pPr>
        <w:numPr>
          <w:ilvl w:val="0"/>
          <w:numId w:val="1"/>
        </w:numPr>
        <w:contextualSpacing/>
      </w:pPr>
      <w:r w:rsidRPr="00943A7F">
        <w:t>Improved human resource distribution (MTR report 2013) and management</w:t>
      </w:r>
    </w:p>
    <w:p w14:paraId="3546AE5D" w14:textId="77777777" w:rsidR="006E48CB" w:rsidRPr="00943A7F" w:rsidRDefault="006E48CB" w:rsidP="006E48CB">
      <w:pPr>
        <w:numPr>
          <w:ilvl w:val="0"/>
          <w:numId w:val="1"/>
        </w:numPr>
        <w:contextualSpacing/>
      </w:pPr>
      <w:r w:rsidRPr="00943A7F">
        <w:t>Productivity gains from a variety of mechanisms (e.g. RBF)</w:t>
      </w:r>
    </w:p>
    <w:p w14:paraId="739BE2D9" w14:textId="55AF80BF" w:rsidR="006E48CB" w:rsidRPr="00943A7F" w:rsidRDefault="006E48CB" w:rsidP="006E48CB">
      <w:pPr>
        <w:numPr>
          <w:ilvl w:val="0"/>
          <w:numId w:val="1"/>
        </w:numPr>
        <w:contextualSpacing/>
      </w:pPr>
      <w:r w:rsidRPr="00943A7F">
        <w:t>Implementation of effective and harmonized data management systems (especially related to resources management)</w:t>
      </w:r>
    </w:p>
    <w:p w14:paraId="3E5AA075" w14:textId="77777777" w:rsidR="006E48CB" w:rsidRPr="00943A7F" w:rsidRDefault="006E48CB" w:rsidP="006E48CB">
      <w:pPr>
        <w:numPr>
          <w:ilvl w:val="0"/>
          <w:numId w:val="1"/>
        </w:numPr>
        <w:contextualSpacing/>
      </w:pPr>
      <w:r w:rsidRPr="00943A7F">
        <w:t>Lower administrative costs and other efficiency increases especially related to fixed costs and infrastructure</w:t>
      </w:r>
    </w:p>
    <w:p w14:paraId="35CA8B7C" w14:textId="77777777" w:rsidR="006E48CB" w:rsidRPr="00943A7F" w:rsidRDefault="006E48CB" w:rsidP="006E48CB">
      <w:pPr>
        <w:numPr>
          <w:ilvl w:val="0"/>
          <w:numId w:val="1"/>
        </w:numPr>
        <w:contextualSpacing/>
      </w:pPr>
      <w:r w:rsidRPr="00943A7F">
        <w:t>Enhancing public financial management (PFM) including ensure that full health allocations are spent and per capita allocations of resources across LGAs are improved, improve transfer of funds from central to district level, improve the disbursement of funds by eliminating complicating disbursement procedures, and clarify who is accountable at all levels.</w:t>
      </w:r>
    </w:p>
    <w:p w14:paraId="60643387" w14:textId="412F4868" w:rsidR="00C35472" w:rsidRDefault="006E48CB" w:rsidP="00654816">
      <w:pPr>
        <w:numPr>
          <w:ilvl w:val="0"/>
          <w:numId w:val="1"/>
        </w:numPr>
        <w:contextualSpacing/>
        <w:jc w:val="left"/>
      </w:pPr>
      <w:r w:rsidRPr="00943A7F">
        <w:t>Increased external aid coordination (e.g. resource tracking, bringing DP funding increasingly on budget)</w:t>
      </w:r>
      <w:r w:rsidR="00C35472">
        <w:t>.</w:t>
      </w:r>
      <w:r w:rsidR="00C35472">
        <w:br/>
      </w:r>
    </w:p>
    <w:p w14:paraId="3655EBDD" w14:textId="1D76C8D4" w:rsidR="006E48CB" w:rsidRDefault="00C35472" w:rsidP="004F787C">
      <w:pPr>
        <w:contextualSpacing/>
      </w:pPr>
      <w:r>
        <w:lastRenderedPageBreak/>
        <w:t>The OPM Fiscal Space Study analysis of 2013 suggests that if Tanzania puts emphasis on improving efficiency to 82% of international standard in its county peer group by 2015, it could close the fiscal gap in the health sector by 10%.</w:t>
      </w:r>
    </w:p>
    <w:p w14:paraId="3958D2C2" w14:textId="490A4854" w:rsidR="00BE3C12" w:rsidRPr="00D17BF4" w:rsidRDefault="00BE3C12" w:rsidP="00BE3C12">
      <w:pPr>
        <w:pStyle w:val="Heading4"/>
        <w:numPr>
          <w:ilvl w:val="0"/>
          <w:numId w:val="0"/>
        </w:numPr>
        <w:ind w:left="864" w:hanging="864"/>
      </w:pPr>
      <w:r>
        <w:t xml:space="preserve">Private health insurance and </w:t>
      </w:r>
      <w:r w:rsidR="002D49C8">
        <w:t xml:space="preserve">strategic </w:t>
      </w:r>
      <w:r>
        <w:t>public-private partnerships</w:t>
      </w:r>
    </w:p>
    <w:p w14:paraId="2A859044" w14:textId="77777777" w:rsidR="002D49C8" w:rsidRDefault="00BE3C12" w:rsidP="00BE3C12">
      <w:pPr>
        <w:contextualSpacing/>
      </w:pPr>
      <w:r>
        <w:t>The strategy envisions enabling and facilitating private healt</w:t>
      </w:r>
      <w:r w:rsidR="002D49C8">
        <w:t>h insurance development to fund benefits outside of the standard MBP.  In addition, strategic public-private partners will be initiated or expanded.  Exemplary public-private partnerships include but are not limited to the following:</w:t>
      </w:r>
    </w:p>
    <w:p w14:paraId="2D077FE7" w14:textId="3DB05B59" w:rsidR="002D49C8" w:rsidRPr="00022114" w:rsidRDefault="002D49C8" w:rsidP="002D49C8">
      <w:pPr>
        <w:pStyle w:val="ListParagraph"/>
        <w:numPr>
          <w:ilvl w:val="0"/>
          <w:numId w:val="17"/>
        </w:numPr>
      </w:pPr>
      <w:r w:rsidRPr="00022114">
        <w:t xml:space="preserve">Fostering strategic </w:t>
      </w:r>
      <w:r>
        <w:t>public-private partnerships</w:t>
      </w:r>
      <w:r w:rsidRPr="00022114">
        <w:t xml:space="preserve"> in areas such as sharing of diagnostic equipment, supporting tuition fees for prospective students, use of digital and mobile technology, media and communications, and contracting of non-clinical services.</w:t>
      </w:r>
    </w:p>
    <w:p w14:paraId="49DEE82F" w14:textId="60B007C3" w:rsidR="002D49C8" w:rsidRPr="00022114" w:rsidRDefault="002D49C8" w:rsidP="002D49C8">
      <w:pPr>
        <w:pStyle w:val="ListParagraph"/>
        <w:numPr>
          <w:ilvl w:val="0"/>
          <w:numId w:val="17"/>
        </w:numPr>
      </w:pPr>
      <w:r w:rsidRPr="00022114">
        <w:t>Fostering collaboration across public and private provid</w:t>
      </w:r>
      <w:r w:rsidR="00A119E5">
        <w:t>ers to improve sk</w:t>
      </w:r>
      <w:r w:rsidRPr="00022114">
        <w:t>ills, technology, and knowledge</w:t>
      </w:r>
    </w:p>
    <w:p w14:paraId="0F9372EA" w14:textId="234FBC86" w:rsidR="002D49C8" w:rsidRPr="00022114" w:rsidRDefault="002D49C8" w:rsidP="002D49C8">
      <w:pPr>
        <w:pStyle w:val="ListParagraph"/>
        <w:numPr>
          <w:ilvl w:val="0"/>
          <w:numId w:val="17"/>
        </w:numPr>
      </w:pPr>
      <w:r w:rsidRPr="00022114">
        <w:t>Private role in training HRH</w:t>
      </w:r>
    </w:p>
    <w:p w14:paraId="37B96E9F" w14:textId="2DAC1132" w:rsidR="002D49C8" w:rsidRPr="00022114" w:rsidRDefault="002D49C8" w:rsidP="002D49C8">
      <w:pPr>
        <w:pStyle w:val="ListParagraph"/>
        <w:numPr>
          <w:ilvl w:val="0"/>
          <w:numId w:val="17"/>
        </w:numPr>
      </w:pPr>
      <w:r w:rsidRPr="00022114">
        <w:t>Possible role of private pharmaceutical wholesalers as an alternative or competitor to MS</w:t>
      </w:r>
      <w:r w:rsidR="00BF235F">
        <w:t>D</w:t>
      </w:r>
      <w:r w:rsidRPr="00022114">
        <w:t xml:space="preserve"> to address the issue of drug and supply </w:t>
      </w:r>
      <w:r>
        <w:t>availability</w:t>
      </w:r>
      <w:r w:rsidRPr="00022114">
        <w:t xml:space="preserve"> that is an important source of consumer dissatisfaction.</w:t>
      </w:r>
      <w:r>
        <w:t xml:space="preserve">  Also leveling the playing field by addressing questions such as </w:t>
      </w:r>
      <w:r w:rsidRPr="00022114">
        <w:t>whether private providers should/could have access to the lower prices for pharmaceuticals purchased by MS</w:t>
      </w:r>
      <w:r w:rsidR="00BF235F">
        <w:t>D</w:t>
      </w:r>
      <w:r w:rsidRPr="00022114">
        <w:t xml:space="preserve"> to help the providers keep their costs down.</w:t>
      </w:r>
    </w:p>
    <w:p w14:paraId="5FD5AE50" w14:textId="69DF3B36" w:rsidR="002D49C8" w:rsidRDefault="002D49C8" w:rsidP="002D49C8">
      <w:pPr>
        <w:pStyle w:val="ListParagraph"/>
        <w:numPr>
          <w:ilvl w:val="0"/>
          <w:numId w:val="17"/>
        </w:numPr>
      </w:pPr>
      <w:r w:rsidRPr="00022114">
        <w:t xml:space="preserve">How to stimulate greater participation of the banking sector in health through the provision of credit for: (1) students looking to </w:t>
      </w:r>
      <w:r>
        <w:t xml:space="preserve">fund their training to </w:t>
      </w:r>
      <w:r w:rsidRPr="00022114">
        <w:t xml:space="preserve">become HRH, (2) providers of services looking to establish or expand services, or (3) those looking to establish new or expand existing pre-service training institutions for HRH. </w:t>
      </w:r>
    </w:p>
    <w:p w14:paraId="02567AA8" w14:textId="77777777" w:rsidR="00DD32A2" w:rsidRPr="00022114" w:rsidRDefault="00DD32A2" w:rsidP="00DD32A2">
      <w:pPr>
        <w:pStyle w:val="ListParagraph"/>
        <w:ind w:left="787"/>
      </w:pPr>
    </w:p>
    <w:p w14:paraId="5934B06B" w14:textId="4A14D581" w:rsidR="004F5959" w:rsidRDefault="004F5959" w:rsidP="00DD32A2">
      <w:pPr>
        <w:pStyle w:val="Heading3"/>
        <w:numPr>
          <w:ilvl w:val="0"/>
          <w:numId w:val="0"/>
        </w:numPr>
        <w:spacing w:before="0" w:after="0"/>
        <w:ind w:left="720"/>
      </w:pPr>
      <w:bookmarkStart w:id="34" w:name="_Toc411949939"/>
      <w:r w:rsidRPr="00C65DDD">
        <w:t xml:space="preserve">Strategy </w:t>
      </w:r>
      <w:r>
        <w:t>4</w:t>
      </w:r>
      <w:r w:rsidRPr="00C65DDD">
        <w:t xml:space="preserve">: </w:t>
      </w:r>
      <w:r w:rsidR="00D56CAF">
        <w:t>Make Health Insurance Mandatory to All</w:t>
      </w:r>
      <w:bookmarkEnd w:id="34"/>
    </w:p>
    <w:p w14:paraId="20410A1E" w14:textId="77777777" w:rsidR="00DD32A2" w:rsidRPr="00DD32A2" w:rsidRDefault="00DD32A2" w:rsidP="00DD32A2"/>
    <w:p w14:paraId="47E31D16" w14:textId="600BAE57" w:rsidR="002B1AD5" w:rsidRPr="00E159AB" w:rsidRDefault="00594CAE" w:rsidP="002B1AD5">
      <w:r w:rsidRPr="00E159AB">
        <w:t>“</w:t>
      </w:r>
      <w:r w:rsidR="00BA755E" w:rsidRPr="00E159AB">
        <w:t xml:space="preserve">Reducing the reliance on direct, out-of-pocket payments will lower the financial barriers to access and reduce the impoverishing impact of health payments. </w:t>
      </w:r>
      <w:r w:rsidRPr="00E159AB">
        <w:t>…….Countries which have made the most progress on access and financial protection objectives have implemented successfully mandated contributions for people who can afford to pay through taxation, and/or compulsory earmarked contributions for health insurance” (WHO-Health Financing for UHC, 2014)</w:t>
      </w:r>
    </w:p>
    <w:p w14:paraId="3B2C36D1" w14:textId="7621E545" w:rsidR="004F2AB5" w:rsidRPr="00C355DF" w:rsidRDefault="004F2AB5" w:rsidP="004F2AB5">
      <w:pPr>
        <w:pStyle w:val="Heading4"/>
        <w:numPr>
          <w:ilvl w:val="0"/>
          <w:numId w:val="0"/>
        </w:numPr>
        <w:ind w:left="864" w:hanging="864"/>
      </w:pPr>
      <w:r w:rsidRPr="00C355DF">
        <w:t>Strategic interventio</w:t>
      </w:r>
      <w:r w:rsidR="0099670E">
        <w:t>n: enroll every Tanzanian r</w:t>
      </w:r>
      <w:r>
        <w:t>esident into the SNHI</w:t>
      </w:r>
    </w:p>
    <w:p w14:paraId="6E6B6F22" w14:textId="1CE8EA2F" w:rsidR="0063392A" w:rsidRDefault="00F07ECC" w:rsidP="00545E81">
      <w:r>
        <w:t xml:space="preserve">Membership of the </w:t>
      </w:r>
      <w:r w:rsidR="002B1AD5">
        <w:t>SNHI</w:t>
      </w:r>
      <w:r w:rsidR="0063392A" w:rsidRPr="00EB4F0C">
        <w:t xml:space="preserve"> will be mandatory for all </w:t>
      </w:r>
      <w:r w:rsidR="00B14EA7">
        <w:t>Tanzanian residents</w:t>
      </w:r>
      <w:r w:rsidR="0063392A" w:rsidRPr="00EB4F0C">
        <w:t xml:space="preserve">. </w:t>
      </w:r>
      <w:r w:rsidR="00D55745">
        <w:t xml:space="preserve">All residents will contribute or receive subsidies to contribute meaning no opting out of SNHI.  </w:t>
      </w:r>
      <w:r w:rsidR="001C7A82">
        <w:t xml:space="preserve">CHF/TIKA </w:t>
      </w:r>
      <w:r w:rsidR="00012456">
        <w:lastRenderedPageBreak/>
        <w:t xml:space="preserve">and their premiums for those they cover will be merged into SNHI.  </w:t>
      </w:r>
      <w:r w:rsidR="00B14EA7">
        <w:t>Based on the principle of shared</w:t>
      </w:r>
      <w:r w:rsidR="0063392A" w:rsidRPr="00EB4F0C">
        <w:t xml:space="preserve"> contribution</w:t>
      </w:r>
      <w:r>
        <w:t xml:space="preserve">s, for those in employment </w:t>
      </w:r>
      <w:r w:rsidR="0063392A" w:rsidRPr="00EB4F0C">
        <w:t xml:space="preserve">the employer contribution </w:t>
      </w:r>
      <w:r w:rsidR="001C7A82">
        <w:t xml:space="preserve">through payroll tax </w:t>
      </w:r>
      <w:r w:rsidR="00B14EA7">
        <w:t>will not</w:t>
      </w:r>
      <w:r w:rsidR="0063392A" w:rsidRPr="00EB4F0C">
        <w:t xml:space="preserve"> be less t</w:t>
      </w:r>
      <w:r w:rsidR="00B14EA7">
        <w:t xml:space="preserve">han </w:t>
      </w:r>
      <w:r>
        <w:t xml:space="preserve">that of the </w:t>
      </w:r>
      <w:r w:rsidR="00B14EA7">
        <w:t>employee</w:t>
      </w:r>
      <w:r>
        <w:t xml:space="preserve">.  For those </w:t>
      </w:r>
      <w:r w:rsidR="00E8350C">
        <w:t xml:space="preserve">identified as being </w:t>
      </w:r>
      <w:r>
        <w:t xml:space="preserve">without the means to pay a contribution, the </w:t>
      </w:r>
      <w:r w:rsidR="00E342DF">
        <w:t>SNHI</w:t>
      </w:r>
      <w:r>
        <w:t xml:space="preserve"> premium </w:t>
      </w:r>
      <w:r w:rsidR="00B14EA7">
        <w:t xml:space="preserve">will be </w:t>
      </w:r>
      <w:r>
        <w:t xml:space="preserve">fully or partially </w:t>
      </w:r>
      <w:r w:rsidR="00B14EA7">
        <w:t xml:space="preserve">subsidized </w:t>
      </w:r>
      <w:r>
        <w:t>by Government and cross-</w:t>
      </w:r>
      <w:r w:rsidR="00E8350C">
        <w:t>subsidies within the single insurance pool</w:t>
      </w:r>
      <w:r>
        <w:t xml:space="preserve">.  </w:t>
      </w:r>
    </w:p>
    <w:p w14:paraId="2A936B2E" w14:textId="77777777" w:rsidR="00545E81" w:rsidRPr="00EB4F0C" w:rsidRDefault="00545E81" w:rsidP="00545E81"/>
    <w:p w14:paraId="40EF03D7" w14:textId="794D673B" w:rsidR="001C7A82" w:rsidRDefault="00C34561" w:rsidP="001C7A82">
      <w:r>
        <w:rPr>
          <w:rFonts w:cs="Arial"/>
          <w:szCs w:val="24"/>
        </w:rPr>
        <w:t>In line with the purchaser-provider split, t</w:t>
      </w:r>
      <w:r w:rsidR="0063392A" w:rsidRPr="00EB4F0C">
        <w:rPr>
          <w:rFonts w:cs="Arial"/>
          <w:szCs w:val="24"/>
        </w:rPr>
        <w:t xml:space="preserve">he mechanism for </w:t>
      </w:r>
      <w:r w:rsidR="00B14EA7">
        <w:rPr>
          <w:rFonts w:cs="Arial"/>
          <w:szCs w:val="24"/>
        </w:rPr>
        <w:t>ensuring informal sector contributions</w:t>
      </w:r>
      <w:r w:rsidR="0063392A" w:rsidRPr="00EB4F0C">
        <w:rPr>
          <w:rFonts w:cs="Arial"/>
          <w:szCs w:val="24"/>
        </w:rPr>
        <w:t xml:space="preserve"> to the </w:t>
      </w:r>
      <w:r w:rsidR="007B5B28">
        <w:rPr>
          <w:rFonts w:cs="Arial"/>
          <w:szCs w:val="24"/>
        </w:rPr>
        <w:t>SNHI</w:t>
      </w:r>
      <w:r w:rsidR="0063392A" w:rsidRPr="00EB4F0C">
        <w:rPr>
          <w:rFonts w:cs="Arial"/>
          <w:szCs w:val="24"/>
        </w:rPr>
        <w:t xml:space="preserve"> will be established</w:t>
      </w:r>
      <w:r>
        <w:rPr>
          <w:rFonts w:cs="Arial"/>
          <w:szCs w:val="24"/>
        </w:rPr>
        <w:t xml:space="preserve"> </w:t>
      </w:r>
      <w:r w:rsidR="001C7A82">
        <w:rPr>
          <w:rFonts w:cs="Arial"/>
          <w:szCs w:val="24"/>
        </w:rPr>
        <w:t xml:space="preserve">on the SNHI purchaser side rather than the provider side or </w:t>
      </w:r>
      <w:r>
        <w:rPr>
          <w:rFonts w:cs="Arial"/>
          <w:szCs w:val="24"/>
        </w:rPr>
        <w:t xml:space="preserve">outside the </w:t>
      </w:r>
      <w:r w:rsidR="001C7A82">
        <w:rPr>
          <w:rFonts w:cs="Arial"/>
          <w:szCs w:val="24"/>
        </w:rPr>
        <w:t>LGA/</w:t>
      </w:r>
      <w:r w:rsidR="0090644D">
        <w:rPr>
          <w:rFonts w:cs="Arial"/>
          <w:szCs w:val="24"/>
        </w:rPr>
        <w:t>council</w:t>
      </w:r>
      <w:r>
        <w:rPr>
          <w:rFonts w:cs="Arial"/>
          <w:szCs w:val="24"/>
        </w:rPr>
        <w:t xml:space="preserve"> health delivery system</w:t>
      </w:r>
      <w:r w:rsidR="0063392A" w:rsidRPr="00EB4F0C">
        <w:rPr>
          <w:rFonts w:cs="Arial"/>
          <w:szCs w:val="24"/>
        </w:rPr>
        <w:t>.</w:t>
      </w:r>
      <w:r w:rsidR="0090644D">
        <w:rPr>
          <w:rFonts w:cs="Arial"/>
          <w:szCs w:val="24"/>
        </w:rPr>
        <w:t xml:space="preserve"> </w:t>
      </w:r>
      <w:r w:rsidR="0063392A" w:rsidRPr="00EB4F0C">
        <w:rPr>
          <w:rFonts w:cs="Arial"/>
          <w:szCs w:val="24"/>
        </w:rPr>
        <w:t xml:space="preserve"> In order to </w:t>
      </w:r>
      <w:r w:rsidR="00E078AE">
        <w:rPr>
          <w:rFonts w:cs="Arial"/>
          <w:szCs w:val="24"/>
        </w:rPr>
        <w:t>en</w:t>
      </w:r>
      <w:r w:rsidR="0063392A" w:rsidRPr="00EB4F0C">
        <w:rPr>
          <w:rFonts w:cs="Arial"/>
          <w:szCs w:val="24"/>
        </w:rPr>
        <w:t>sure that every</w:t>
      </w:r>
      <w:r w:rsidR="00B14EA7">
        <w:rPr>
          <w:rFonts w:cs="Arial"/>
          <w:szCs w:val="24"/>
        </w:rPr>
        <w:t>one</w:t>
      </w:r>
      <w:r w:rsidR="0063392A" w:rsidRPr="00EB4F0C">
        <w:rPr>
          <w:rFonts w:cs="Arial"/>
          <w:szCs w:val="24"/>
        </w:rPr>
        <w:t xml:space="preserve"> is contributing to the scheme</w:t>
      </w:r>
      <w:r w:rsidR="00E078AE">
        <w:rPr>
          <w:rFonts w:cs="Arial"/>
          <w:szCs w:val="24"/>
        </w:rPr>
        <w:t>,</w:t>
      </w:r>
      <w:r w:rsidR="0063392A" w:rsidRPr="00EB4F0C">
        <w:rPr>
          <w:rFonts w:cs="Arial"/>
          <w:szCs w:val="24"/>
        </w:rPr>
        <w:t xml:space="preserve"> different </w:t>
      </w:r>
      <w:r w:rsidR="0090644D">
        <w:rPr>
          <w:rFonts w:cs="Arial"/>
          <w:szCs w:val="24"/>
        </w:rPr>
        <w:t xml:space="preserve">contribution </w:t>
      </w:r>
      <w:r w:rsidR="00E078AE">
        <w:rPr>
          <w:rFonts w:cs="Arial"/>
          <w:szCs w:val="24"/>
        </w:rPr>
        <w:t xml:space="preserve">mechanisms will </w:t>
      </w:r>
      <w:r w:rsidR="0063392A" w:rsidRPr="00EB4F0C">
        <w:rPr>
          <w:rFonts w:cs="Arial"/>
          <w:szCs w:val="24"/>
        </w:rPr>
        <w:t>be used</w:t>
      </w:r>
      <w:r w:rsidR="0090644D">
        <w:rPr>
          <w:rFonts w:cs="Arial"/>
          <w:szCs w:val="24"/>
        </w:rPr>
        <w:t xml:space="preserve"> (involving village governments and communities) taking seasonal income into consideration</w:t>
      </w:r>
      <w:r w:rsidR="008F48A1">
        <w:rPr>
          <w:rFonts w:cs="Arial"/>
          <w:szCs w:val="24"/>
        </w:rPr>
        <w:t xml:space="preserve">. </w:t>
      </w:r>
      <w:r w:rsidR="001C7A82">
        <w:rPr>
          <w:rFonts w:cs="Arial"/>
          <w:szCs w:val="24"/>
        </w:rPr>
        <w:t xml:space="preserve"> Beginning to prepare for realignment and transition of CHF into SNHI is an activity that can begin early in SNHI preparation to contribute to visible impact </w:t>
      </w:r>
      <w:r w:rsidR="004116C4">
        <w:rPr>
          <w:rFonts w:cs="Arial"/>
          <w:szCs w:val="24"/>
        </w:rPr>
        <w:t xml:space="preserve">and seamlessly moving to full SNHI implementation </w:t>
      </w:r>
      <w:r w:rsidR="001C7A82">
        <w:rPr>
          <w:rFonts w:cs="Arial"/>
          <w:szCs w:val="24"/>
        </w:rPr>
        <w:t>(see Section 7 Implementation</w:t>
      </w:r>
      <w:r w:rsidR="00881694">
        <w:rPr>
          <w:rFonts w:cs="Arial"/>
          <w:szCs w:val="24"/>
        </w:rPr>
        <w:t xml:space="preserve"> Plan</w:t>
      </w:r>
      <w:r w:rsidR="001C7A82">
        <w:rPr>
          <w:rFonts w:cs="Arial"/>
          <w:szCs w:val="24"/>
        </w:rPr>
        <w:t xml:space="preserve">). Based on international experience, informal sector premiums are notoriously </w:t>
      </w:r>
      <w:r w:rsidR="001E6B51">
        <w:rPr>
          <w:rFonts w:cs="Arial"/>
          <w:szCs w:val="24"/>
        </w:rPr>
        <w:t>challenging</w:t>
      </w:r>
      <w:r w:rsidR="001C7A82">
        <w:rPr>
          <w:rFonts w:cs="Arial"/>
          <w:szCs w:val="24"/>
        </w:rPr>
        <w:t xml:space="preserve"> to collect and SNHI may make future system adjustments after the poor are covered.  </w:t>
      </w:r>
      <w:r w:rsidR="001C7A82">
        <w:t>Regular actuarial studies will form the basis for setting and reviewing contribution levels</w:t>
      </w:r>
      <w:r w:rsidR="00533550">
        <w:t xml:space="preserve"> and they will be incorporated into regulation</w:t>
      </w:r>
      <w:r w:rsidR="001C7A82">
        <w:t xml:space="preserve">. </w:t>
      </w:r>
    </w:p>
    <w:p w14:paraId="384A68EC" w14:textId="77777777" w:rsidR="004848B4" w:rsidRDefault="004848B4" w:rsidP="001C7A82">
      <w:pPr>
        <w:rPr>
          <w:rFonts w:cs="Arial"/>
          <w:szCs w:val="24"/>
        </w:rPr>
      </w:pPr>
    </w:p>
    <w:p w14:paraId="19A7F83C" w14:textId="4AA8987F" w:rsidR="004848B4" w:rsidRDefault="00734DCF" w:rsidP="004848B4">
      <w:pPr>
        <w:pStyle w:val="Heading2"/>
      </w:pPr>
      <w:bookmarkStart w:id="35" w:name="_Toc411949940"/>
      <w:r>
        <w:t>Pooling of Funds</w:t>
      </w:r>
      <w:bookmarkEnd w:id="35"/>
    </w:p>
    <w:p w14:paraId="5BEAC8BF" w14:textId="4140DCF4" w:rsidR="004848B4" w:rsidRDefault="00734DCF" w:rsidP="00685E99">
      <w:pPr>
        <w:pStyle w:val="Heading3"/>
        <w:spacing w:before="0" w:after="0"/>
        <w:ind w:left="720"/>
      </w:pPr>
      <w:bookmarkStart w:id="36" w:name="_Toc411949941"/>
      <w:r>
        <w:t>Objective 4: Improve financial and risk pooling mechanisms within the health sector</w:t>
      </w:r>
      <w:bookmarkEnd w:id="36"/>
    </w:p>
    <w:p w14:paraId="2095FA86" w14:textId="48531D7C" w:rsidR="00734DCF" w:rsidRPr="00734DCF" w:rsidRDefault="00734DCF" w:rsidP="0004453E">
      <w:pPr>
        <w:pStyle w:val="Heading3"/>
        <w:numPr>
          <w:ilvl w:val="0"/>
          <w:numId w:val="0"/>
        </w:numPr>
        <w:spacing w:before="0" w:after="0"/>
        <w:ind w:left="810" w:hanging="90"/>
      </w:pPr>
      <w:bookmarkStart w:id="37" w:name="_Toc411949942"/>
      <w:r w:rsidRPr="00734DCF">
        <w:t>Strategy 5: Create one National Financial and Risk Pool for Health</w:t>
      </w:r>
      <w:bookmarkEnd w:id="37"/>
    </w:p>
    <w:p w14:paraId="23A0D757" w14:textId="77777777" w:rsidR="0004453E" w:rsidRDefault="0004453E" w:rsidP="0004453E"/>
    <w:p w14:paraId="34B8A8B1" w14:textId="77777777" w:rsidR="00734DCF" w:rsidRPr="00C355DF" w:rsidRDefault="00734DCF" w:rsidP="0004453E">
      <w:r w:rsidRPr="00C355DF">
        <w:t>“Organizing compulsory prepaid revenues in fewer pools enables more redistribution than the same level of total funds organized in many fragmented pools. Increasing the level and share of revenues channeled through prepaid and pooled mechanisms, reducing fragmentation to increase the redistribution capacity of the pooled funds, and using the pooled funds to cover the health care costs for those in need, are key elements of the broad strategy that countries need to rely on in order to move towards universal coverage.” (WHO 2014)</w:t>
      </w:r>
    </w:p>
    <w:p w14:paraId="61C95D11" w14:textId="77777777" w:rsidR="00734DCF" w:rsidRPr="008F48A1" w:rsidRDefault="00734DCF" w:rsidP="002B4DA6">
      <w:pPr>
        <w:pStyle w:val="Heading4"/>
        <w:numPr>
          <w:ilvl w:val="0"/>
          <w:numId w:val="0"/>
        </w:numPr>
        <w:ind w:left="864" w:hanging="864"/>
      </w:pPr>
      <w:r>
        <w:t xml:space="preserve">Strategic intervention: </w:t>
      </w:r>
      <w:r w:rsidRPr="008F48A1">
        <w:t>Decreas</w:t>
      </w:r>
      <w:r>
        <w:t>e the fragmentation of risk pools</w:t>
      </w:r>
      <w:r w:rsidRPr="008F48A1">
        <w:t xml:space="preserve"> </w:t>
      </w:r>
    </w:p>
    <w:p w14:paraId="050445B9" w14:textId="51A12FE7" w:rsidR="00734DCF" w:rsidRPr="008F48A1" w:rsidRDefault="00906545" w:rsidP="00734DCF">
      <w:pPr>
        <w:rPr>
          <w:rFonts w:cs="Arial"/>
          <w:szCs w:val="24"/>
        </w:rPr>
      </w:pPr>
      <w:r>
        <w:rPr>
          <w:rFonts w:cs="Arial"/>
          <w:szCs w:val="24"/>
        </w:rPr>
        <w:t>SNHI envisions t</w:t>
      </w:r>
      <w:r w:rsidR="00734DCF">
        <w:rPr>
          <w:rFonts w:cs="Arial"/>
          <w:szCs w:val="24"/>
        </w:rPr>
        <w:t>he creation of a single risk pool merging NHIF, CHF, NSSF-SHIB</w:t>
      </w:r>
      <w:r w:rsidR="00A008CD">
        <w:rPr>
          <w:rFonts w:cs="Arial"/>
          <w:szCs w:val="24"/>
        </w:rPr>
        <w:t xml:space="preserve">, </w:t>
      </w:r>
      <w:proofErr w:type="spellStart"/>
      <w:r w:rsidR="00A008CD">
        <w:rPr>
          <w:rFonts w:cs="Arial"/>
          <w:szCs w:val="24"/>
        </w:rPr>
        <w:t>GoT</w:t>
      </w:r>
      <w:proofErr w:type="spellEnd"/>
      <w:r w:rsidR="00A008CD">
        <w:rPr>
          <w:rFonts w:cs="Arial"/>
          <w:szCs w:val="24"/>
        </w:rPr>
        <w:t xml:space="preserve"> subsidies for the poor</w:t>
      </w:r>
      <w:r>
        <w:rPr>
          <w:rFonts w:cs="Arial"/>
          <w:szCs w:val="24"/>
        </w:rPr>
        <w:t>, general revenue health budget, parallel funding flows</w:t>
      </w:r>
      <w:r w:rsidR="00734DCF">
        <w:rPr>
          <w:rFonts w:cs="Arial"/>
          <w:szCs w:val="24"/>
        </w:rPr>
        <w:t xml:space="preserve"> and other</w:t>
      </w:r>
      <w:r>
        <w:rPr>
          <w:rFonts w:cs="Arial"/>
          <w:szCs w:val="24"/>
        </w:rPr>
        <w:t xml:space="preserve"> funds</w:t>
      </w:r>
      <w:r w:rsidR="003D090F">
        <w:rPr>
          <w:rFonts w:cs="Arial"/>
          <w:szCs w:val="24"/>
        </w:rPr>
        <w:t xml:space="preserve"> into the SNHI pool purchasing MBP for the entire population</w:t>
      </w:r>
      <w:proofErr w:type="gramStart"/>
      <w:r w:rsidR="008C375D">
        <w:rPr>
          <w:rFonts w:cs="Arial"/>
          <w:szCs w:val="24"/>
        </w:rPr>
        <w:t>.–</w:t>
      </w:r>
      <w:proofErr w:type="gramEnd"/>
      <w:r w:rsidR="00734DCF">
        <w:rPr>
          <w:rFonts w:cs="Arial"/>
          <w:szCs w:val="24"/>
        </w:rPr>
        <w:t xml:space="preserve"> </w:t>
      </w:r>
      <w:r w:rsidR="008C375D">
        <w:rPr>
          <w:rFonts w:cs="Arial"/>
          <w:szCs w:val="24"/>
        </w:rPr>
        <w:t xml:space="preserve">The single risk pool </w:t>
      </w:r>
      <w:r w:rsidR="003D090F">
        <w:rPr>
          <w:rFonts w:cs="Arial"/>
          <w:szCs w:val="24"/>
        </w:rPr>
        <w:t xml:space="preserve">for MBP </w:t>
      </w:r>
      <w:r w:rsidR="00734DCF">
        <w:rPr>
          <w:rFonts w:cs="Arial"/>
          <w:szCs w:val="24"/>
        </w:rPr>
        <w:t xml:space="preserve">will increase the </w:t>
      </w:r>
      <w:r w:rsidR="00734DCF" w:rsidRPr="008F48A1">
        <w:rPr>
          <w:rFonts w:cs="Arial"/>
          <w:szCs w:val="24"/>
        </w:rPr>
        <w:t xml:space="preserve">redistributive capacity of prepaid funds and align different revenue sources </w:t>
      </w:r>
      <w:r w:rsidR="00734DCF">
        <w:rPr>
          <w:rFonts w:cs="Arial"/>
          <w:szCs w:val="24"/>
        </w:rPr>
        <w:t>to enhance cross-subsidization across beneficiaries with different risks and socio-economic status</w:t>
      </w:r>
      <w:r w:rsidR="00D1563D">
        <w:rPr>
          <w:rFonts w:cs="Arial"/>
          <w:szCs w:val="24"/>
        </w:rPr>
        <w:t>.  It will</w:t>
      </w:r>
      <w:r w:rsidR="00734DCF">
        <w:rPr>
          <w:rFonts w:cs="Arial"/>
          <w:szCs w:val="24"/>
        </w:rPr>
        <w:t xml:space="preserve"> </w:t>
      </w:r>
      <w:r w:rsidR="00DB64D9">
        <w:rPr>
          <w:rFonts w:cs="Arial"/>
          <w:szCs w:val="24"/>
        </w:rPr>
        <w:t xml:space="preserve">reduce insurance risk and </w:t>
      </w:r>
      <w:r w:rsidR="008C375D">
        <w:rPr>
          <w:rFonts w:cs="Arial"/>
          <w:szCs w:val="24"/>
        </w:rPr>
        <w:t xml:space="preserve">increase </w:t>
      </w:r>
      <w:r w:rsidR="00734DCF">
        <w:rPr>
          <w:rFonts w:cs="Arial"/>
          <w:szCs w:val="24"/>
        </w:rPr>
        <w:t xml:space="preserve">efficiency </w:t>
      </w:r>
      <w:r w:rsidR="00734DCF">
        <w:rPr>
          <w:rFonts w:cs="Arial"/>
          <w:szCs w:val="24"/>
        </w:rPr>
        <w:lastRenderedPageBreak/>
        <w:t>associated with economies of scale</w:t>
      </w:r>
      <w:r w:rsidR="008C375D">
        <w:rPr>
          <w:rFonts w:cs="Arial"/>
          <w:szCs w:val="24"/>
        </w:rPr>
        <w:t xml:space="preserve"> and reduction of duplicative or excess costs inherent in fragmented risk pools</w:t>
      </w:r>
      <w:r w:rsidR="00734DCF">
        <w:rPr>
          <w:rFonts w:cs="Arial"/>
          <w:szCs w:val="24"/>
        </w:rPr>
        <w:t xml:space="preserve">. </w:t>
      </w:r>
    </w:p>
    <w:p w14:paraId="0FF376F1" w14:textId="77777777" w:rsidR="00734DCF" w:rsidRPr="00DE3147" w:rsidRDefault="00734DCF" w:rsidP="00734DCF">
      <w:pPr>
        <w:rPr>
          <w:rFonts w:cs="Arial"/>
          <w:szCs w:val="24"/>
        </w:rPr>
      </w:pPr>
    </w:p>
    <w:p w14:paraId="0A26BFE4" w14:textId="7775B862" w:rsidR="00734DCF" w:rsidRPr="008F48A1" w:rsidRDefault="003D090F" w:rsidP="00734DCF">
      <w:pPr>
        <w:rPr>
          <w:rFonts w:cs="Arial"/>
          <w:szCs w:val="24"/>
        </w:rPr>
      </w:pPr>
      <w:r>
        <w:rPr>
          <w:rFonts w:cs="Arial"/>
          <w:szCs w:val="24"/>
        </w:rPr>
        <w:t xml:space="preserve">At the start of implementation when SNHI becomes fully operational, </w:t>
      </w:r>
      <w:r w:rsidR="00F62017" w:rsidRPr="003D090F">
        <w:rPr>
          <w:rFonts w:cs="Arial"/>
          <w:szCs w:val="24"/>
        </w:rPr>
        <w:t>a</w:t>
      </w:r>
      <w:r w:rsidR="00D1563D" w:rsidRPr="003D090F">
        <w:rPr>
          <w:rFonts w:cs="Arial"/>
          <w:szCs w:val="24"/>
        </w:rPr>
        <w:t xml:space="preserve">t least NHIF, CHF, NSSF-SHIB, and </w:t>
      </w:r>
      <w:proofErr w:type="spellStart"/>
      <w:r w:rsidR="00D1563D" w:rsidRPr="003D090F">
        <w:rPr>
          <w:rFonts w:cs="Arial"/>
          <w:szCs w:val="24"/>
        </w:rPr>
        <w:t>GoT</w:t>
      </w:r>
      <w:proofErr w:type="spellEnd"/>
      <w:r w:rsidR="00D1563D" w:rsidRPr="003D090F">
        <w:rPr>
          <w:rFonts w:cs="Arial"/>
          <w:szCs w:val="24"/>
        </w:rPr>
        <w:t xml:space="preserve"> subsidies for the poor</w:t>
      </w:r>
      <w:r>
        <w:rPr>
          <w:rFonts w:cs="Arial"/>
          <w:szCs w:val="24"/>
        </w:rPr>
        <w:t xml:space="preserve"> will be pooled </w:t>
      </w:r>
      <w:r w:rsidR="002E75F9">
        <w:rPr>
          <w:rFonts w:cs="Arial"/>
          <w:szCs w:val="24"/>
        </w:rPr>
        <w:t xml:space="preserve">in the single risk pool </w:t>
      </w:r>
      <w:r>
        <w:rPr>
          <w:rFonts w:cs="Arial"/>
          <w:szCs w:val="24"/>
        </w:rPr>
        <w:t>for purchasing the MBP</w:t>
      </w:r>
      <w:r w:rsidR="002E75F9">
        <w:rPr>
          <w:rFonts w:cs="Arial"/>
          <w:szCs w:val="24"/>
        </w:rPr>
        <w:t>.</w:t>
      </w:r>
      <w:r w:rsidR="00D1563D" w:rsidRPr="003D090F">
        <w:rPr>
          <w:rFonts w:cs="Arial"/>
          <w:szCs w:val="24"/>
        </w:rPr>
        <w:t xml:space="preserve"> </w:t>
      </w:r>
      <w:r w:rsidR="002E75F9">
        <w:rPr>
          <w:rFonts w:cs="Arial"/>
          <w:szCs w:val="24"/>
        </w:rPr>
        <w:t xml:space="preserve"> The importance of risk pooling and cross-subsidization of the poor is such a critical block of the SNHI foundation that including </w:t>
      </w:r>
      <w:proofErr w:type="spellStart"/>
      <w:r w:rsidR="002E75F9">
        <w:rPr>
          <w:rFonts w:cs="Arial"/>
          <w:szCs w:val="24"/>
        </w:rPr>
        <w:t>GoT</w:t>
      </w:r>
      <w:proofErr w:type="spellEnd"/>
      <w:r w:rsidR="002E75F9">
        <w:rPr>
          <w:rFonts w:cs="Arial"/>
          <w:szCs w:val="24"/>
        </w:rPr>
        <w:t xml:space="preserve"> subsidies for the poor in the pool at the start is a pre-condition for moving towards UHC.  </w:t>
      </w:r>
      <w:r w:rsidR="00F62017" w:rsidRPr="003D090F">
        <w:rPr>
          <w:rFonts w:cs="Arial"/>
          <w:szCs w:val="24"/>
        </w:rPr>
        <w:t>Some general revenue health budget or Health Basket Funds</w:t>
      </w:r>
      <w:r w:rsidR="00FE7149">
        <w:rPr>
          <w:rFonts w:cs="Arial"/>
          <w:szCs w:val="24"/>
        </w:rPr>
        <w:t>, earmarked taxes, and parallel funding flows</w:t>
      </w:r>
      <w:r w:rsidR="00F62017" w:rsidRPr="003D090F">
        <w:rPr>
          <w:rFonts w:cs="Arial"/>
          <w:szCs w:val="24"/>
        </w:rPr>
        <w:t xml:space="preserve"> may be pooled as well.  </w:t>
      </w:r>
      <w:r w:rsidR="00734DCF" w:rsidRPr="003D090F">
        <w:rPr>
          <w:rFonts w:cs="Arial"/>
          <w:szCs w:val="24"/>
        </w:rPr>
        <w:t>Over time</w:t>
      </w:r>
      <w:r>
        <w:rPr>
          <w:rFonts w:cs="Arial"/>
          <w:szCs w:val="24"/>
        </w:rPr>
        <w:t xml:space="preserve">, </w:t>
      </w:r>
      <w:r w:rsidR="00906545" w:rsidRPr="003D090F">
        <w:rPr>
          <w:rFonts w:cs="Arial"/>
          <w:szCs w:val="24"/>
        </w:rPr>
        <w:t>remaining health budget funds</w:t>
      </w:r>
      <w:r w:rsidR="00F62017" w:rsidRPr="003D090F">
        <w:rPr>
          <w:rFonts w:cs="Arial"/>
          <w:szCs w:val="24"/>
        </w:rPr>
        <w:t xml:space="preserve"> including Health Basket Funds</w:t>
      </w:r>
      <w:r w:rsidR="00D1563D" w:rsidRPr="003D090F">
        <w:rPr>
          <w:rFonts w:cs="Arial"/>
          <w:szCs w:val="24"/>
        </w:rPr>
        <w:t>,</w:t>
      </w:r>
      <w:r w:rsidR="00906545" w:rsidRPr="003D090F">
        <w:rPr>
          <w:rFonts w:cs="Arial"/>
          <w:szCs w:val="24"/>
        </w:rPr>
        <w:t xml:space="preserve"> </w:t>
      </w:r>
      <w:r>
        <w:rPr>
          <w:rFonts w:cs="Arial"/>
          <w:szCs w:val="24"/>
        </w:rPr>
        <w:t xml:space="preserve">any </w:t>
      </w:r>
      <w:r w:rsidR="00FE7149">
        <w:rPr>
          <w:rFonts w:cs="Arial"/>
          <w:szCs w:val="24"/>
        </w:rPr>
        <w:t xml:space="preserve">additional </w:t>
      </w:r>
      <w:r>
        <w:rPr>
          <w:rFonts w:cs="Arial"/>
          <w:szCs w:val="24"/>
        </w:rPr>
        <w:t xml:space="preserve">earmarked taxes, </w:t>
      </w:r>
      <w:r w:rsidR="00734DCF" w:rsidRPr="003D090F">
        <w:rPr>
          <w:rFonts w:cs="Arial"/>
          <w:szCs w:val="24"/>
        </w:rPr>
        <w:t>selected parallel funding flows</w:t>
      </w:r>
      <w:r w:rsidR="00D1563D" w:rsidRPr="003D090F">
        <w:rPr>
          <w:rFonts w:cs="Arial"/>
          <w:szCs w:val="24"/>
        </w:rPr>
        <w:t>, and other funds</w:t>
      </w:r>
      <w:r w:rsidR="00734DCF" w:rsidRPr="003D090F">
        <w:rPr>
          <w:rFonts w:cs="Arial"/>
          <w:szCs w:val="24"/>
        </w:rPr>
        <w:t xml:space="preserve"> will be </w:t>
      </w:r>
      <w:r w:rsidR="00FE7149">
        <w:rPr>
          <w:rFonts w:cs="Arial"/>
          <w:szCs w:val="24"/>
        </w:rPr>
        <w:t>transferred</w:t>
      </w:r>
      <w:r w:rsidR="00734DCF" w:rsidRPr="003D090F">
        <w:rPr>
          <w:rFonts w:cs="Arial"/>
          <w:szCs w:val="24"/>
        </w:rPr>
        <w:t xml:space="preserve"> into the </w:t>
      </w:r>
      <w:r w:rsidR="00D1563D" w:rsidRPr="003D090F">
        <w:rPr>
          <w:rFonts w:cs="Arial"/>
          <w:szCs w:val="24"/>
        </w:rPr>
        <w:t>SNHI</w:t>
      </w:r>
      <w:r w:rsidR="00734DCF" w:rsidRPr="003D090F">
        <w:rPr>
          <w:rFonts w:cs="Arial"/>
          <w:szCs w:val="24"/>
        </w:rPr>
        <w:t xml:space="preserve"> </w:t>
      </w:r>
      <w:r>
        <w:rPr>
          <w:rFonts w:cs="Arial"/>
          <w:szCs w:val="24"/>
        </w:rPr>
        <w:t>single risk pool for the MBP.</w:t>
      </w:r>
      <w:r w:rsidR="00734DCF" w:rsidRPr="003D090F">
        <w:rPr>
          <w:rFonts w:cs="Arial"/>
          <w:szCs w:val="24"/>
        </w:rPr>
        <w:t xml:space="preserve"> This will include part or all of certain external funding flows which are intended to support disease-specific interventions and/or commodities which fall within the </w:t>
      </w:r>
      <w:r w:rsidR="00D1563D" w:rsidRPr="003D090F">
        <w:rPr>
          <w:rFonts w:cs="Arial"/>
          <w:szCs w:val="24"/>
        </w:rPr>
        <w:t>MBP</w:t>
      </w:r>
      <w:r w:rsidR="00734DCF" w:rsidRPr="003D090F">
        <w:rPr>
          <w:rFonts w:cs="Arial"/>
          <w:szCs w:val="24"/>
        </w:rPr>
        <w:t xml:space="preserve"> (e</w:t>
      </w:r>
      <w:r w:rsidR="00D1563D" w:rsidRPr="003D090F">
        <w:rPr>
          <w:rFonts w:cs="Arial"/>
          <w:szCs w:val="24"/>
        </w:rPr>
        <w:t>.</w:t>
      </w:r>
      <w:r w:rsidR="00734DCF" w:rsidRPr="003D090F">
        <w:rPr>
          <w:rFonts w:cs="Arial"/>
          <w:szCs w:val="24"/>
        </w:rPr>
        <w:t>g</w:t>
      </w:r>
      <w:r w:rsidR="00D1563D" w:rsidRPr="003D090F">
        <w:rPr>
          <w:rFonts w:cs="Arial"/>
          <w:szCs w:val="24"/>
        </w:rPr>
        <w:t>.</w:t>
      </w:r>
      <w:r w:rsidR="00734DCF" w:rsidRPr="003D090F">
        <w:rPr>
          <w:rFonts w:cs="Arial"/>
          <w:szCs w:val="24"/>
        </w:rPr>
        <w:t xml:space="preserve"> Global Fund).</w:t>
      </w:r>
      <w:r w:rsidR="00F62017" w:rsidRPr="003D090F">
        <w:rPr>
          <w:rFonts w:cs="Arial"/>
          <w:szCs w:val="24"/>
        </w:rPr>
        <w:t xml:space="preserve">  </w:t>
      </w:r>
    </w:p>
    <w:p w14:paraId="0B9C341F" w14:textId="77777777" w:rsidR="00734DCF" w:rsidRDefault="00734DCF" w:rsidP="00734DCF">
      <w:pPr>
        <w:rPr>
          <w:rFonts w:cs="Arial"/>
          <w:szCs w:val="24"/>
        </w:rPr>
      </w:pPr>
    </w:p>
    <w:p w14:paraId="028835C6" w14:textId="69B1A2CD" w:rsidR="00734DCF" w:rsidRDefault="002E75F9" w:rsidP="00734DCF">
      <w:pPr>
        <w:rPr>
          <w:rFonts w:cs="Arial"/>
          <w:szCs w:val="24"/>
        </w:rPr>
      </w:pPr>
      <w:r>
        <w:rPr>
          <w:rFonts w:cs="Arial"/>
          <w:szCs w:val="24"/>
        </w:rPr>
        <w:t xml:space="preserve">A basic assumption of the HFS </w:t>
      </w:r>
      <w:r w:rsidR="00603603">
        <w:rPr>
          <w:rFonts w:cs="Arial"/>
          <w:szCs w:val="24"/>
        </w:rPr>
        <w:t xml:space="preserve">overall strategic intervention </w:t>
      </w:r>
      <w:r w:rsidR="005C14CE">
        <w:rPr>
          <w:rFonts w:cs="Arial"/>
          <w:szCs w:val="24"/>
        </w:rPr>
        <w:t xml:space="preserve">and SNHI </w:t>
      </w:r>
      <w:r>
        <w:rPr>
          <w:rFonts w:cs="Arial"/>
          <w:szCs w:val="24"/>
        </w:rPr>
        <w:t xml:space="preserve">is </w:t>
      </w:r>
      <w:r w:rsidR="00603603">
        <w:rPr>
          <w:rFonts w:cs="Arial"/>
          <w:szCs w:val="24"/>
        </w:rPr>
        <w:t xml:space="preserve">that pooling and purchasing arrangements will differ for MBP and non-MBP services. </w:t>
      </w:r>
      <w:r w:rsidR="007A2238">
        <w:rPr>
          <w:rFonts w:cs="Arial"/>
          <w:szCs w:val="24"/>
        </w:rPr>
        <w:t>Funding for n</w:t>
      </w:r>
      <w:r w:rsidR="00603603">
        <w:rPr>
          <w:rFonts w:cs="Arial"/>
          <w:szCs w:val="24"/>
        </w:rPr>
        <w:t xml:space="preserve">on-MBP </w:t>
      </w:r>
      <w:r w:rsidR="007A2238">
        <w:rPr>
          <w:rFonts w:cs="Arial"/>
          <w:szCs w:val="24"/>
        </w:rPr>
        <w:t>services will not be pooled in SNHI. LGAs will continue to fund population-based public health services and capital investments to improve the health delivery system structure</w:t>
      </w:r>
      <w:r w:rsidR="004E2035">
        <w:rPr>
          <w:rFonts w:cs="Arial"/>
          <w:szCs w:val="24"/>
        </w:rPr>
        <w:t xml:space="preserve"> (vitally important particularly at the dispensary and health center level to i</w:t>
      </w:r>
      <w:r>
        <w:rPr>
          <w:rFonts w:cs="Arial"/>
          <w:szCs w:val="24"/>
        </w:rPr>
        <w:t>ncrease</w:t>
      </w:r>
      <w:r w:rsidR="004E2035">
        <w:rPr>
          <w:rFonts w:cs="Arial"/>
          <w:szCs w:val="24"/>
        </w:rPr>
        <w:t xml:space="preserve"> </w:t>
      </w:r>
      <w:r>
        <w:rPr>
          <w:rFonts w:cs="Arial"/>
          <w:szCs w:val="24"/>
        </w:rPr>
        <w:t xml:space="preserve">consumer </w:t>
      </w:r>
      <w:r w:rsidR="004E2035">
        <w:rPr>
          <w:rFonts w:cs="Arial"/>
          <w:szCs w:val="24"/>
        </w:rPr>
        <w:t xml:space="preserve">demand for these </w:t>
      </w:r>
      <w:r>
        <w:rPr>
          <w:rFonts w:cs="Arial"/>
          <w:szCs w:val="24"/>
        </w:rPr>
        <w:t xml:space="preserve">cost-effective </w:t>
      </w:r>
      <w:r w:rsidR="003B1F32">
        <w:rPr>
          <w:rFonts w:cs="Arial"/>
          <w:szCs w:val="24"/>
        </w:rPr>
        <w:t xml:space="preserve">services). </w:t>
      </w:r>
      <w:r w:rsidR="00D1563D">
        <w:rPr>
          <w:rFonts w:cs="Arial"/>
          <w:szCs w:val="24"/>
        </w:rPr>
        <w:t xml:space="preserve">LGAs </w:t>
      </w:r>
      <w:r w:rsidR="004E2035">
        <w:rPr>
          <w:rFonts w:cs="Arial"/>
          <w:szCs w:val="24"/>
        </w:rPr>
        <w:t xml:space="preserve">can also </w:t>
      </w:r>
      <w:r w:rsidR="00D1563D">
        <w:rPr>
          <w:rFonts w:cs="Arial"/>
          <w:szCs w:val="24"/>
        </w:rPr>
        <w:t xml:space="preserve">contribute to subsidies for the poor. </w:t>
      </w:r>
      <w:r w:rsidR="00734DCF" w:rsidRPr="003132D7">
        <w:rPr>
          <w:rFonts w:cs="Arial"/>
          <w:szCs w:val="24"/>
        </w:rPr>
        <w:t xml:space="preserve">The differential poverty rates and thus revenue-raising potential of LGAs </w:t>
      </w:r>
      <w:r w:rsidR="004E2035">
        <w:rPr>
          <w:rFonts w:cs="Arial"/>
          <w:szCs w:val="24"/>
        </w:rPr>
        <w:t>may</w:t>
      </w:r>
      <w:r w:rsidR="00734DCF" w:rsidRPr="003132D7">
        <w:rPr>
          <w:rFonts w:cs="Arial"/>
          <w:szCs w:val="24"/>
        </w:rPr>
        <w:t xml:space="preserve"> necessitate development of an equalization mechanism to ensure that those LGAs with a higher proportion of fully-subsidized poor SNHI beneficiaries are not unduly penalized financially. Cross-subsidization is expected both at the level of the individual and geographic area.</w:t>
      </w:r>
      <w:r w:rsidR="00D1563D">
        <w:rPr>
          <w:rFonts w:cs="Arial"/>
          <w:szCs w:val="24"/>
        </w:rPr>
        <w:t xml:space="preserve"> Mechanisms will need to be developed to pool or otherwise encompass in SNHI </w:t>
      </w:r>
      <w:r>
        <w:rPr>
          <w:rFonts w:cs="Arial"/>
          <w:szCs w:val="24"/>
        </w:rPr>
        <w:t xml:space="preserve">any </w:t>
      </w:r>
      <w:r w:rsidR="00D1563D">
        <w:rPr>
          <w:rFonts w:cs="Arial"/>
          <w:szCs w:val="24"/>
        </w:rPr>
        <w:t xml:space="preserve">LGA subsidies for the poor.  </w:t>
      </w:r>
    </w:p>
    <w:p w14:paraId="5CA5E3FD" w14:textId="77777777" w:rsidR="005C14CE" w:rsidRDefault="005C14CE" w:rsidP="00734DCF">
      <w:pPr>
        <w:rPr>
          <w:rFonts w:cs="Arial"/>
          <w:szCs w:val="24"/>
        </w:rPr>
      </w:pPr>
    </w:p>
    <w:p w14:paraId="4327AF5F" w14:textId="77777777" w:rsidR="008121B7" w:rsidRDefault="008121B7" w:rsidP="00734DCF">
      <w:pPr>
        <w:rPr>
          <w:rFonts w:cs="Arial"/>
          <w:szCs w:val="24"/>
        </w:rPr>
      </w:pPr>
    </w:p>
    <w:p w14:paraId="2B701122" w14:textId="0C04C5A1" w:rsidR="002B4DA6" w:rsidRDefault="002B4DA6" w:rsidP="000E5FE1">
      <w:pPr>
        <w:pStyle w:val="Heading3"/>
        <w:spacing w:before="0" w:after="0"/>
        <w:ind w:left="720"/>
      </w:pPr>
      <w:bookmarkStart w:id="38" w:name="_Toc411949943"/>
      <w:r>
        <w:t>Objective 5: Develop a health financing system which is responsive to the needs of the poor, by ensuring effective identification and inclusion mechanisms of the poor</w:t>
      </w:r>
      <w:bookmarkEnd w:id="38"/>
    </w:p>
    <w:p w14:paraId="712E884A" w14:textId="451BF589" w:rsidR="00D6474C" w:rsidRPr="002B4DA6" w:rsidRDefault="00D6474C" w:rsidP="000E5FE1">
      <w:pPr>
        <w:pStyle w:val="Heading3"/>
        <w:numPr>
          <w:ilvl w:val="0"/>
          <w:numId w:val="0"/>
        </w:numPr>
        <w:spacing w:before="0" w:after="0"/>
        <w:ind w:left="810" w:hanging="90"/>
      </w:pPr>
      <w:bookmarkStart w:id="39" w:name="_Toc411949944"/>
      <w:r w:rsidRPr="002B4DA6">
        <w:t xml:space="preserve">Strategy </w:t>
      </w:r>
      <w:r w:rsidR="00490320">
        <w:t>6</w:t>
      </w:r>
      <w:r w:rsidR="00594CAE" w:rsidRPr="002B4DA6">
        <w:t xml:space="preserve">: </w:t>
      </w:r>
      <w:r w:rsidR="007303DE" w:rsidRPr="002B4DA6">
        <w:t xml:space="preserve">Guarantee </w:t>
      </w:r>
      <w:r w:rsidR="00594CAE" w:rsidRPr="002B4DA6">
        <w:t xml:space="preserve">Health </w:t>
      </w:r>
      <w:r w:rsidR="007303DE" w:rsidRPr="002B4DA6">
        <w:t xml:space="preserve">Insurance </w:t>
      </w:r>
      <w:r w:rsidR="00594CAE" w:rsidRPr="002B4DA6">
        <w:t xml:space="preserve">Coverage </w:t>
      </w:r>
      <w:r w:rsidR="007303DE" w:rsidRPr="002B4DA6">
        <w:t xml:space="preserve">for </w:t>
      </w:r>
      <w:r w:rsidR="00594CAE" w:rsidRPr="002B4DA6">
        <w:t>the P</w:t>
      </w:r>
      <w:r w:rsidRPr="002B4DA6">
        <w:t>oor</w:t>
      </w:r>
      <w:r w:rsidR="00C21E75" w:rsidRPr="002B4DA6">
        <w:t xml:space="preserve"> and Vulnerable</w:t>
      </w:r>
      <w:bookmarkEnd w:id="39"/>
    </w:p>
    <w:p w14:paraId="58E85A94" w14:textId="3B8EA550" w:rsidR="00594CAE" w:rsidRPr="00C355DF" w:rsidRDefault="00594CAE" w:rsidP="00AC0F53">
      <w:pPr>
        <w:pStyle w:val="Heading4"/>
        <w:numPr>
          <w:ilvl w:val="0"/>
          <w:numId w:val="0"/>
        </w:numPr>
        <w:ind w:left="864" w:hanging="864"/>
      </w:pPr>
      <w:r w:rsidRPr="00C355DF">
        <w:t xml:space="preserve">Strategic Intervention: adapt TASAF </w:t>
      </w:r>
      <w:r w:rsidR="007303DE" w:rsidRPr="00C355DF">
        <w:t xml:space="preserve">system to </w:t>
      </w:r>
      <w:r w:rsidRPr="00C355DF">
        <w:t>identif</w:t>
      </w:r>
      <w:r w:rsidR="007303DE" w:rsidRPr="00C355DF">
        <w:t xml:space="preserve">ying the poor in </w:t>
      </w:r>
      <w:r w:rsidRPr="00C355DF">
        <w:t>the health sector</w:t>
      </w:r>
    </w:p>
    <w:p w14:paraId="63A37C9A" w14:textId="54D9C3B2" w:rsidR="00AC0F53" w:rsidRDefault="00AC0F53" w:rsidP="00AC0F53">
      <w:pPr>
        <w:rPr>
          <w:rFonts w:cs="Arial"/>
          <w:szCs w:val="24"/>
        </w:rPr>
      </w:pPr>
      <w:r w:rsidRPr="00C355DF">
        <w:rPr>
          <w:rFonts w:cs="Arial"/>
          <w:szCs w:val="24"/>
        </w:rPr>
        <w:t xml:space="preserve">UHC inherently implies (eventual) coverage of the entire population, and Tanzanian health policies and strategies emphasis inclusion of the </w:t>
      </w:r>
      <w:r>
        <w:rPr>
          <w:rFonts w:cs="Arial"/>
          <w:szCs w:val="24"/>
        </w:rPr>
        <w:t xml:space="preserve">poor and </w:t>
      </w:r>
      <w:r w:rsidRPr="00C355DF">
        <w:rPr>
          <w:rFonts w:cs="Arial"/>
          <w:szCs w:val="24"/>
        </w:rPr>
        <w:t>most vulnerable, in terms of ability to pay and health need.</w:t>
      </w:r>
      <w:r>
        <w:rPr>
          <w:rFonts w:cs="Arial"/>
          <w:szCs w:val="24"/>
        </w:rPr>
        <w:t xml:space="preserve">  </w:t>
      </w:r>
      <w:r w:rsidRPr="00AC0F53">
        <w:rPr>
          <w:rFonts w:cs="Arial"/>
          <w:szCs w:val="24"/>
        </w:rPr>
        <w:t xml:space="preserve">Strategy 6 will ensure the poor are accurately and appropriately identified to obtain the </w:t>
      </w:r>
      <w:proofErr w:type="spellStart"/>
      <w:r w:rsidRPr="00AC0F53">
        <w:rPr>
          <w:rFonts w:cs="Arial"/>
          <w:szCs w:val="24"/>
        </w:rPr>
        <w:t>GoT</w:t>
      </w:r>
      <w:proofErr w:type="spellEnd"/>
      <w:r w:rsidRPr="00AC0F53">
        <w:rPr>
          <w:rFonts w:cs="Arial"/>
          <w:szCs w:val="24"/>
        </w:rPr>
        <w:t xml:space="preserve"> subsidies for the poor in Strategy 2 and pool them using the mechanisms established in Strategy </w:t>
      </w:r>
      <w:r w:rsidR="00B267FD">
        <w:rPr>
          <w:rFonts w:cs="Arial"/>
          <w:szCs w:val="24"/>
        </w:rPr>
        <w:t>5</w:t>
      </w:r>
      <w:r w:rsidRPr="00AC0F53">
        <w:rPr>
          <w:rFonts w:cs="Arial"/>
          <w:szCs w:val="24"/>
        </w:rPr>
        <w:t xml:space="preserve">.  </w:t>
      </w:r>
    </w:p>
    <w:p w14:paraId="34BAFC92" w14:textId="77777777" w:rsidR="00EA4932" w:rsidRDefault="00EA4932" w:rsidP="00D6474C">
      <w:pPr>
        <w:rPr>
          <w:rFonts w:cs="Arial"/>
          <w:szCs w:val="24"/>
        </w:rPr>
      </w:pPr>
    </w:p>
    <w:p w14:paraId="2A2F90D1" w14:textId="71D31D69" w:rsidR="00D6474C" w:rsidRPr="00566EE7" w:rsidRDefault="00D6474C" w:rsidP="00D6474C">
      <w:pPr>
        <w:rPr>
          <w:rFonts w:cs="Arial"/>
          <w:szCs w:val="24"/>
        </w:rPr>
      </w:pPr>
      <w:r w:rsidRPr="00D6474C">
        <w:rPr>
          <w:rFonts w:cs="Arial"/>
          <w:szCs w:val="24"/>
        </w:rPr>
        <w:t>Inte</w:t>
      </w:r>
      <w:r>
        <w:rPr>
          <w:rFonts w:cs="Arial"/>
          <w:szCs w:val="24"/>
        </w:rPr>
        <w:t xml:space="preserve">rnational and country evidence </w:t>
      </w:r>
      <w:r w:rsidRPr="00D6474C">
        <w:rPr>
          <w:rFonts w:cs="Arial"/>
          <w:szCs w:val="24"/>
        </w:rPr>
        <w:t>on identification of the poor suggests that a combination of methods is desirable, specifically combining geographical targeting, community identification, and some form of proxy means testing (PMT) in order to have some national benchmarking</w:t>
      </w:r>
      <w:r w:rsidR="00AC2962">
        <w:rPr>
          <w:rFonts w:cs="Arial"/>
          <w:szCs w:val="24"/>
        </w:rPr>
        <w:t xml:space="preserve"> (</w:t>
      </w:r>
      <w:proofErr w:type="spellStart"/>
      <w:r w:rsidR="00AC2962">
        <w:rPr>
          <w:rFonts w:cs="Arial"/>
          <w:szCs w:val="24"/>
        </w:rPr>
        <w:t>Stoermer</w:t>
      </w:r>
      <w:proofErr w:type="spellEnd"/>
      <w:r w:rsidR="00AC2962">
        <w:rPr>
          <w:rFonts w:cs="Arial"/>
          <w:szCs w:val="24"/>
        </w:rPr>
        <w:t xml:space="preserve"> et al 2013)</w:t>
      </w:r>
      <w:r w:rsidRPr="00D6474C">
        <w:rPr>
          <w:rFonts w:cs="Arial"/>
          <w:szCs w:val="24"/>
        </w:rPr>
        <w:t xml:space="preserve">. This approach is </w:t>
      </w:r>
      <w:r w:rsidR="00E8350C">
        <w:rPr>
          <w:rFonts w:cs="Arial"/>
          <w:szCs w:val="24"/>
        </w:rPr>
        <w:t>cross-sectoral</w:t>
      </w:r>
      <w:r w:rsidRPr="00D6474C">
        <w:rPr>
          <w:rFonts w:cs="Arial"/>
          <w:szCs w:val="24"/>
        </w:rPr>
        <w:t xml:space="preserve">, and is currently being used by </w:t>
      </w:r>
      <w:r w:rsidR="00E8350C" w:rsidRPr="00926F56">
        <w:rPr>
          <w:rFonts w:cs="Arial"/>
          <w:szCs w:val="24"/>
        </w:rPr>
        <w:t xml:space="preserve">the </w:t>
      </w:r>
      <w:r w:rsidRPr="00654816">
        <w:rPr>
          <w:rFonts w:cs="Arial"/>
          <w:szCs w:val="24"/>
        </w:rPr>
        <w:t>Tanzanian Social Action Fund (TASAF)</w:t>
      </w:r>
      <w:r w:rsidRPr="00926F56">
        <w:rPr>
          <w:rFonts w:cs="Arial"/>
          <w:szCs w:val="24"/>
        </w:rPr>
        <w:t xml:space="preserve"> fo</w:t>
      </w:r>
      <w:r w:rsidRPr="00D6474C">
        <w:rPr>
          <w:rFonts w:cs="Arial"/>
          <w:szCs w:val="24"/>
        </w:rPr>
        <w:t xml:space="preserve">r the </w:t>
      </w:r>
      <w:r w:rsidRPr="00566EE7">
        <w:rPr>
          <w:rFonts w:cs="Arial"/>
          <w:szCs w:val="24"/>
        </w:rPr>
        <w:t>purposes of identifying beneficiaries of conditional cash transfers (CCT)</w:t>
      </w:r>
      <w:r w:rsidR="004E08D5" w:rsidRPr="00566EE7">
        <w:rPr>
          <w:rFonts w:cs="Arial"/>
          <w:szCs w:val="24"/>
        </w:rPr>
        <w:t xml:space="preserve"> </w:t>
      </w:r>
      <w:r w:rsidR="006339DF">
        <w:rPr>
          <w:rFonts w:cs="Arial"/>
          <w:szCs w:val="24"/>
        </w:rPr>
        <w:t xml:space="preserve">(targeted at 1 </w:t>
      </w:r>
      <w:r w:rsidR="00654816">
        <w:rPr>
          <w:rFonts w:cs="Arial"/>
          <w:szCs w:val="24"/>
        </w:rPr>
        <w:t>million</w:t>
      </w:r>
      <w:r w:rsidR="006339DF">
        <w:rPr>
          <w:rFonts w:cs="Arial"/>
          <w:szCs w:val="24"/>
        </w:rPr>
        <w:t xml:space="preserve"> </w:t>
      </w:r>
      <w:r w:rsidR="00926F56">
        <w:rPr>
          <w:rFonts w:cs="Arial"/>
          <w:szCs w:val="24"/>
        </w:rPr>
        <w:t>poor households)</w:t>
      </w:r>
      <w:r w:rsidRPr="00566EE7">
        <w:rPr>
          <w:rFonts w:cs="Arial"/>
          <w:szCs w:val="24"/>
        </w:rPr>
        <w:t>.</w:t>
      </w:r>
      <w:r w:rsidR="004E08D5" w:rsidRPr="00566EE7">
        <w:rPr>
          <w:rFonts w:cs="Arial"/>
          <w:szCs w:val="24"/>
        </w:rPr>
        <w:t xml:space="preserve">    </w:t>
      </w:r>
      <w:r w:rsidRPr="00566EE7">
        <w:rPr>
          <w:rFonts w:cs="Arial"/>
          <w:szCs w:val="24"/>
        </w:rPr>
        <w:t xml:space="preserve">  </w:t>
      </w:r>
    </w:p>
    <w:p w14:paraId="7DD36AE7" w14:textId="77777777" w:rsidR="00D6474C" w:rsidRPr="00566EE7" w:rsidRDefault="00D6474C" w:rsidP="00D6474C">
      <w:pPr>
        <w:rPr>
          <w:rFonts w:cs="Arial"/>
          <w:szCs w:val="24"/>
        </w:rPr>
      </w:pPr>
    </w:p>
    <w:p w14:paraId="507C28AD" w14:textId="162D1E0D" w:rsidR="00D6474C" w:rsidRPr="00D6474C" w:rsidRDefault="004E08D5" w:rsidP="00D6474C">
      <w:pPr>
        <w:rPr>
          <w:rFonts w:cs="Arial"/>
          <w:szCs w:val="24"/>
        </w:rPr>
      </w:pPr>
      <w:r w:rsidRPr="00566EE7">
        <w:rPr>
          <w:rFonts w:cs="Arial"/>
          <w:szCs w:val="24"/>
        </w:rPr>
        <w:t xml:space="preserve">At the start </w:t>
      </w:r>
      <w:r w:rsidR="00467267" w:rsidRPr="00566EE7">
        <w:rPr>
          <w:rFonts w:cs="Arial"/>
          <w:szCs w:val="24"/>
        </w:rPr>
        <w:t xml:space="preserve">identification and inclusion of the poor </w:t>
      </w:r>
      <w:r w:rsidRPr="00566EE7">
        <w:rPr>
          <w:rFonts w:cs="Arial"/>
          <w:szCs w:val="24"/>
        </w:rPr>
        <w:t xml:space="preserve">will prioritize the 16% and then over time move to identify 28.2 basic needs poor.  </w:t>
      </w:r>
      <w:r w:rsidR="00D6474C" w:rsidRPr="00566EE7">
        <w:rPr>
          <w:rFonts w:cs="Arial"/>
          <w:szCs w:val="24"/>
        </w:rPr>
        <w:t>The target population of the very poor for</w:t>
      </w:r>
      <w:r w:rsidR="00D6474C" w:rsidRPr="004E08D5">
        <w:rPr>
          <w:rFonts w:cs="Arial"/>
          <w:szCs w:val="24"/>
        </w:rPr>
        <w:t xml:space="preserve"> the purpose of full government</w:t>
      </w:r>
      <w:r w:rsidR="00D6474C" w:rsidRPr="00D6474C">
        <w:rPr>
          <w:rFonts w:cs="Arial"/>
          <w:szCs w:val="24"/>
        </w:rPr>
        <w:t xml:space="preserve"> subsidy of health costs currently differs from that for CCTs, and will depend both on political priorities and budget constraints. The 28.2 percent of the population defined as “basic needs” poor according to the 2012 Household Budget Survey will be fully subsidized by Government</w:t>
      </w:r>
      <w:r>
        <w:rPr>
          <w:rFonts w:cs="Arial"/>
          <w:szCs w:val="24"/>
        </w:rPr>
        <w:t xml:space="preserve"> (including all the “food poor”)</w:t>
      </w:r>
      <w:r w:rsidR="00D6474C" w:rsidRPr="00D6474C">
        <w:rPr>
          <w:rFonts w:cs="Arial"/>
          <w:szCs w:val="24"/>
        </w:rPr>
        <w:t>. These will be identified using the combination of methods outlined above, in particular the PMT</w:t>
      </w:r>
      <w:r w:rsidR="00E8350C">
        <w:rPr>
          <w:rFonts w:cs="Arial"/>
          <w:szCs w:val="24"/>
        </w:rPr>
        <w:t>. This will require</w:t>
      </w:r>
      <w:r w:rsidR="00D6474C" w:rsidRPr="00D6474C">
        <w:rPr>
          <w:rFonts w:cs="Arial"/>
          <w:szCs w:val="24"/>
        </w:rPr>
        <w:t xml:space="preserve"> extending the TASAF approach to a larger segment of the population. To speed up the process of identification, additional agencies/</w:t>
      </w:r>
      <w:r w:rsidR="00C355DF">
        <w:rPr>
          <w:rFonts w:cs="Arial"/>
          <w:szCs w:val="24"/>
        </w:rPr>
        <w:t xml:space="preserve"> </w:t>
      </w:r>
      <w:r w:rsidR="00C355DF" w:rsidRPr="00D6474C">
        <w:rPr>
          <w:rFonts w:cs="Arial"/>
          <w:szCs w:val="24"/>
        </w:rPr>
        <w:t>organizations</w:t>
      </w:r>
      <w:r w:rsidR="00D6474C" w:rsidRPr="00D6474C">
        <w:rPr>
          <w:rFonts w:cs="Arial"/>
          <w:szCs w:val="24"/>
        </w:rPr>
        <w:t xml:space="preserve"> will be required to undertake this exercise, and it may be necessary to simplify the PMT instrument to reduce costs and facilitate wider application (TBD)</w:t>
      </w:r>
      <w:r w:rsidR="00377E5C">
        <w:rPr>
          <w:rFonts w:cs="Arial"/>
          <w:szCs w:val="24"/>
        </w:rPr>
        <w:t xml:space="preserve">.  As stated in </w:t>
      </w:r>
      <w:r w:rsidR="000D24E4">
        <w:rPr>
          <w:rFonts w:cs="Arial"/>
          <w:szCs w:val="24"/>
        </w:rPr>
        <w:t>Strategy 5 p</w:t>
      </w:r>
      <w:r w:rsidR="00377E5C">
        <w:rPr>
          <w:rFonts w:cs="Arial"/>
          <w:szCs w:val="24"/>
        </w:rPr>
        <w:t xml:space="preserve">ooling of </w:t>
      </w:r>
      <w:r w:rsidR="000D24E4">
        <w:rPr>
          <w:rFonts w:cs="Arial"/>
          <w:szCs w:val="24"/>
        </w:rPr>
        <w:t>f</w:t>
      </w:r>
      <w:r w:rsidR="00377E5C">
        <w:rPr>
          <w:rFonts w:cs="Arial"/>
          <w:szCs w:val="24"/>
        </w:rPr>
        <w:t>unds</w:t>
      </w:r>
      <w:r w:rsidR="000D24E4">
        <w:rPr>
          <w:rFonts w:cs="Arial"/>
          <w:szCs w:val="24"/>
        </w:rPr>
        <w:t xml:space="preserve"> strategic intervention</w:t>
      </w:r>
      <w:r w:rsidR="00377E5C">
        <w:rPr>
          <w:rFonts w:cs="Arial"/>
          <w:szCs w:val="24"/>
        </w:rPr>
        <w:t>, LGAs</w:t>
      </w:r>
      <w:r w:rsidR="00060BD9">
        <w:rPr>
          <w:rFonts w:cs="Arial"/>
          <w:szCs w:val="24"/>
        </w:rPr>
        <w:t xml:space="preserve"> </w:t>
      </w:r>
      <w:r w:rsidR="000D24E4">
        <w:rPr>
          <w:rFonts w:cs="Arial"/>
          <w:szCs w:val="24"/>
        </w:rPr>
        <w:t>can</w:t>
      </w:r>
      <w:r w:rsidR="00060BD9">
        <w:rPr>
          <w:rFonts w:cs="Arial"/>
          <w:szCs w:val="24"/>
        </w:rPr>
        <w:t xml:space="preserve"> </w:t>
      </w:r>
      <w:r w:rsidR="00060BD9" w:rsidRPr="00060BD9">
        <w:rPr>
          <w:rFonts w:cs="Arial"/>
          <w:szCs w:val="24"/>
        </w:rPr>
        <w:t xml:space="preserve">contribute </w:t>
      </w:r>
      <w:r w:rsidR="00E30777">
        <w:rPr>
          <w:rFonts w:cs="Arial"/>
          <w:szCs w:val="24"/>
        </w:rPr>
        <w:t xml:space="preserve">own source revenues </w:t>
      </w:r>
      <w:r w:rsidR="00060BD9" w:rsidRPr="00060BD9">
        <w:rPr>
          <w:rFonts w:cs="Arial"/>
          <w:szCs w:val="24"/>
        </w:rPr>
        <w:t xml:space="preserve">to the SNHI pool to support </w:t>
      </w:r>
      <w:r w:rsidR="00E30777">
        <w:rPr>
          <w:rFonts w:cs="Arial"/>
          <w:szCs w:val="24"/>
        </w:rPr>
        <w:t xml:space="preserve">the </w:t>
      </w:r>
      <w:r w:rsidR="00060BD9" w:rsidRPr="00060BD9">
        <w:rPr>
          <w:rFonts w:cs="Arial"/>
          <w:szCs w:val="24"/>
        </w:rPr>
        <w:t>s</w:t>
      </w:r>
      <w:r w:rsidR="00060BD9">
        <w:rPr>
          <w:rFonts w:cs="Arial"/>
          <w:szCs w:val="24"/>
        </w:rPr>
        <w:t xml:space="preserve">ubsidies of very poor </w:t>
      </w:r>
      <w:r w:rsidR="00E30777">
        <w:rPr>
          <w:rFonts w:cs="Arial"/>
          <w:szCs w:val="24"/>
        </w:rPr>
        <w:t>members</w:t>
      </w:r>
      <w:r w:rsidR="00377E5C">
        <w:rPr>
          <w:rFonts w:cs="Arial"/>
          <w:szCs w:val="24"/>
        </w:rPr>
        <w:t xml:space="preserve"> identified in this strategic intervention</w:t>
      </w:r>
      <w:r w:rsidR="00E30777">
        <w:rPr>
          <w:rFonts w:cs="Arial"/>
          <w:szCs w:val="24"/>
        </w:rPr>
        <w:t xml:space="preserve">. </w:t>
      </w:r>
    </w:p>
    <w:p w14:paraId="46315595" w14:textId="77777777" w:rsidR="00060BD9" w:rsidRDefault="00060BD9" w:rsidP="00D6474C">
      <w:pPr>
        <w:rPr>
          <w:rFonts w:cs="Arial"/>
          <w:szCs w:val="24"/>
        </w:rPr>
      </w:pPr>
    </w:p>
    <w:p w14:paraId="64BE5F76" w14:textId="77777777" w:rsidR="004F61CF" w:rsidRDefault="004F61CF" w:rsidP="00521A98">
      <w:pPr>
        <w:keepNext/>
        <w:keepLines/>
        <w:numPr>
          <w:ilvl w:val="1"/>
          <w:numId w:val="3"/>
        </w:numPr>
        <w:spacing w:before="40" w:after="120"/>
        <w:outlineLvl w:val="1"/>
        <w:rPr>
          <w:rFonts w:ascii="Cambria" w:eastAsia="Times New Roman" w:hAnsi="Cambria" w:cs="Times New Roman"/>
          <w:color w:val="365F91"/>
          <w:sz w:val="28"/>
          <w:szCs w:val="26"/>
        </w:rPr>
      </w:pPr>
      <w:bookmarkStart w:id="40" w:name="_Toc411949945"/>
      <w:r w:rsidRPr="004F61CF">
        <w:rPr>
          <w:rFonts w:ascii="Cambria" w:eastAsia="Times New Roman" w:hAnsi="Cambria" w:cs="Times New Roman"/>
          <w:color w:val="365F91"/>
          <w:sz w:val="28"/>
          <w:szCs w:val="26"/>
        </w:rPr>
        <w:t>Health</w:t>
      </w:r>
      <w:r w:rsidR="004622EA">
        <w:rPr>
          <w:rFonts w:ascii="Cambria" w:eastAsia="Times New Roman" w:hAnsi="Cambria" w:cs="Times New Roman"/>
          <w:color w:val="365F91"/>
          <w:sz w:val="28"/>
          <w:szCs w:val="26"/>
        </w:rPr>
        <w:t xml:space="preserve"> Care</w:t>
      </w:r>
      <w:r w:rsidRPr="004F61CF">
        <w:rPr>
          <w:rFonts w:ascii="Cambria" w:eastAsia="Times New Roman" w:hAnsi="Cambria" w:cs="Times New Roman"/>
          <w:color w:val="365F91"/>
          <w:sz w:val="28"/>
          <w:szCs w:val="26"/>
        </w:rPr>
        <w:t xml:space="preserve"> Purchasing</w:t>
      </w:r>
      <w:bookmarkEnd w:id="40"/>
    </w:p>
    <w:p w14:paraId="1D14295D" w14:textId="5699D50E" w:rsidR="00C806B7" w:rsidRDefault="00C806B7" w:rsidP="008F2630">
      <w:bookmarkStart w:id="41" w:name="_Toc411499445"/>
      <w:bookmarkStart w:id="42" w:name="_Toc411949946"/>
      <w:r>
        <w:t>There are two elements of health care purchasing – what to purchase or the benefit package and how to purchase or provider payment systems.  Strategy 7 is MBP and Strategy 8 is provider payment systems.</w:t>
      </w:r>
      <w:bookmarkEnd w:id="41"/>
      <w:bookmarkEnd w:id="42"/>
      <w:r>
        <w:t xml:space="preserve">  </w:t>
      </w:r>
    </w:p>
    <w:p w14:paraId="127F1DBA" w14:textId="28FAA491" w:rsidR="00B70385" w:rsidRPr="003A48C6" w:rsidRDefault="00B70385" w:rsidP="003A48C6">
      <w:pPr>
        <w:pStyle w:val="Heading3"/>
      </w:pPr>
      <w:bookmarkStart w:id="43" w:name="_Toc411949947"/>
      <w:r w:rsidRPr="003A48C6">
        <w:t>Objective 6: Ensure appropriate resource allocation and expenditures for health</w:t>
      </w:r>
      <w:r w:rsidR="003A48C6" w:rsidRPr="003A48C6">
        <w:br/>
      </w:r>
      <w:r w:rsidRPr="003A48C6">
        <w:t>Strategy 7:  Establishment of a Standard Minimum Benefit Package</w:t>
      </w:r>
      <w:bookmarkEnd w:id="43"/>
      <w:r w:rsidRPr="003A48C6">
        <w:t xml:space="preserve"> </w:t>
      </w:r>
    </w:p>
    <w:p w14:paraId="62FC9371" w14:textId="77777777" w:rsidR="00B70385" w:rsidRDefault="00B70385" w:rsidP="00D107BE">
      <w:pPr>
        <w:rPr>
          <w:rFonts w:cs="Arial"/>
          <w:szCs w:val="24"/>
        </w:rPr>
      </w:pPr>
    </w:p>
    <w:p w14:paraId="096612BE" w14:textId="0EB14B04" w:rsidR="00715515" w:rsidRPr="00C355DF" w:rsidRDefault="00D107BE" w:rsidP="00D107BE">
      <w:pPr>
        <w:rPr>
          <w:rFonts w:cs="Arial"/>
          <w:szCs w:val="24"/>
        </w:rPr>
      </w:pPr>
      <w:r w:rsidRPr="00C355DF">
        <w:rPr>
          <w:rFonts w:cs="Arial"/>
          <w:szCs w:val="24"/>
        </w:rPr>
        <w:t>No country in the world, including Tanzania, can provide health services to meet all the possible needs of the population. For this reason, countries have to select which services to provide, and many have taken the approach of defining a minimum package of services</w:t>
      </w:r>
      <w:r w:rsidR="007303DE" w:rsidRPr="00C355DF">
        <w:rPr>
          <w:rFonts w:cs="Arial"/>
          <w:szCs w:val="24"/>
        </w:rPr>
        <w:t xml:space="preserve"> that can sustainably be funded based on the available resource envelope</w:t>
      </w:r>
      <w:r w:rsidRPr="00C355DF">
        <w:rPr>
          <w:rFonts w:cs="Arial"/>
          <w:szCs w:val="24"/>
        </w:rPr>
        <w:t>.</w:t>
      </w:r>
      <w:r w:rsidRPr="00C355DF">
        <w:t xml:space="preserve"> </w:t>
      </w:r>
      <w:r w:rsidRPr="00C355DF">
        <w:rPr>
          <w:rFonts w:cs="Arial"/>
          <w:szCs w:val="24"/>
        </w:rPr>
        <w:t xml:space="preserve">The </w:t>
      </w:r>
      <w:r w:rsidR="00B70385">
        <w:rPr>
          <w:rFonts w:cs="Arial"/>
          <w:szCs w:val="24"/>
        </w:rPr>
        <w:t xml:space="preserve">standard </w:t>
      </w:r>
      <w:r w:rsidRPr="00C355DF">
        <w:rPr>
          <w:rFonts w:cs="Arial"/>
          <w:szCs w:val="24"/>
        </w:rPr>
        <w:t>MBP is intended to be a guaranteed minimum for all.</w:t>
      </w:r>
      <w:r w:rsidRPr="00C355DF">
        <w:t xml:space="preserve"> </w:t>
      </w:r>
      <w:r w:rsidRPr="00C355DF">
        <w:rPr>
          <w:rFonts w:cs="Arial"/>
          <w:szCs w:val="24"/>
        </w:rPr>
        <w:t>Because the MBP generally identifies cost-effective interventions, it increases value for money – for a given level of health spending, the impact on health status should improve.</w:t>
      </w:r>
    </w:p>
    <w:p w14:paraId="2BE9ACE9" w14:textId="77777777" w:rsidR="00715515" w:rsidRPr="00C355DF" w:rsidRDefault="00715515" w:rsidP="00F52EA1">
      <w:pPr>
        <w:pStyle w:val="Heading4"/>
        <w:numPr>
          <w:ilvl w:val="0"/>
          <w:numId w:val="0"/>
        </w:numPr>
        <w:ind w:left="864" w:hanging="864"/>
      </w:pPr>
      <w:r w:rsidRPr="00C355DF">
        <w:lastRenderedPageBreak/>
        <w:t>Strategic intervention: implementing the MBP</w:t>
      </w:r>
    </w:p>
    <w:p w14:paraId="6D5332C2" w14:textId="29CB3982" w:rsidR="005001B1" w:rsidRDefault="00C06FB8" w:rsidP="004F61CF">
      <w:pPr>
        <w:rPr>
          <w:rFonts w:eastAsia="Calibri" w:cs="Times New Roman"/>
        </w:rPr>
      </w:pPr>
      <w:r>
        <w:rPr>
          <w:rFonts w:eastAsia="Calibri" w:cs="Times New Roman"/>
        </w:rPr>
        <w:t>A</w:t>
      </w:r>
      <w:r w:rsidR="006C19C2">
        <w:rPr>
          <w:rFonts w:eastAsia="Calibri" w:cs="Times New Roman"/>
        </w:rPr>
        <w:t xml:space="preserve">, simple, clear, </w:t>
      </w:r>
      <w:r w:rsidR="004F61CF" w:rsidRPr="004F61CF">
        <w:rPr>
          <w:rFonts w:eastAsia="Calibri" w:cs="Times New Roman"/>
        </w:rPr>
        <w:t xml:space="preserve">affordable </w:t>
      </w:r>
      <w:r w:rsidR="006C19C2">
        <w:rPr>
          <w:rFonts w:eastAsia="Calibri" w:cs="Times New Roman"/>
        </w:rPr>
        <w:t xml:space="preserve">and portable </w:t>
      </w:r>
      <w:r w:rsidR="004F61CF" w:rsidRPr="004F61CF">
        <w:rPr>
          <w:rFonts w:eastAsia="Calibri" w:cs="Times New Roman"/>
        </w:rPr>
        <w:t>standard Minimum Benefit Package (MBP) is clearly defined to</w:t>
      </w:r>
      <w:r>
        <w:rPr>
          <w:rFonts w:eastAsia="Calibri" w:cs="Times New Roman"/>
        </w:rPr>
        <w:t xml:space="preserve"> </w:t>
      </w:r>
      <w:r w:rsidR="004F61CF" w:rsidRPr="004F61CF">
        <w:rPr>
          <w:rFonts w:eastAsia="Calibri" w:cs="Times New Roman"/>
        </w:rPr>
        <w:t>serve as a legal entitlement to the whole population.</w:t>
      </w:r>
      <w:r w:rsidR="00F52EA1">
        <w:rPr>
          <w:rFonts w:eastAsia="Calibri" w:cs="Times New Roman"/>
        </w:rPr>
        <w:t xml:space="preserve"> </w:t>
      </w:r>
      <w:r w:rsidR="009B3EC3">
        <w:rPr>
          <w:rFonts w:eastAsia="Calibri" w:cs="Times New Roman"/>
        </w:rPr>
        <w:t>In the short</w:t>
      </w:r>
      <w:r w:rsidR="00F52EA1">
        <w:rPr>
          <w:rFonts w:eastAsia="Calibri" w:cs="Times New Roman"/>
        </w:rPr>
        <w:t>- medium-term</w:t>
      </w:r>
      <w:r w:rsidR="00AE046E">
        <w:rPr>
          <w:rFonts w:eastAsia="Calibri" w:cs="Times New Roman"/>
        </w:rPr>
        <w:t xml:space="preserve"> there will be two types of MBP, standard MBP and MBP plus</w:t>
      </w:r>
      <w:r w:rsidR="00F52EA1">
        <w:rPr>
          <w:rFonts w:eastAsia="Calibri" w:cs="Times New Roman"/>
        </w:rPr>
        <w:t xml:space="preserve"> which is currently covered under NHIF</w:t>
      </w:r>
      <w:r w:rsidR="00AE046E">
        <w:rPr>
          <w:rFonts w:eastAsia="Calibri" w:cs="Times New Roman"/>
        </w:rPr>
        <w:t>.</w:t>
      </w:r>
      <w:r w:rsidR="00F52EA1">
        <w:rPr>
          <w:rFonts w:eastAsia="Calibri" w:cs="Times New Roman"/>
        </w:rPr>
        <w:t xml:space="preserve"> The intent of th</w:t>
      </w:r>
      <w:r w:rsidR="00357BF4">
        <w:rPr>
          <w:rFonts w:eastAsia="Calibri" w:cs="Times New Roman"/>
        </w:rPr>
        <w:t>is</w:t>
      </w:r>
      <w:r w:rsidR="00F52EA1">
        <w:rPr>
          <w:rFonts w:eastAsia="Calibri" w:cs="Times New Roman"/>
        </w:rPr>
        <w:t xml:space="preserve"> strategy is to first provide standard MBP to all Tanzanian citizens and then over time move standard MBP to MBP plus for all Tanzanian citizens.  </w:t>
      </w:r>
      <w:r w:rsidR="005001B1">
        <w:rPr>
          <w:rFonts w:eastAsia="Calibri" w:cs="Times New Roman"/>
        </w:rPr>
        <w:t xml:space="preserve">Specification of MBP will evolve through SNHI implementation but it will initially be established based on levels of care.  </w:t>
      </w:r>
    </w:p>
    <w:p w14:paraId="2BCF2CB8" w14:textId="77777777" w:rsidR="005001B1" w:rsidRDefault="005001B1" w:rsidP="004F61CF">
      <w:pPr>
        <w:rPr>
          <w:rFonts w:eastAsia="Calibri" w:cs="Times New Roman"/>
        </w:rPr>
      </w:pPr>
    </w:p>
    <w:p w14:paraId="0DA9B226" w14:textId="2597767B" w:rsidR="000C262C" w:rsidRDefault="00AE046E" w:rsidP="004F61CF">
      <w:pPr>
        <w:rPr>
          <w:rFonts w:eastAsia="Calibri" w:cs="Times New Roman"/>
          <w:highlight w:val="yellow"/>
        </w:rPr>
      </w:pPr>
      <w:r>
        <w:rPr>
          <w:rFonts w:eastAsia="Calibri" w:cs="Times New Roman"/>
        </w:rPr>
        <w:t xml:space="preserve">The standard MBP which will be accessible to everyone </w:t>
      </w:r>
      <w:r w:rsidR="009B3EC3">
        <w:rPr>
          <w:rFonts w:eastAsia="Calibri" w:cs="Times New Roman"/>
        </w:rPr>
        <w:t xml:space="preserve">will include </w:t>
      </w:r>
      <w:r w:rsidR="003F564E">
        <w:rPr>
          <w:rFonts w:eastAsia="Calibri" w:cs="Times New Roman"/>
        </w:rPr>
        <w:t>all individualized</w:t>
      </w:r>
      <w:r w:rsidR="00DA5BDF">
        <w:rPr>
          <w:rFonts w:eastAsia="Calibri" w:cs="Times New Roman"/>
        </w:rPr>
        <w:t xml:space="preserve"> </w:t>
      </w:r>
      <w:r w:rsidR="00DA5BDF" w:rsidRPr="00D51738">
        <w:rPr>
          <w:rFonts w:eastAsia="Calibri" w:cs="Times New Roman"/>
        </w:rPr>
        <w:t>preventive</w:t>
      </w:r>
      <w:r w:rsidR="00DA5BDF">
        <w:rPr>
          <w:rFonts w:eastAsia="Calibri" w:cs="Times New Roman"/>
        </w:rPr>
        <w:t xml:space="preserve"> and curative</w:t>
      </w:r>
      <w:r w:rsidR="003F564E">
        <w:rPr>
          <w:rFonts w:eastAsia="Calibri" w:cs="Times New Roman"/>
        </w:rPr>
        <w:t xml:space="preserve"> </w:t>
      </w:r>
      <w:r w:rsidR="009B3EC3">
        <w:rPr>
          <w:rFonts w:eastAsia="Calibri" w:cs="Times New Roman"/>
        </w:rPr>
        <w:t xml:space="preserve">services at dispensary, health </w:t>
      </w:r>
      <w:r w:rsidR="004C69B0">
        <w:rPr>
          <w:rFonts w:eastAsia="Calibri" w:cs="Times New Roman"/>
        </w:rPr>
        <w:t>center</w:t>
      </w:r>
      <w:r w:rsidR="009B3EC3">
        <w:rPr>
          <w:rFonts w:eastAsia="Calibri" w:cs="Times New Roman"/>
        </w:rPr>
        <w:t xml:space="preserve"> and district hospital. </w:t>
      </w:r>
      <w:r w:rsidR="00F52EA1">
        <w:rPr>
          <w:rFonts w:eastAsia="Calibri" w:cs="Times New Roman"/>
        </w:rPr>
        <w:t>It</w:t>
      </w:r>
      <w:r w:rsidR="003F564E">
        <w:rPr>
          <w:rFonts w:eastAsia="Calibri" w:cs="Times New Roman"/>
        </w:rPr>
        <w:t xml:space="preserve"> will exclude public health services such as</w:t>
      </w:r>
      <w:r w:rsidR="00AA37DB">
        <w:rPr>
          <w:rFonts w:eastAsia="Calibri" w:cs="Times New Roman"/>
        </w:rPr>
        <w:t xml:space="preserve"> water and sanitation programs and education and promotion campaigns</w:t>
      </w:r>
      <w:r w:rsidR="00F52EA1">
        <w:rPr>
          <w:rFonts w:eastAsia="Calibri" w:cs="Times New Roman"/>
        </w:rPr>
        <w:t>.</w:t>
      </w:r>
      <w:r w:rsidR="00AA37DB">
        <w:rPr>
          <w:rFonts w:eastAsia="Calibri" w:cs="Times New Roman"/>
        </w:rPr>
        <w:t xml:space="preserve"> </w:t>
      </w:r>
      <w:r w:rsidR="009B3EC3">
        <w:rPr>
          <w:rFonts w:eastAsia="Calibri" w:cs="Times New Roman"/>
        </w:rPr>
        <w:t xml:space="preserve">Access to district hospital will be granted upon receipt of referral letter from dispensary or health </w:t>
      </w:r>
      <w:r w:rsidR="004C69B0">
        <w:rPr>
          <w:rFonts w:eastAsia="Calibri" w:cs="Times New Roman"/>
        </w:rPr>
        <w:t>center</w:t>
      </w:r>
      <w:r w:rsidR="009B3EC3">
        <w:rPr>
          <w:rFonts w:eastAsia="Calibri" w:cs="Times New Roman"/>
        </w:rPr>
        <w:t xml:space="preserve">. Where members of SNHI walk-in to the district hospital without referral letter the person will bear full cost of health services provided. </w:t>
      </w:r>
      <w:r w:rsidR="005161E9" w:rsidRPr="005161E9">
        <w:rPr>
          <w:rFonts w:eastAsia="Calibri" w:cs="Times New Roman"/>
        </w:rPr>
        <w:t>Enforcing referral system is crucial for the sustainability of the SNHI</w:t>
      </w:r>
      <w:r w:rsidR="009B3EC3">
        <w:rPr>
          <w:rFonts w:eastAsia="Calibri" w:cs="Times New Roman"/>
        </w:rPr>
        <w:t xml:space="preserve"> especially at the initial years of its introduction where we expected high increase in utilization of formal health care</w:t>
      </w:r>
      <w:r w:rsidR="005161E9" w:rsidRPr="005161E9">
        <w:rPr>
          <w:rFonts w:eastAsia="Calibri" w:cs="Times New Roman"/>
        </w:rPr>
        <w:t>. However, the main challenge in enforcing referral system is availability of services at primary facilities</w:t>
      </w:r>
      <w:r w:rsidR="009B3EC3">
        <w:rPr>
          <w:rFonts w:eastAsia="Calibri" w:cs="Times New Roman"/>
        </w:rPr>
        <w:t xml:space="preserve"> (dispensaries and health </w:t>
      </w:r>
      <w:r w:rsidR="00C355DF">
        <w:rPr>
          <w:rFonts w:eastAsia="Calibri" w:cs="Times New Roman"/>
        </w:rPr>
        <w:t>centers</w:t>
      </w:r>
      <w:r w:rsidR="009B3EC3">
        <w:rPr>
          <w:rFonts w:eastAsia="Calibri" w:cs="Times New Roman"/>
        </w:rPr>
        <w:t>)</w:t>
      </w:r>
      <w:r w:rsidR="005161E9" w:rsidRPr="005161E9">
        <w:rPr>
          <w:rFonts w:eastAsia="Calibri" w:cs="Times New Roman"/>
        </w:rPr>
        <w:t>. Without effective availability of services members will continue to bypass to higher level and the objective of financial protection will not be guaranteed as many SNHI members will be paying out-of-pocket.</w:t>
      </w:r>
      <w:r w:rsidR="009B3EC3">
        <w:rPr>
          <w:rFonts w:eastAsia="Calibri" w:cs="Times New Roman"/>
        </w:rPr>
        <w:t xml:space="preserve"> This HFS </w:t>
      </w:r>
      <w:r w:rsidR="00DC069E">
        <w:rPr>
          <w:rFonts w:eastAsia="Calibri" w:cs="Times New Roman"/>
        </w:rPr>
        <w:t xml:space="preserve">has been </w:t>
      </w:r>
      <w:r w:rsidR="009B3EC3">
        <w:rPr>
          <w:rFonts w:eastAsia="Calibri" w:cs="Times New Roman"/>
        </w:rPr>
        <w:t xml:space="preserve">written </w:t>
      </w:r>
      <w:r w:rsidR="00DC069E">
        <w:rPr>
          <w:rFonts w:eastAsia="Calibri" w:cs="Times New Roman"/>
        </w:rPr>
        <w:t>under the assumption that the focus on strengthened primary healthcare services delivery will remain during the strategic period</w:t>
      </w:r>
      <w:r w:rsidR="009B3EC3">
        <w:rPr>
          <w:rFonts w:eastAsia="Calibri" w:cs="Times New Roman"/>
        </w:rPr>
        <w:t>. Further with initiatives such as th</w:t>
      </w:r>
      <w:r w:rsidR="009B3EC3" w:rsidRPr="00DC069E">
        <w:rPr>
          <w:rFonts w:eastAsia="Calibri" w:cs="Times New Roman"/>
        </w:rPr>
        <w:t xml:space="preserve">e </w:t>
      </w:r>
      <w:r w:rsidR="00DD61B6" w:rsidRPr="004F787C">
        <w:rPr>
          <w:rFonts w:eastAsia="Calibri" w:cs="Times New Roman"/>
        </w:rPr>
        <w:t>Result Based Financing</w:t>
      </w:r>
      <w:r w:rsidR="0099670E" w:rsidRPr="004F787C">
        <w:rPr>
          <w:rFonts w:eastAsia="Calibri" w:cs="Times New Roman"/>
        </w:rPr>
        <w:t xml:space="preserve"> (RBF)</w:t>
      </w:r>
      <w:r w:rsidR="00DD61B6" w:rsidRPr="004F787C">
        <w:rPr>
          <w:rFonts w:eastAsia="Calibri" w:cs="Times New Roman"/>
        </w:rPr>
        <w:t xml:space="preserve"> </w:t>
      </w:r>
      <w:r w:rsidR="000C262C">
        <w:rPr>
          <w:rFonts w:eastAsia="Calibri" w:cs="Times New Roman"/>
        </w:rPr>
        <w:t>it is</w:t>
      </w:r>
      <w:r w:rsidR="00DD61B6">
        <w:rPr>
          <w:rFonts w:eastAsia="Calibri" w:cs="Times New Roman"/>
        </w:rPr>
        <w:t xml:space="preserve"> expect</w:t>
      </w:r>
      <w:r w:rsidR="000C262C">
        <w:rPr>
          <w:rFonts w:eastAsia="Calibri" w:cs="Times New Roman"/>
        </w:rPr>
        <w:t>ed</w:t>
      </w:r>
      <w:r w:rsidR="00DD61B6">
        <w:rPr>
          <w:rFonts w:eastAsia="Calibri" w:cs="Times New Roman"/>
        </w:rPr>
        <w:t xml:space="preserve"> that quality of service</w:t>
      </w:r>
      <w:r w:rsidR="00DC069E">
        <w:rPr>
          <w:rFonts w:eastAsia="Calibri" w:cs="Times New Roman"/>
        </w:rPr>
        <w:t>s</w:t>
      </w:r>
      <w:r w:rsidR="00DD61B6">
        <w:rPr>
          <w:rFonts w:eastAsia="Calibri" w:cs="Times New Roman"/>
        </w:rPr>
        <w:t xml:space="preserve"> in primary facilities will</w:t>
      </w:r>
      <w:r w:rsidR="000C262C">
        <w:rPr>
          <w:rFonts w:eastAsia="Calibri" w:cs="Times New Roman"/>
        </w:rPr>
        <w:t xml:space="preserve"> be</w:t>
      </w:r>
      <w:r w:rsidR="00DD61B6">
        <w:rPr>
          <w:rFonts w:eastAsia="Calibri" w:cs="Times New Roman"/>
        </w:rPr>
        <w:t xml:space="preserve"> improve</w:t>
      </w:r>
      <w:r w:rsidR="000C262C">
        <w:rPr>
          <w:rFonts w:eastAsia="Calibri" w:cs="Times New Roman"/>
        </w:rPr>
        <w:t>d</w:t>
      </w:r>
      <w:r w:rsidR="00DD61B6">
        <w:rPr>
          <w:rFonts w:eastAsia="Calibri" w:cs="Times New Roman"/>
        </w:rPr>
        <w:t xml:space="preserve"> and the challenge of drug </w:t>
      </w:r>
      <w:r w:rsidR="00F52EA1">
        <w:rPr>
          <w:rFonts w:eastAsia="Calibri" w:cs="Times New Roman"/>
        </w:rPr>
        <w:t>availability</w:t>
      </w:r>
      <w:r w:rsidR="00DD61B6">
        <w:rPr>
          <w:rFonts w:eastAsia="Calibri" w:cs="Times New Roman"/>
        </w:rPr>
        <w:t xml:space="preserve"> will be resolved, hence reducing unnecessary needs of bypassing to higher level facilities.</w:t>
      </w:r>
      <w:r w:rsidR="00F52EA1">
        <w:rPr>
          <w:rFonts w:eastAsia="Calibri" w:cs="Times New Roman"/>
        </w:rPr>
        <w:t xml:space="preserve">  </w:t>
      </w:r>
      <w:r w:rsidR="00357BF4">
        <w:rPr>
          <w:rFonts w:eastAsia="Calibri" w:cs="Times New Roman"/>
        </w:rPr>
        <w:t xml:space="preserve">And also </w:t>
      </w:r>
      <w:r w:rsidR="00F52EA1">
        <w:rPr>
          <w:rFonts w:eastAsia="Calibri" w:cs="Times New Roman"/>
        </w:rPr>
        <w:t xml:space="preserve">over time efficiency gains from </w:t>
      </w:r>
      <w:r w:rsidR="00357BF4">
        <w:rPr>
          <w:rFonts w:eastAsia="Calibri" w:cs="Times New Roman"/>
        </w:rPr>
        <w:t xml:space="preserve">utilization at </w:t>
      </w:r>
      <w:r w:rsidR="00F52EA1">
        <w:rPr>
          <w:rFonts w:eastAsia="Calibri" w:cs="Times New Roman"/>
        </w:rPr>
        <w:t>lower and more cost-effective levels of care can be used to extend coverage</w:t>
      </w:r>
      <w:r w:rsidR="00357BF4">
        <w:rPr>
          <w:rFonts w:eastAsia="Calibri" w:cs="Times New Roman"/>
        </w:rPr>
        <w:t>.</w:t>
      </w:r>
      <w:r w:rsidR="00F52EA1">
        <w:rPr>
          <w:rFonts w:eastAsia="Calibri" w:cs="Times New Roman"/>
        </w:rPr>
        <w:t xml:space="preserve"> </w:t>
      </w:r>
      <w:r w:rsidR="00C7364E">
        <w:rPr>
          <w:rFonts w:eastAsia="Calibri" w:cs="Times New Roman"/>
          <w:highlight w:val="yellow"/>
        </w:rPr>
        <w:t xml:space="preserve"> </w:t>
      </w:r>
    </w:p>
    <w:p w14:paraId="2B0D24A9" w14:textId="77777777" w:rsidR="00CF203C" w:rsidRDefault="00CF203C" w:rsidP="004F61CF">
      <w:pPr>
        <w:rPr>
          <w:rFonts w:eastAsia="Calibri" w:cs="Times New Roman"/>
          <w:highlight w:val="yellow"/>
        </w:rPr>
      </w:pPr>
    </w:p>
    <w:p w14:paraId="7E9E757A" w14:textId="503CD5E7" w:rsidR="00C7364E" w:rsidRDefault="00CF203C" w:rsidP="004F61CF">
      <w:pPr>
        <w:rPr>
          <w:rFonts w:eastAsia="Calibri" w:cs="Times New Roman"/>
        </w:rPr>
      </w:pPr>
      <w:r>
        <w:rPr>
          <w:rFonts w:eastAsia="Calibri" w:cs="Times New Roman"/>
        </w:rPr>
        <w:t>P</w:t>
      </w:r>
      <w:r w:rsidR="000C262C">
        <w:rPr>
          <w:rFonts w:eastAsia="Calibri" w:cs="Times New Roman"/>
        </w:rPr>
        <w:t xml:space="preserve">ublic and </w:t>
      </w:r>
      <w:r>
        <w:rPr>
          <w:rFonts w:eastAsia="Calibri" w:cs="Times New Roman"/>
        </w:rPr>
        <w:t>accredited private</w:t>
      </w:r>
      <w:r w:rsidR="000C262C">
        <w:rPr>
          <w:rFonts w:eastAsia="Calibri" w:cs="Times New Roman"/>
        </w:rPr>
        <w:t xml:space="preserve"> facilities will be contracted to provide the </w:t>
      </w:r>
      <w:r w:rsidR="00AE046E">
        <w:rPr>
          <w:rFonts w:eastAsia="Calibri" w:cs="Times New Roman"/>
        </w:rPr>
        <w:t xml:space="preserve">standard </w:t>
      </w:r>
      <w:r w:rsidR="000C262C">
        <w:rPr>
          <w:rFonts w:eastAsia="Calibri" w:cs="Times New Roman"/>
        </w:rPr>
        <w:t xml:space="preserve">MBP for SNHI members. In areas where there will be no public primary facility, special arrangements will be made to </w:t>
      </w:r>
      <w:r>
        <w:rPr>
          <w:rFonts w:eastAsia="Calibri" w:cs="Times New Roman"/>
        </w:rPr>
        <w:t>ensure that there is an</w:t>
      </w:r>
      <w:r w:rsidR="000C262C">
        <w:rPr>
          <w:rFonts w:eastAsia="Calibri" w:cs="Times New Roman"/>
        </w:rPr>
        <w:t xml:space="preserve"> </w:t>
      </w:r>
      <w:r>
        <w:rPr>
          <w:rFonts w:eastAsia="Calibri" w:cs="Times New Roman"/>
        </w:rPr>
        <w:t xml:space="preserve">accredited private </w:t>
      </w:r>
      <w:r w:rsidR="000C262C">
        <w:rPr>
          <w:rFonts w:eastAsia="Calibri" w:cs="Times New Roman"/>
        </w:rPr>
        <w:t>facility within that area in order to guarantee availability of care to everybody in need. The SNHI card will be portable across all contracted providers within Tanzania.</w:t>
      </w:r>
    </w:p>
    <w:p w14:paraId="32443253" w14:textId="77777777" w:rsidR="00CF203C" w:rsidRDefault="00CF203C" w:rsidP="004F61CF">
      <w:pPr>
        <w:rPr>
          <w:rFonts w:eastAsia="Calibri" w:cs="Times New Roman"/>
        </w:rPr>
      </w:pPr>
    </w:p>
    <w:p w14:paraId="4B972FD3" w14:textId="3420BBC3" w:rsidR="008B66A8" w:rsidRDefault="00AE046E" w:rsidP="004F61CF">
      <w:pPr>
        <w:rPr>
          <w:rFonts w:eastAsia="Calibri" w:cs="Times New Roman"/>
        </w:rPr>
      </w:pPr>
      <w:r>
        <w:rPr>
          <w:rFonts w:eastAsia="Calibri" w:cs="Times New Roman"/>
        </w:rPr>
        <w:t xml:space="preserve">MBP plus will include in addition to what is provided under standard MBP, access to regional referral, zonal referral and national hospital as is currently covered under NHIF. It is not the intention of the SNHI to reduce the size of health care benefit package that is currently consumed by the members of the NHIF. Such members together with employees in the formal </w:t>
      </w:r>
      <w:r w:rsidR="00C355DF">
        <w:rPr>
          <w:rFonts w:eastAsia="Calibri" w:cs="Times New Roman"/>
        </w:rPr>
        <w:t>non-</w:t>
      </w:r>
      <w:r w:rsidR="004622EA">
        <w:rPr>
          <w:rFonts w:eastAsia="Calibri" w:cs="Times New Roman"/>
        </w:rPr>
        <w:t xml:space="preserve">public </w:t>
      </w:r>
      <w:r>
        <w:rPr>
          <w:rFonts w:eastAsia="Calibri" w:cs="Times New Roman"/>
        </w:rPr>
        <w:t>sector</w:t>
      </w:r>
      <w:r w:rsidR="004622EA">
        <w:rPr>
          <w:rFonts w:eastAsia="Calibri" w:cs="Times New Roman"/>
        </w:rPr>
        <w:t>s</w:t>
      </w:r>
      <w:r w:rsidR="00645378">
        <w:rPr>
          <w:rFonts w:eastAsia="Calibri" w:cs="Times New Roman"/>
        </w:rPr>
        <w:t xml:space="preserve"> </w:t>
      </w:r>
      <w:r w:rsidRPr="004F787C">
        <w:rPr>
          <w:rFonts w:eastAsia="Calibri" w:cs="Times New Roman"/>
        </w:rPr>
        <w:t xml:space="preserve">will </w:t>
      </w:r>
      <w:r w:rsidR="004622EA" w:rsidRPr="004F787C">
        <w:rPr>
          <w:rFonts w:eastAsia="Calibri" w:cs="Times New Roman"/>
        </w:rPr>
        <w:t>be</w:t>
      </w:r>
      <w:r w:rsidRPr="004F787C">
        <w:rPr>
          <w:rFonts w:eastAsia="Calibri" w:cs="Times New Roman"/>
        </w:rPr>
        <w:t xml:space="preserve"> accessing the current NHIF package </w:t>
      </w:r>
      <w:r w:rsidRPr="004F787C">
        <w:rPr>
          <w:rFonts w:eastAsia="Calibri" w:cs="Times New Roman"/>
        </w:rPr>
        <w:lastRenderedPageBreak/>
        <w:t>(referred to as MBP plus)</w:t>
      </w:r>
      <w:r w:rsidRPr="00DC069E">
        <w:rPr>
          <w:rFonts w:eastAsia="Calibri" w:cs="Times New Roman"/>
        </w:rPr>
        <w:t xml:space="preserve"> but t</w:t>
      </w:r>
      <w:r>
        <w:rPr>
          <w:rFonts w:eastAsia="Calibri" w:cs="Times New Roman"/>
        </w:rPr>
        <w:t xml:space="preserve">his package will be </w:t>
      </w:r>
      <w:r w:rsidR="004622EA">
        <w:rPr>
          <w:rFonts w:eastAsia="Calibri" w:cs="Times New Roman"/>
        </w:rPr>
        <w:t>‘</w:t>
      </w:r>
      <w:r w:rsidR="00C355DF">
        <w:rPr>
          <w:rFonts w:eastAsia="Calibri" w:cs="Times New Roman"/>
        </w:rPr>
        <w:t>”frozen”</w:t>
      </w:r>
      <w:r>
        <w:rPr>
          <w:rFonts w:eastAsia="Calibri" w:cs="Times New Roman"/>
        </w:rPr>
        <w:t xml:space="preserve"> until the time when the SNHI </w:t>
      </w:r>
      <w:r w:rsidR="00357BF4">
        <w:rPr>
          <w:rFonts w:eastAsia="Calibri" w:cs="Times New Roman"/>
        </w:rPr>
        <w:t>is</w:t>
      </w:r>
      <w:r>
        <w:rPr>
          <w:rFonts w:eastAsia="Calibri" w:cs="Times New Roman"/>
        </w:rPr>
        <w:t xml:space="preserve"> sustainable enough to raise the standard MBP up to the </w:t>
      </w:r>
      <w:r w:rsidR="00357BF4">
        <w:rPr>
          <w:rFonts w:eastAsia="Calibri" w:cs="Times New Roman"/>
        </w:rPr>
        <w:t xml:space="preserve">MBP plus </w:t>
      </w:r>
      <w:r>
        <w:rPr>
          <w:rFonts w:eastAsia="Calibri" w:cs="Times New Roman"/>
        </w:rPr>
        <w:t xml:space="preserve">level equivalent to the current NHIF package. </w:t>
      </w:r>
      <w:r w:rsidR="00357BF4">
        <w:rPr>
          <w:rFonts w:eastAsia="Calibri" w:cs="Times New Roman"/>
        </w:rPr>
        <w:t>Again,</w:t>
      </w:r>
      <w:r>
        <w:rPr>
          <w:rFonts w:eastAsia="Calibri" w:cs="Times New Roman"/>
        </w:rPr>
        <w:t xml:space="preserve"> t</w:t>
      </w:r>
      <w:r w:rsidR="004F61CF" w:rsidRPr="004F61CF">
        <w:rPr>
          <w:rFonts w:eastAsia="Calibri" w:cs="Times New Roman"/>
        </w:rPr>
        <w:t xml:space="preserve">he </w:t>
      </w:r>
      <w:r w:rsidR="00CA0211">
        <w:rPr>
          <w:rFonts w:eastAsia="Calibri" w:cs="Times New Roman"/>
        </w:rPr>
        <w:t xml:space="preserve">long-term </w:t>
      </w:r>
      <w:r w:rsidR="004F61CF" w:rsidRPr="004F61CF">
        <w:rPr>
          <w:rFonts w:eastAsia="Calibri" w:cs="Times New Roman"/>
        </w:rPr>
        <w:t>goal is to</w:t>
      </w:r>
      <w:r>
        <w:rPr>
          <w:rFonts w:eastAsia="Calibri" w:cs="Times New Roman"/>
        </w:rPr>
        <w:t xml:space="preserve"> </w:t>
      </w:r>
      <w:r w:rsidR="00357BF4">
        <w:rPr>
          <w:rFonts w:eastAsia="Calibri" w:cs="Times New Roman"/>
        </w:rPr>
        <w:t>ensure</w:t>
      </w:r>
      <w:r>
        <w:rPr>
          <w:rFonts w:eastAsia="Calibri" w:cs="Times New Roman"/>
        </w:rPr>
        <w:t xml:space="preserve"> that every </w:t>
      </w:r>
      <w:r w:rsidR="00357BF4">
        <w:rPr>
          <w:rFonts w:eastAsia="Calibri" w:cs="Times New Roman"/>
        </w:rPr>
        <w:t xml:space="preserve">SNHI </w:t>
      </w:r>
      <w:r>
        <w:rPr>
          <w:rFonts w:eastAsia="Calibri" w:cs="Times New Roman"/>
        </w:rPr>
        <w:t xml:space="preserve">member has access to the level of benefit package that is currently provided by the NHIF. </w:t>
      </w:r>
      <w:r w:rsidR="00357BF4">
        <w:rPr>
          <w:rFonts w:eastAsia="Calibri" w:cs="Times New Roman"/>
        </w:rPr>
        <w:t>And t</w:t>
      </w:r>
      <w:r>
        <w:rPr>
          <w:rFonts w:eastAsia="Calibri" w:cs="Times New Roman"/>
        </w:rPr>
        <w:t xml:space="preserve">his </w:t>
      </w:r>
      <w:r w:rsidR="004622EA">
        <w:rPr>
          <w:rFonts w:eastAsia="Calibri" w:cs="Times New Roman"/>
        </w:rPr>
        <w:t xml:space="preserve">is </w:t>
      </w:r>
      <w:r w:rsidR="00357BF4">
        <w:rPr>
          <w:rFonts w:eastAsia="Calibri" w:cs="Times New Roman"/>
        </w:rPr>
        <w:t>the</w:t>
      </w:r>
      <w:r>
        <w:rPr>
          <w:rFonts w:eastAsia="Calibri" w:cs="Times New Roman"/>
        </w:rPr>
        <w:t xml:space="preserve"> long term definition of the SNHI MBP.</w:t>
      </w:r>
      <w:r w:rsidR="004622EA">
        <w:rPr>
          <w:rFonts w:eastAsia="Calibri" w:cs="Times New Roman"/>
        </w:rPr>
        <w:t xml:space="preserve"> </w:t>
      </w:r>
      <w:r w:rsidR="00DC069E">
        <w:rPr>
          <w:rFonts w:eastAsia="Calibri" w:cs="Times New Roman"/>
        </w:rPr>
        <w:t xml:space="preserve">Individuals </w:t>
      </w:r>
      <w:r w:rsidR="004622EA">
        <w:rPr>
          <w:rFonts w:eastAsia="Calibri" w:cs="Times New Roman"/>
        </w:rPr>
        <w:t>who are currently not employed in the formal sector but would wish to enjoy MBP plus straight away can do so upon contributing additional premium top</w:t>
      </w:r>
      <w:r w:rsidR="00357BF4">
        <w:rPr>
          <w:rFonts w:eastAsia="Calibri" w:cs="Times New Roman"/>
        </w:rPr>
        <w:t>-</w:t>
      </w:r>
      <w:r w:rsidR="004622EA">
        <w:rPr>
          <w:rFonts w:eastAsia="Calibri" w:cs="Times New Roman"/>
        </w:rPr>
        <w:t>up to standard premium contribution rates.</w:t>
      </w:r>
    </w:p>
    <w:p w14:paraId="6E9DCC48" w14:textId="77777777" w:rsidR="00DB1201" w:rsidRDefault="00DB1201" w:rsidP="004F61CF">
      <w:pPr>
        <w:rPr>
          <w:rFonts w:eastAsia="Calibri" w:cs="Times New Roman"/>
        </w:rPr>
      </w:pPr>
    </w:p>
    <w:p w14:paraId="0592E7E6" w14:textId="7883A625" w:rsidR="004F61CF" w:rsidRDefault="00AA2CE4" w:rsidP="004F61CF">
      <w:pPr>
        <w:rPr>
          <w:rFonts w:eastAsia="Calibri" w:cs="Times New Roman"/>
        </w:rPr>
      </w:pPr>
      <w:r>
        <w:rPr>
          <w:rFonts w:eastAsia="Calibri" w:cs="Times New Roman"/>
        </w:rPr>
        <w:t xml:space="preserve">As regards public health interventions </w:t>
      </w:r>
      <w:r w:rsidRPr="00AA2CE4">
        <w:rPr>
          <w:rFonts w:eastAsia="Calibri" w:cs="Times New Roman"/>
        </w:rPr>
        <w:t>(e.g. for water</w:t>
      </w:r>
      <w:r w:rsidR="00340349">
        <w:rPr>
          <w:rFonts w:eastAsia="Calibri" w:cs="Times New Roman"/>
        </w:rPr>
        <w:t>,</w:t>
      </w:r>
      <w:r w:rsidRPr="00AA2CE4">
        <w:rPr>
          <w:rFonts w:eastAsia="Calibri" w:cs="Times New Roman"/>
        </w:rPr>
        <w:t xml:space="preserve"> sanitation, and health</w:t>
      </w:r>
      <w:r w:rsidR="00DA5BDF">
        <w:rPr>
          <w:rFonts w:eastAsia="Calibri" w:cs="Times New Roman"/>
        </w:rPr>
        <w:t xml:space="preserve"> </w:t>
      </w:r>
      <w:r w:rsidRPr="00AA2CE4">
        <w:rPr>
          <w:rFonts w:eastAsia="Calibri" w:cs="Times New Roman"/>
        </w:rPr>
        <w:t>education and promotion activities)</w:t>
      </w:r>
      <w:r>
        <w:rPr>
          <w:rFonts w:eastAsia="Calibri" w:cs="Times New Roman"/>
        </w:rPr>
        <w:t xml:space="preserve"> and capital investments</w:t>
      </w:r>
      <w:r w:rsidR="00340349">
        <w:rPr>
          <w:rFonts w:eastAsia="Calibri" w:cs="Times New Roman"/>
        </w:rPr>
        <w:t>,</w:t>
      </w:r>
      <w:r w:rsidR="00097C69">
        <w:rPr>
          <w:rFonts w:eastAsia="Calibri" w:cs="Times New Roman"/>
        </w:rPr>
        <w:t xml:space="preserve"> it </w:t>
      </w:r>
      <w:r w:rsidR="00797EFD">
        <w:rPr>
          <w:rFonts w:eastAsia="Calibri" w:cs="Times New Roman"/>
        </w:rPr>
        <w:t>is envisioned that p</w:t>
      </w:r>
      <w:r w:rsidR="00E30777">
        <w:rPr>
          <w:rFonts w:eastAsia="Calibri" w:cs="Times New Roman"/>
        </w:rPr>
        <w:t xml:space="preserve">urchasing </w:t>
      </w:r>
      <w:r w:rsidR="00340349">
        <w:rPr>
          <w:rFonts w:eastAsia="Calibri" w:cs="Times New Roman"/>
        </w:rPr>
        <w:t xml:space="preserve">of these services </w:t>
      </w:r>
      <w:r w:rsidR="004F61CF" w:rsidRPr="004F61CF">
        <w:rPr>
          <w:rFonts w:eastAsia="Calibri" w:cs="Times New Roman"/>
        </w:rPr>
        <w:t>will be outside the MBP and continue to be</w:t>
      </w:r>
      <w:r w:rsidR="004541FA">
        <w:rPr>
          <w:rFonts w:eastAsia="Calibri" w:cs="Times New Roman"/>
        </w:rPr>
        <w:t xml:space="preserve"> both financed and</w:t>
      </w:r>
      <w:r w:rsidR="004F61CF" w:rsidRPr="004F61CF">
        <w:rPr>
          <w:rFonts w:eastAsia="Calibri" w:cs="Times New Roman"/>
        </w:rPr>
        <w:t xml:space="preserve"> managed directly by the LGAs.</w:t>
      </w:r>
      <w:r w:rsidR="004541FA">
        <w:rPr>
          <w:rFonts w:eastAsia="Calibri" w:cs="Times New Roman"/>
        </w:rPr>
        <w:t xml:space="preserve">  Corresponding national public health interventions (e.g. surveillance), health professions education and capital investment will also remain outside of the individual health services MBP and continue to be financed and managed by the </w:t>
      </w:r>
      <w:r w:rsidR="007B63B8">
        <w:rPr>
          <w:rFonts w:eastAsia="Calibri" w:cs="Times New Roman"/>
        </w:rPr>
        <w:t>Government</w:t>
      </w:r>
      <w:r w:rsidR="004541FA">
        <w:rPr>
          <w:rFonts w:eastAsia="Calibri" w:cs="Times New Roman"/>
        </w:rPr>
        <w:t xml:space="preserve">.  </w:t>
      </w:r>
      <w:r w:rsidR="004F61CF" w:rsidRPr="004F61CF">
        <w:rPr>
          <w:rFonts w:eastAsia="Calibri" w:cs="Times New Roman"/>
        </w:rPr>
        <w:t xml:space="preserve"> </w:t>
      </w:r>
    </w:p>
    <w:p w14:paraId="285E2F20" w14:textId="77777777" w:rsidR="004F61CF" w:rsidRDefault="004F61CF" w:rsidP="004F61CF">
      <w:pPr>
        <w:rPr>
          <w:rFonts w:eastAsia="Calibri" w:cs="Times New Roman"/>
        </w:rPr>
      </w:pPr>
    </w:p>
    <w:p w14:paraId="526C49D9" w14:textId="7E745D97" w:rsidR="004F61CF" w:rsidRPr="00DD32A2" w:rsidRDefault="00C86851" w:rsidP="00DD32A2">
      <w:pPr>
        <w:pStyle w:val="Heading3"/>
        <w:spacing w:before="0" w:after="0"/>
        <w:ind w:left="720"/>
        <w:jc w:val="left"/>
      </w:pPr>
      <w:bookmarkStart w:id="44" w:name="_Toc411949948"/>
      <w:r w:rsidRPr="00C86851">
        <w:t xml:space="preserve">Objective 7: Continuously adapt and shape the purchasing structure within the health system, placing particular focus on results-based </w:t>
      </w:r>
      <w:r w:rsidR="00DD32A2">
        <w:t xml:space="preserve">financing for improved services </w:t>
      </w:r>
      <w:r w:rsidRPr="00C86851">
        <w:t>delivery</w:t>
      </w:r>
      <w:r w:rsidR="00DD32A2">
        <w:br/>
      </w:r>
      <w:r w:rsidR="004F61CF" w:rsidRPr="00DD32A2">
        <w:t xml:space="preserve">Strategy </w:t>
      </w:r>
      <w:r w:rsidRPr="00DD32A2">
        <w:t>8</w:t>
      </w:r>
      <w:r w:rsidR="00A44624" w:rsidRPr="00DD32A2">
        <w:t xml:space="preserve">: </w:t>
      </w:r>
      <w:r w:rsidR="00364A1A" w:rsidRPr="00DD32A2">
        <w:t>Allocate</w:t>
      </w:r>
      <w:r w:rsidR="00A44624" w:rsidRPr="00DD32A2">
        <w:t xml:space="preserve"> </w:t>
      </w:r>
      <w:r w:rsidR="00364A1A" w:rsidRPr="00DD32A2">
        <w:t xml:space="preserve">Health Sector </w:t>
      </w:r>
      <w:r w:rsidR="00A44624" w:rsidRPr="00DD32A2">
        <w:t>Resources</w:t>
      </w:r>
      <w:r w:rsidR="00364A1A" w:rsidRPr="00DD32A2">
        <w:t xml:space="preserve"> Strategically</w:t>
      </w:r>
      <w:bookmarkEnd w:id="44"/>
      <w:r w:rsidR="00364A1A" w:rsidRPr="00DD32A2">
        <w:t xml:space="preserve"> </w:t>
      </w:r>
    </w:p>
    <w:p w14:paraId="5A8520DB" w14:textId="77777777" w:rsidR="00A44624" w:rsidRPr="00C355DF" w:rsidRDefault="00A44624" w:rsidP="0099670E">
      <w:pPr>
        <w:pStyle w:val="Heading4"/>
        <w:numPr>
          <w:ilvl w:val="0"/>
          <w:numId w:val="0"/>
        </w:numPr>
      </w:pPr>
      <w:r w:rsidRPr="00C355DF">
        <w:t>Strategic intervention: develop effective provider payment methods throughout</w:t>
      </w:r>
      <w:r w:rsidRPr="00A44624">
        <w:rPr>
          <w:rFonts w:eastAsia="Times New Roman"/>
          <w:color w:val="FF0000"/>
        </w:rPr>
        <w:t xml:space="preserve"> </w:t>
      </w:r>
      <w:r w:rsidRPr="00C355DF">
        <w:t>the country integrated performance structures</w:t>
      </w:r>
    </w:p>
    <w:p w14:paraId="0068D7E6" w14:textId="77777777" w:rsidR="00210E1E" w:rsidRPr="00C355DF" w:rsidRDefault="00210E1E" w:rsidP="00DD32A2">
      <w:bookmarkStart w:id="45" w:name="_Toc409762271"/>
      <w:r w:rsidRPr="00C355DF">
        <w:t>“All countries can look to improve efficiency by taking a more strategic approach when allocating resources to providers and services by linking such decisions, in whole or in part, to information on either/both the health needs of the population and the performance (cost and quality) of the providers. Reducing fragmentation in the pooling of funds but also in the purchasing of health services can reduce the administrative costs of the system while also enabling creation of a coherent incentive environment aimed at steering health service providers towards greater efficiency”.</w:t>
      </w:r>
      <w:bookmarkEnd w:id="45"/>
    </w:p>
    <w:p w14:paraId="188A3BA4" w14:textId="63D48451" w:rsidR="001F5601" w:rsidRDefault="001F5601" w:rsidP="00A44624">
      <w:pPr>
        <w:pStyle w:val="Heading4"/>
        <w:numPr>
          <w:ilvl w:val="0"/>
          <w:numId w:val="0"/>
        </w:numPr>
        <w:rPr>
          <w:rFonts w:ascii="Arial" w:eastAsia="Calibri" w:hAnsi="Arial" w:cs="Times New Roman"/>
          <w:b w:val="0"/>
          <w:bCs w:val="0"/>
          <w:i w:val="0"/>
          <w:iCs w:val="0"/>
          <w:color w:val="auto"/>
        </w:rPr>
      </w:pPr>
      <w:r w:rsidRPr="00E70396">
        <w:rPr>
          <w:rFonts w:ascii="Arial" w:eastAsia="Calibri" w:hAnsi="Arial" w:cs="Times New Roman"/>
          <w:b w:val="0"/>
          <w:bCs w:val="0"/>
          <w:i w:val="0"/>
          <w:iCs w:val="0"/>
          <w:color w:val="auto"/>
        </w:rPr>
        <w:lastRenderedPageBreak/>
        <w:t xml:space="preserve">Efficiency gains and high quality health services will not be obtained if there are conflicting financial incentives in different types of provider payment systems purchasing the MBP.  </w:t>
      </w:r>
      <w:r w:rsidR="00AA7B9A">
        <w:rPr>
          <w:rFonts w:ascii="Arial" w:eastAsia="Calibri" w:hAnsi="Arial" w:cs="Times New Roman"/>
          <w:b w:val="0"/>
          <w:bCs w:val="0"/>
          <w:i w:val="0"/>
          <w:iCs w:val="0"/>
          <w:color w:val="auto"/>
        </w:rPr>
        <w:t>MOHSW and SNHI will develop a</w:t>
      </w:r>
      <w:r w:rsidRPr="00E70396">
        <w:rPr>
          <w:rFonts w:ascii="Arial" w:eastAsia="Calibri" w:hAnsi="Arial" w:cs="Times New Roman"/>
          <w:b w:val="0"/>
          <w:bCs w:val="0"/>
          <w:i w:val="0"/>
          <w:iCs w:val="0"/>
          <w:color w:val="auto"/>
        </w:rPr>
        <w:t xml:space="preserve"> unified provider payment framework stating clearly how different types of provider payment systems will align to purchase MBP</w:t>
      </w:r>
      <w:r w:rsidR="008F65AA">
        <w:rPr>
          <w:rFonts w:ascii="Arial" w:eastAsia="Calibri" w:hAnsi="Arial" w:cs="Times New Roman"/>
          <w:b w:val="0"/>
          <w:bCs w:val="0"/>
          <w:i w:val="0"/>
          <w:iCs w:val="0"/>
          <w:color w:val="auto"/>
        </w:rPr>
        <w:t xml:space="preserve"> services</w:t>
      </w:r>
      <w:r w:rsidRPr="00E70396">
        <w:rPr>
          <w:rFonts w:ascii="Arial" w:eastAsia="Calibri" w:hAnsi="Arial" w:cs="Times New Roman"/>
          <w:b w:val="0"/>
          <w:bCs w:val="0"/>
          <w:i w:val="0"/>
          <w:iCs w:val="0"/>
          <w:color w:val="auto"/>
        </w:rPr>
        <w:t>.  Specifically, it will include how line item budget payment system, core output-based payment systems, and results-based financing (RBF) are aligned and leverage each other to purchase MBP, obtain efficiency gains and improve performance</w:t>
      </w:r>
      <w:r w:rsidR="008F65AA">
        <w:rPr>
          <w:rFonts w:ascii="Arial" w:eastAsia="Calibri" w:hAnsi="Arial" w:cs="Times New Roman"/>
          <w:b w:val="0"/>
          <w:bCs w:val="0"/>
          <w:i w:val="0"/>
          <w:iCs w:val="0"/>
          <w:color w:val="auto"/>
        </w:rPr>
        <w:t xml:space="preserve"> and quality</w:t>
      </w:r>
      <w:r w:rsidRPr="00E70396">
        <w:rPr>
          <w:rFonts w:ascii="Arial" w:eastAsia="Calibri" w:hAnsi="Arial" w:cs="Times New Roman"/>
          <w:b w:val="0"/>
          <w:bCs w:val="0"/>
          <w:i w:val="0"/>
          <w:iCs w:val="0"/>
          <w:color w:val="auto"/>
        </w:rPr>
        <w:t xml:space="preserve">.  Alignment of existing provider payment systems can be started before SNHI is fully operational to prepare for seamless transition to SNHI, use RBF as a driver of realignment and </w:t>
      </w:r>
      <w:r w:rsidR="008F65AA">
        <w:rPr>
          <w:rFonts w:ascii="Arial" w:eastAsia="Calibri" w:hAnsi="Arial" w:cs="Times New Roman"/>
          <w:b w:val="0"/>
          <w:bCs w:val="0"/>
          <w:i w:val="0"/>
          <w:iCs w:val="0"/>
          <w:color w:val="auto"/>
        </w:rPr>
        <w:t xml:space="preserve">the </w:t>
      </w:r>
      <w:r w:rsidRPr="00E70396">
        <w:rPr>
          <w:rFonts w:ascii="Arial" w:eastAsia="Calibri" w:hAnsi="Arial" w:cs="Times New Roman"/>
          <w:b w:val="0"/>
          <w:bCs w:val="0"/>
          <w:i w:val="0"/>
          <w:iCs w:val="0"/>
          <w:color w:val="auto"/>
        </w:rPr>
        <w:t>shift to output-based payment, and produce visible impact (See Section 7 Implementation),</w:t>
      </w:r>
      <w:r>
        <w:rPr>
          <w:rFonts w:ascii="Arial" w:eastAsia="Calibri" w:hAnsi="Arial" w:cs="Times New Roman"/>
          <w:b w:val="0"/>
          <w:bCs w:val="0"/>
          <w:i w:val="0"/>
          <w:iCs w:val="0"/>
          <w:color w:val="auto"/>
        </w:rPr>
        <w:t xml:space="preserve">   </w:t>
      </w:r>
    </w:p>
    <w:p w14:paraId="404A5FC7" w14:textId="77777777" w:rsidR="000C262C" w:rsidRDefault="004152E6" w:rsidP="00A44624">
      <w:pPr>
        <w:pStyle w:val="Heading4"/>
        <w:numPr>
          <w:ilvl w:val="0"/>
          <w:numId w:val="0"/>
        </w:numPr>
        <w:rPr>
          <w:rFonts w:eastAsia="Times New Roman"/>
        </w:rPr>
      </w:pPr>
      <w:r w:rsidRPr="00797EFD">
        <w:rPr>
          <w:rFonts w:eastAsia="Times New Roman"/>
        </w:rPr>
        <w:t>Payment of providers</w:t>
      </w:r>
    </w:p>
    <w:p w14:paraId="0049368E" w14:textId="5BE69304" w:rsidR="004F61CF" w:rsidRPr="004F61CF" w:rsidRDefault="00012116" w:rsidP="004F61CF">
      <w:pPr>
        <w:rPr>
          <w:rFonts w:eastAsia="Calibri" w:cs="Times New Roman"/>
        </w:rPr>
      </w:pPr>
      <w:r>
        <w:rPr>
          <w:rFonts w:eastAsia="Calibri" w:cs="Times New Roman"/>
        </w:rPr>
        <w:t>SNHI envisions a gradual shift from input-based to output-based provider payment</w:t>
      </w:r>
      <w:r w:rsidR="0060216C">
        <w:rPr>
          <w:rFonts w:eastAsia="Calibri" w:cs="Times New Roman"/>
        </w:rPr>
        <w:t xml:space="preserve"> </w:t>
      </w:r>
      <w:r>
        <w:rPr>
          <w:rFonts w:eastAsia="Calibri" w:cs="Times New Roman"/>
        </w:rPr>
        <w:t xml:space="preserve">systems </w:t>
      </w:r>
      <w:r w:rsidR="001F5601">
        <w:rPr>
          <w:rFonts w:eastAsia="Calibri" w:cs="Times New Roman"/>
        </w:rPr>
        <w:t>purchasing</w:t>
      </w:r>
      <w:r>
        <w:rPr>
          <w:rFonts w:eastAsia="Calibri" w:cs="Times New Roman"/>
        </w:rPr>
        <w:t xml:space="preserve"> the MBP. </w:t>
      </w:r>
      <w:r w:rsidR="004F61CF" w:rsidRPr="004F61CF">
        <w:rPr>
          <w:rFonts w:eastAsia="Calibri" w:cs="Times New Roman"/>
        </w:rPr>
        <w:t xml:space="preserve">A combination of provider payment </w:t>
      </w:r>
      <w:r w:rsidR="00B52791">
        <w:rPr>
          <w:rFonts w:eastAsia="Calibri" w:cs="Times New Roman"/>
        </w:rPr>
        <w:t>systems</w:t>
      </w:r>
      <w:r w:rsidR="004F61CF" w:rsidRPr="004F61CF">
        <w:rPr>
          <w:rFonts w:eastAsia="Calibri" w:cs="Times New Roman"/>
        </w:rPr>
        <w:t xml:space="preserve"> is envisaged under the new SNHI, combin</w:t>
      </w:r>
      <w:r w:rsidR="00196B26">
        <w:rPr>
          <w:rFonts w:eastAsia="Calibri" w:cs="Times New Roman"/>
        </w:rPr>
        <w:t>ing</w:t>
      </w:r>
      <w:r w:rsidR="004F61CF" w:rsidRPr="004F61CF">
        <w:rPr>
          <w:rFonts w:eastAsia="Calibri" w:cs="Times New Roman"/>
        </w:rPr>
        <w:t xml:space="preserve"> </w:t>
      </w:r>
      <w:r w:rsidR="00DA5BDF">
        <w:rPr>
          <w:rFonts w:eastAsia="Calibri" w:cs="Times New Roman"/>
        </w:rPr>
        <w:t xml:space="preserve">some form of capitation payment blending some elements of RBF </w:t>
      </w:r>
      <w:r w:rsidR="004F61CF" w:rsidRPr="004F61CF">
        <w:rPr>
          <w:rFonts w:eastAsia="Calibri" w:cs="Times New Roman"/>
        </w:rPr>
        <w:t xml:space="preserve">at the </w:t>
      </w:r>
      <w:r w:rsidR="00B52791">
        <w:rPr>
          <w:rFonts w:eastAsia="Calibri" w:cs="Times New Roman"/>
        </w:rPr>
        <w:t>PHC</w:t>
      </w:r>
      <w:r w:rsidR="00196B26">
        <w:rPr>
          <w:rFonts w:eastAsia="Calibri" w:cs="Times New Roman"/>
        </w:rPr>
        <w:t xml:space="preserve"> </w:t>
      </w:r>
      <w:r w:rsidR="004F61CF" w:rsidRPr="004F61CF">
        <w:rPr>
          <w:rFonts w:eastAsia="Calibri" w:cs="Times New Roman"/>
        </w:rPr>
        <w:t>facilit</w:t>
      </w:r>
      <w:r w:rsidR="00196B26">
        <w:rPr>
          <w:rFonts w:eastAsia="Calibri" w:cs="Times New Roman"/>
        </w:rPr>
        <w:t xml:space="preserve">y level </w:t>
      </w:r>
      <w:r w:rsidR="00B52791">
        <w:rPr>
          <w:rFonts w:eastAsia="Calibri" w:cs="Times New Roman"/>
        </w:rPr>
        <w:t xml:space="preserve">(dispensaries and health centers) </w:t>
      </w:r>
      <w:r w:rsidR="00196B26">
        <w:rPr>
          <w:rFonts w:eastAsia="Calibri" w:cs="Times New Roman"/>
        </w:rPr>
        <w:t xml:space="preserve">and </w:t>
      </w:r>
      <w:r w:rsidR="00B52791">
        <w:rPr>
          <w:rFonts w:eastAsia="Calibri" w:cs="Times New Roman"/>
        </w:rPr>
        <w:t xml:space="preserve">case-based or </w:t>
      </w:r>
      <w:r w:rsidR="00196B26">
        <w:rPr>
          <w:rFonts w:eastAsia="Calibri" w:cs="Times New Roman"/>
        </w:rPr>
        <w:t xml:space="preserve">fee-for-service at district hospital and above. </w:t>
      </w:r>
      <w:r w:rsidR="004F61CF" w:rsidRPr="004F61CF">
        <w:rPr>
          <w:rFonts w:eastAsia="Calibri" w:cs="Times New Roman"/>
        </w:rPr>
        <w:t xml:space="preserve">Payments will be made </w:t>
      </w:r>
      <w:r w:rsidR="00FD3B6D">
        <w:rPr>
          <w:rFonts w:eastAsia="Calibri" w:cs="Times New Roman"/>
        </w:rPr>
        <w:t xml:space="preserve">by the SNHI </w:t>
      </w:r>
      <w:r w:rsidR="004F61CF" w:rsidRPr="004F61CF">
        <w:rPr>
          <w:rFonts w:eastAsia="Calibri" w:cs="Times New Roman"/>
        </w:rPr>
        <w:t xml:space="preserve">directly to the facility responsible for providing services. </w:t>
      </w:r>
      <w:r w:rsidR="00196B26">
        <w:rPr>
          <w:rFonts w:eastAsia="Calibri" w:cs="Times New Roman"/>
        </w:rPr>
        <w:t xml:space="preserve">It is anticipated that some degree of autonomy will be introduced at all levels of health care provision in order to allow flexibility of facilities in </w:t>
      </w:r>
      <w:r w:rsidR="00B52791">
        <w:rPr>
          <w:rFonts w:eastAsia="Calibri" w:cs="Times New Roman"/>
        </w:rPr>
        <w:t xml:space="preserve">determining the best mix of resources to provide services and </w:t>
      </w:r>
      <w:r w:rsidR="00196B26">
        <w:rPr>
          <w:rFonts w:eastAsia="Calibri" w:cs="Times New Roman"/>
        </w:rPr>
        <w:t xml:space="preserve">spending their own resources for health care quality improvement, especially in primary level facilities. </w:t>
      </w:r>
      <w:r w:rsidR="004F61CF" w:rsidRPr="004F61CF">
        <w:rPr>
          <w:rFonts w:eastAsia="Calibri" w:cs="Times New Roman"/>
        </w:rPr>
        <w:t>Flexibility will be important, and the agreed provider payment system must be flexible enough to incentivize good performance and dis</w:t>
      </w:r>
      <w:r w:rsidR="0099670E">
        <w:rPr>
          <w:rFonts w:eastAsia="Calibri" w:cs="Times New Roman"/>
        </w:rPr>
        <w:t>-incentivize inappropriate care.</w:t>
      </w:r>
      <w:r w:rsidR="004F61CF" w:rsidRPr="004F61CF">
        <w:rPr>
          <w:rFonts w:eastAsia="Calibri" w:cs="Times New Roman"/>
        </w:rPr>
        <w:t xml:space="preserve">  Lessons will be learned from other countries, and a reference group established for </w:t>
      </w:r>
      <w:r w:rsidR="00B52791">
        <w:rPr>
          <w:rFonts w:eastAsia="Calibri" w:cs="Times New Roman"/>
        </w:rPr>
        <w:t xml:space="preserve">the unified provider payment framework and </w:t>
      </w:r>
      <w:r w:rsidR="004F61CF" w:rsidRPr="004F61CF">
        <w:rPr>
          <w:rFonts w:eastAsia="Calibri" w:cs="Times New Roman"/>
        </w:rPr>
        <w:t xml:space="preserve">regular review of </w:t>
      </w:r>
      <w:r w:rsidR="00B52791">
        <w:rPr>
          <w:rFonts w:eastAsia="Calibri" w:cs="Times New Roman"/>
        </w:rPr>
        <w:t>the appropriateness of provider payment systems</w:t>
      </w:r>
      <w:r w:rsidR="004F61CF" w:rsidRPr="004F61CF">
        <w:rPr>
          <w:rFonts w:eastAsia="Calibri" w:cs="Times New Roman"/>
        </w:rPr>
        <w:t>.</w:t>
      </w:r>
    </w:p>
    <w:p w14:paraId="13BE9039" w14:textId="77777777" w:rsidR="004F61CF" w:rsidRPr="004F61CF" w:rsidRDefault="004F61CF" w:rsidP="004F61CF">
      <w:pPr>
        <w:rPr>
          <w:rFonts w:eastAsia="Calibri" w:cs="Times New Roman"/>
        </w:rPr>
      </w:pPr>
    </w:p>
    <w:p w14:paraId="2726735A" w14:textId="0F83414F" w:rsidR="00CE32AF" w:rsidRDefault="00714FBD" w:rsidP="004F61CF">
      <w:pPr>
        <w:rPr>
          <w:rFonts w:eastAsia="Calibri" w:cs="Arial"/>
          <w:szCs w:val="24"/>
        </w:rPr>
      </w:pPr>
      <w:r w:rsidRPr="00DB0507">
        <w:rPr>
          <w:rFonts w:eastAsia="Calibri" w:cs="Times New Roman"/>
          <w:highlight w:val="yellow"/>
        </w:rPr>
        <w:t xml:space="preserve">A </w:t>
      </w:r>
      <w:r w:rsidR="00E21875" w:rsidRPr="00DB0507">
        <w:rPr>
          <w:rFonts w:eastAsia="Calibri" w:cs="Times New Roman"/>
          <w:highlight w:val="yellow"/>
        </w:rPr>
        <w:t>RBF</w:t>
      </w:r>
      <w:r w:rsidR="00CE32AF" w:rsidRPr="00DB0507">
        <w:rPr>
          <w:rFonts w:eastAsia="Calibri" w:cs="Times New Roman"/>
          <w:highlight w:val="yellow"/>
        </w:rPr>
        <w:t xml:space="preserve"> </w:t>
      </w:r>
      <w:r w:rsidR="00781B01" w:rsidRPr="00DB0507">
        <w:rPr>
          <w:rFonts w:eastAsia="Calibri" w:cs="Times New Roman"/>
          <w:highlight w:val="yellow"/>
        </w:rPr>
        <w:t xml:space="preserve">mechanism </w:t>
      </w:r>
      <w:r w:rsidRPr="00DB0507">
        <w:rPr>
          <w:rFonts w:eastAsia="Calibri" w:cs="Times New Roman"/>
          <w:highlight w:val="yellow"/>
        </w:rPr>
        <w:t xml:space="preserve">is currently being rolled-out </w:t>
      </w:r>
      <w:r w:rsidR="00E21875" w:rsidRPr="00DB0507">
        <w:rPr>
          <w:rFonts w:eastAsia="Calibri" w:cs="Times New Roman"/>
          <w:highlight w:val="yellow"/>
        </w:rPr>
        <w:t>nationwide.</w:t>
      </w:r>
      <w:r w:rsidR="004F61CF" w:rsidRPr="00DB0507">
        <w:rPr>
          <w:rFonts w:eastAsia="Calibri" w:cs="Times New Roman"/>
          <w:highlight w:val="yellow"/>
        </w:rPr>
        <w:t xml:space="preserve"> </w:t>
      </w:r>
      <w:r w:rsidR="007A4966" w:rsidRPr="00DB0507">
        <w:rPr>
          <w:rFonts w:eastAsia="Calibri" w:cs="Times New Roman"/>
          <w:highlight w:val="yellow"/>
        </w:rPr>
        <w:t xml:space="preserve">  </w:t>
      </w:r>
      <w:r w:rsidR="00DB0507" w:rsidRPr="00DB0507">
        <w:rPr>
          <w:rFonts w:eastAsia="Calibri" w:cs="Times New Roman"/>
          <w:highlight w:val="yellow"/>
        </w:rPr>
        <w:t>T</w:t>
      </w:r>
      <w:r w:rsidR="00CE32AF" w:rsidRPr="00DB0507">
        <w:rPr>
          <w:rFonts w:eastAsia="Calibri" w:cs="Times New Roman"/>
          <w:highlight w:val="yellow"/>
        </w:rPr>
        <w:t xml:space="preserve">he RBF concept is closely </w:t>
      </w:r>
      <w:bookmarkStart w:id="46" w:name="_GoBack"/>
      <w:bookmarkEnd w:id="46"/>
      <w:r w:rsidR="00CE32AF" w:rsidRPr="00DB0507">
        <w:rPr>
          <w:rFonts w:eastAsia="Calibri" w:cs="Times New Roman"/>
          <w:highlight w:val="yellow"/>
        </w:rPr>
        <w:t xml:space="preserve">aligned with the approach of SNHI in terms of payment for results or outputs and in seeking to empower providers to be more responsive to users by providing quality care efficiently.  Initially, Tanzania’s RBF may run ahead of and also drive realignment toward SNHI purchasing for MBP but in the long run many, if not all, of the outputs that RBF pays for are likely to be purchased by the SNHI through integration or close linkage between RBF and PHC capitation payment system. SNHI will learn lessons from the RBF experience as it </w:t>
      </w:r>
      <w:r w:rsidR="00CE32AF" w:rsidRPr="00DB0507">
        <w:rPr>
          <w:rFonts w:eastAsia="Calibri" w:cs="Arial"/>
          <w:szCs w:val="24"/>
          <w:highlight w:val="yellow"/>
        </w:rPr>
        <w:t>selects services within the MBP for which to make incentive payments to health providers in order to stimulate increased utilization so that national targets are reached.</w:t>
      </w:r>
    </w:p>
    <w:p w14:paraId="4ACF0A7D" w14:textId="77777777" w:rsidR="00CE32AF" w:rsidRDefault="00CE32AF" w:rsidP="004F61CF">
      <w:pPr>
        <w:rPr>
          <w:rFonts w:eastAsia="Calibri" w:cs="Arial"/>
          <w:szCs w:val="24"/>
        </w:rPr>
      </w:pPr>
    </w:p>
    <w:p w14:paraId="3EF71610" w14:textId="51E557FA" w:rsidR="007A4966" w:rsidRDefault="004F61CF" w:rsidP="007A4966">
      <w:pPr>
        <w:rPr>
          <w:rFonts w:eastAsia="Calibri" w:cs="Arial"/>
          <w:szCs w:val="24"/>
        </w:rPr>
      </w:pPr>
      <w:r w:rsidRPr="004F61CF">
        <w:rPr>
          <w:rFonts w:eastAsia="Calibri" w:cs="Arial"/>
          <w:szCs w:val="24"/>
        </w:rPr>
        <w:lastRenderedPageBreak/>
        <w:t xml:space="preserve">The incentivized service range at dispensary and health </w:t>
      </w:r>
      <w:r w:rsidR="00C355DF" w:rsidRPr="004F61CF">
        <w:rPr>
          <w:rFonts w:eastAsia="Calibri" w:cs="Arial"/>
          <w:szCs w:val="24"/>
        </w:rPr>
        <w:t>center</w:t>
      </w:r>
      <w:r w:rsidRPr="004F61CF">
        <w:rPr>
          <w:rFonts w:eastAsia="Calibri" w:cs="Arial"/>
          <w:szCs w:val="24"/>
        </w:rPr>
        <w:t xml:space="preserve"> level will cover both essential </w:t>
      </w:r>
      <w:r w:rsidR="00B52791">
        <w:rPr>
          <w:rFonts w:eastAsia="Calibri" w:cs="Arial"/>
          <w:szCs w:val="24"/>
        </w:rPr>
        <w:t>m</w:t>
      </w:r>
      <w:r w:rsidRPr="004F61CF">
        <w:rPr>
          <w:rFonts w:eastAsia="Calibri" w:cs="Arial"/>
          <w:szCs w:val="24"/>
        </w:rPr>
        <w:t xml:space="preserve">aternal, </w:t>
      </w:r>
      <w:r w:rsidR="00B52791">
        <w:rPr>
          <w:rFonts w:eastAsia="Calibri" w:cs="Arial"/>
          <w:szCs w:val="24"/>
        </w:rPr>
        <w:t>n</w:t>
      </w:r>
      <w:r w:rsidRPr="004F61CF">
        <w:rPr>
          <w:rFonts w:eastAsia="Calibri" w:cs="Arial"/>
          <w:szCs w:val="24"/>
        </w:rPr>
        <w:t xml:space="preserve">ewborn, and </w:t>
      </w:r>
      <w:r w:rsidR="00B52791">
        <w:rPr>
          <w:rFonts w:eastAsia="Calibri" w:cs="Arial"/>
          <w:szCs w:val="24"/>
        </w:rPr>
        <w:t>c</w:t>
      </w:r>
      <w:r w:rsidRPr="004F61CF">
        <w:rPr>
          <w:rFonts w:eastAsia="Calibri" w:cs="Arial"/>
          <w:szCs w:val="24"/>
        </w:rPr>
        <w:t xml:space="preserve">hild </w:t>
      </w:r>
      <w:r w:rsidR="00B52791">
        <w:rPr>
          <w:rFonts w:eastAsia="Calibri" w:cs="Arial"/>
          <w:szCs w:val="24"/>
        </w:rPr>
        <w:t>h</w:t>
      </w:r>
      <w:r w:rsidRPr="004F61CF">
        <w:rPr>
          <w:rFonts w:eastAsia="Calibri" w:cs="Arial"/>
          <w:szCs w:val="24"/>
        </w:rPr>
        <w:t>ealth services for which uptake remains relatively low, and also general outpatient attendance, screening for hypertension and diabetes, and priority interventions for malaria, tuberculosis and HIV &amp; AIDS, among others</w:t>
      </w:r>
      <w:r w:rsidR="00B52791">
        <w:rPr>
          <w:rFonts w:eastAsia="Calibri" w:cs="Arial"/>
          <w:szCs w:val="24"/>
        </w:rPr>
        <w:t>.  Priority services for RBF</w:t>
      </w:r>
      <w:r w:rsidRPr="004F61CF">
        <w:rPr>
          <w:rFonts w:eastAsia="Calibri" w:cs="Arial"/>
          <w:szCs w:val="24"/>
        </w:rPr>
        <w:t xml:space="preserve"> will be subject to </w:t>
      </w:r>
      <w:r w:rsidR="0064492C">
        <w:rPr>
          <w:rFonts w:eastAsia="Calibri" w:cs="Arial"/>
          <w:szCs w:val="24"/>
        </w:rPr>
        <w:t xml:space="preserve">regular </w:t>
      </w:r>
      <w:r w:rsidRPr="004F61CF">
        <w:rPr>
          <w:rFonts w:eastAsia="Calibri" w:cs="Arial"/>
          <w:szCs w:val="24"/>
        </w:rPr>
        <w:t>review</w:t>
      </w:r>
      <w:r w:rsidR="00B52791">
        <w:rPr>
          <w:rFonts w:eastAsia="Calibri" w:cs="Arial"/>
          <w:szCs w:val="24"/>
        </w:rPr>
        <w:t xml:space="preserve"> and will evolve as SNHI develops to ensure they are targeted at gaps in services and performance</w:t>
      </w:r>
      <w:r w:rsidRPr="004F61CF">
        <w:rPr>
          <w:rFonts w:eastAsia="Calibri" w:cs="Arial"/>
          <w:szCs w:val="24"/>
        </w:rPr>
        <w:t>.</w:t>
      </w:r>
      <w:r w:rsidR="00B52791">
        <w:rPr>
          <w:rFonts w:eastAsia="Calibri" w:cs="Arial"/>
          <w:szCs w:val="24"/>
        </w:rPr>
        <w:t xml:space="preserve">  </w:t>
      </w:r>
      <w:r w:rsidRPr="004F61CF">
        <w:rPr>
          <w:rFonts w:eastAsia="Calibri" w:cs="Arial"/>
          <w:szCs w:val="24"/>
        </w:rPr>
        <w:t>The level of financial incentives for a given output will vary geographically, according to factors such as poverty levels and remoteness, in order to provide additional incentives for health workers to work in currently under-served areas.</w:t>
      </w:r>
      <w:r w:rsidR="00B52791">
        <w:rPr>
          <w:rFonts w:eastAsia="Calibri" w:cs="Arial"/>
          <w:szCs w:val="24"/>
        </w:rPr>
        <w:t xml:space="preserve">  </w:t>
      </w:r>
      <w:r w:rsidRPr="004F61CF">
        <w:rPr>
          <w:rFonts w:eastAsia="Calibri" w:cs="Arial"/>
          <w:szCs w:val="24"/>
        </w:rPr>
        <w:t>Certain minimum conditions will be met for a health facility to participate in RBF, thereby ensuring general improvement in effective access and quality</w:t>
      </w:r>
      <w:r w:rsidR="00B52791">
        <w:rPr>
          <w:rFonts w:eastAsia="Calibri" w:cs="Arial"/>
          <w:szCs w:val="24"/>
        </w:rPr>
        <w:t xml:space="preserve"> (e.g.</w:t>
      </w:r>
      <w:r w:rsidRPr="004F61CF">
        <w:rPr>
          <w:rFonts w:eastAsia="Calibri" w:cs="Arial"/>
          <w:szCs w:val="24"/>
        </w:rPr>
        <w:t xml:space="preserve"> placement of minimum qualified staff, clean water, </w:t>
      </w:r>
      <w:proofErr w:type="gramStart"/>
      <w:r w:rsidRPr="004F61CF">
        <w:rPr>
          <w:rFonts w:eastAsia="Calibri" w:cs="Arial"/>
          <w:szCs w:val="24"/>
        </w:rPr>
        <w:t>basic</w:t>
      </w:r>
      <w:proofErr w:type="gramEnd"/>
      <w:r w:rsidRPr="004F61CF">
        <w:rPr>
          <w:rFonts w:eastAsia="Calibri" w:cs="Arial"/>
          <w:szCs w:val="24"/>
        </w:rPr>
        <w:t xml:space="preserve"> equipment</w:t>
      </w:r>
      <w:r w:rsidR="00B52791">
        <w:rPr>
          <w:rFonts w:eastAsia="Calibri" w:cs="Arial"/>
          <w:szCs w:val="24"/>
        </w:rPr>
        <w:t xml:space="preserve">).  </w:t>
      </w:r>
      <w:r w:rsidRPr="004F61CF">
        <w:rPr>
          <w:rFonts w:eastAsia="Calibri" w:cs="Arial"/>
          <w:szCs w:val="24"/>
        </w:rPr>
        <w:t xml:space="preserve">The use of mainstream HMIS indicators, establishment of </w:t>
      </w:r>
      <w:r w:rsidR="0064492C">
        <w:rPr>
          <w:rFonts w:eastAsia="Calibri" w:cs="Arial"/>
          <w:szCs w:val="24"/>
        </w:rPr>
        <w:t xml:space="preserve">independent </w:t>
      </w:r>
      <w:r w:rsidRPr="004F61CF">
        <w:rPr>
          <w:rFonts w:eastAsia="Calibri" w:cs="Arial"/>
          <w:szCs w:val="24"/>
        </w:rPr>
        <w:t>verification mechanisms, and harmonization with ongoing quality improvement initiatives are expected to strengthen the overall monitoring</w:t>
      </w:r>
      <w:r w:rsidR="00C908C4">
        <w:rPr>
          <w:rFonts w:eastAsia="Calibri" w:cs="Arial"/>
          <w:szCs w:val="24"/>
        </w:rPr>
        <w:t xml:space="preserve">, </w:t>
      </w:r>
      <w:r w:rsidRPr="004F61CF">
        <w:rPr>
          <w:rFonts w:eastAsia="Calibri" w:cs="Arial"/>
          <w:szCs w:val="24"/>
        </w:rPr>
        <w:t xml:space="preserve">supervisory </w:t>
      </w:r>
      <w:r w:rsidR="00C908C4">
        <w:rPr>
          <w:rFonts w:eastAsia="Calibri" w:cs="Arial"/>
          <w:szCs w:val="24"/>
        </w:rPr>
        <w:t xml:space="preserve">and management </w:t>
      </w:r>
      <w:r w:rsidRPr="004F61CF">
        <w:rPr>
          <w:rFonts w:eastAsia="Calibri" w:cs="Arial"/>
          <w:szCs w:val="24"/>
        </w:rPr>
        <w:t xml:space="preserve">systems. </w:t>
      </w:r>
      <w:bookmarkStart w:id="47" w:name="_Toc409762272"/>
    </w:p>
    <w:p w14:paraId="676E0C4D" w14:textId="77777777" w:rsidR="007A4966" w:rsidRDefault="007A4966" w:rsidP="007A4966">
      <w:pPr>
        <w:rPr>
          <w:rFonts w:eastAsia="Calibri" w:cs="Arial"/>
          <w:szCs w:val="24"/>
        </w:rPr>
      </w:pPr>
    </w:p>
    <w:p w14:paraId="03777A9F" w14:textId="28163962" w:rsidR="004F61CF" w:rsidRPr="00C355DF" w:rsidRDefault="004F61CF" w:rsidP="00445C1A">
      <w:pPr>
        <w:spacing w:line="240" w:lineRule="auto"/>
        <w:rPr>
          <w:rFonts w:ascii="Cambria" w:eastAsia="Times New Roman" w:hAnsi="Cambria" w:cs="Times New Roman"/>
          <w:b/>
          <w:bCs/>
          <w:i/>
          <w:color w:val="548DD4" w:themeColor="text2" w:themeTint="99"/>
        </w:rPr>
      </w:pPr>
      <w:r w:rsidRPr="00C355DF">
        <w:rPr>
          <w:rFonts w:ascii="Cambria" w:eastAsia="Times New Roman" w:hAnsi="Cambria" w:cs="Times New Roman"/>
          <w:b/>
          <w:bCs/>
          <w:i/>
          <w:color w:val="548DD4" w:themeColor="text2" w:themeTint="99"/>
        </w:rPr>
        <w:t xml:space="preserve">Improve </w:t>
      </w:r>
      <w:r w:rsidR="005F2136" w:rsidRPr="00C355DF">
        <w:rPr>
          <w:rFonts w:ascii="Cambria" w:eastAsia="Times New Roman" w:hAnsi="Cambria" w:cs="Times New Roman"/>
          <w:b/>
          <w:bCs/>
          <w:i/>
          <w:color w:val="548DD4" w:themeColor="text2" w:themeTint="99"/>
        </w:rPr>
        <w:t xml:space="preserve">public </w:t>
      </w:r>
      <w:r w:rsidRPr="00C355DF">
        <w:rPr>
          <w:rFonts w:ascii="Cambria" w:eastAsia="Times New Roman" w:hAnsi="Cambria" w:cs="Times New Roman"/>
          <w:b/>
          <w:bCs/>
          <w:i/>
          <w:color w:val="548DD4" w:themeColor="text2" w:themeTint="99"/>
        </w:rPr>
        <w:t>resource allocation and expenditures</w:t>
      </w:r>
      <w:bookmarkEnd w:id="47"/>
    </w:p>
    <w:p w14:paraId="1F598925" w14:textId="368B4281" w:rsidR="00B52791" w:rsidRPr="004F61CF" w:rsidRDefault="004F61CF" w:rsidP="00445C1A">
      <w:pPr>
        <w:spacing w:line="240" w:lineRule="auto"/>
        <w:rPr>
          <w:rFonts w:eastAsia="Calibri" w:cs="Arial"/>
          <w:szCs w:val="24"/>
        </w:rPr>
      </w:pPr>
      <w:r w:rsidRPr="004F61CF">
        <w:rPr>
          <w:rFonts w:eastAsia="Calibri" w:cs="Arial"/>
          <w:szCs w:val="24"/>
        </w:rPr>
        <w:t xml:space="preserve">The move towards SNHI as the primary mechanism for funding individual health services will reduce the flow of </w:t>
      </w:r>
      <w:r w:rsidR="00060BD9">
        <w:rPr>
          <w:rFonts w:eastAsia="Calibri" w:cs="Arial"/>
          <w:szCs w:val="24"/>
        </w:rPr>
        <w:t xml:space="preserve">Other Charges (OC) </w:t>
      </w:r>
      <w:r w:rsidRPr="004F61CF">
        <w:rPr>
          <w:rFonts w:eastAsia="Calibri" w:cs="Arial"/>
          <w:szCs w:val="24"/>
        </w:rPr>
        <w:t xml:space="preserve">funding through Councils and Regional Administrations as funds will be </w:t>
      </w:r>
      <w:r w:rsidR="002A72BE">
        <w:rPr>
          <w:rFonts w:eastAsia="Calibri" w:cs="Arial"/>
          <w:szCs w:val="24"/>
        </w:rPr>
        <w:t>re-</w:t>
      </w:r>
      <w:r w:rsidRPr="004F61CF">
        <w:rPr>
          <w:rFonts w:eastAsia="Calibri" w:cs="Arial"/>
          <w:szCs w:val="24"/>
        </w:rPr>
        <w:t xml:space="preserve">channeled as </w:t>
      </w:r>
      <w:r w:rsidR="002A72BE">
        <w:rPr>
          <w:rFonts w:eastAsia="Calibri" w:cs="Arial"/>
          <w:szCs w:val="24"/>
        </w:rPr>
        <w:t>output-based payment directly to health providers</w:t>
      </w:r>
      <w:r w:rsidRPr="004F61CF">
        <w:rPr>
          <w:rFonts w:eastAsia="Calibri" w:cs="Arial"/>
          <w:szCs w:val="24"/>
        </w:rPr>
        <w:t xml:space="preserve"> for </w:t>
      </w:r>
      <w:r w:rsidR="002A72BE">
        <w:rPr>
          <w:rFonts w:eastAsia="Calibri" w:cs="Arial"/>
          <w:szCs w:val="24"/>
        </w:rPr>
        <w:t xml:space="preserve">MBP </w:t>
      </w:r>
      <w:r w:rsidRPr="004F61CF">
        <w:rPr>
          <w:rFonts w:eastAsia="Calibri" w:cs="Arial"/>
          <w:szCs w:val="24"/>
        </w:rPr>
        <w:t>services</w:t>
      </w:r>
      <w:r w:rsidR="002A72BE">
        <w:rPr>
          <w:rFonts w:eastAsia="Calibri" w:cs="Arial"/>
          <w:szCs w:val="24"/>
        </w:rPr>
        <w:t>.</w:t>
      </w:r>
      <w:r w:rsidR="00B52791">
        <w:rPr>
          <w:rFonts w:eastAsia="Calibri" w:cs="Arial"/>
          <w:szCs w:val="24"/>
        </w:rPr>
        <w:t xml:space="preserve">  Some i</w:t>
      </w:r>
      <w:r w:rsidR="00B52791" w:rsidRPr="007A4C99">
        <w:rPr>
          <w:rFonts w:eastAsia="Calibri" w:cs="Arial"/>
          <w:szCs w:val="24"/>
        </w:rPr>
        <w:t xml:space="preserve">nput-based </w:t>
      </w:r>
      <w:r w:rsidR="002A72BE">
        <w:rPr>
          <w:rFonts w:eastAsia="Calibri" w:cs="Arial"/>
          <w:szCs w:val="24"/>
        </w:rPr>
        <w:t>payment</w:t>
      </w:r>
      <w:r w:rsidR="00B52791" w:rsidRPr="007A4C99">
        <w:rPr>
          <w:rFonts w:eastAsia="Calibri" w:cs="Arial"/>
          <w:szCs w:val="24"/>
        </w:rPr>
        <w:t xml:space="preserve"> will remain in the </w:t>
      </w:r>
      <w:r w:rsidR="002A72BE">
        <w:rPr>
          <w:rFonts w:eastAsia="Calibri" w:cs="Arial"/>
          <w:szCs w:val="24"/>
        </w:rPr>
        <w:t>short- to medium</w:t>
      </w:r>
      <w:r w:rsidR="00B52791" w:rsidRPr="007A4C99">
        <w:rPr>
          <w:rFonts w:eastAsia="Calibri" w:cs="Arial"/>
          <w:szCs w:val="24"/>
        </w:rPr>
        <w:t>-term for management and operations offered by CHMTs and RHMTs, though with an increasing share of such funding being channeled according to outputs and performance.</w:t>
      </w:r>
    </w:p>
    <w:p w14:paraId="55E15ADE" w14:textId="77777777" w:rsidR="004F61CF" w:rsidRPr="004F61CF" w:rsidRDefault="004F61CF" w:rsidP="004F61CF">
      <w:pPr>
        <w:rPr>
          <w:rFonts w:eastAsia="Calibri" w:cs="Arial"/>
          <w:szCs w:val="24"/>
        </w:rPr>
      </w:pPr>
    </w:p>
    <w:p w14:paraId="4167DC54" w14:textId="37A2E66E" w:rsidR="004F61CF" w:rsidRPr="004F61CF" w:rsidRDefault="004F61CF" w:rsidP="004F61CF">
      <w:pPr>
        <w:rPr>
          <w:rFonts w:eastAsia="Calibri" w:cs="Arial"/>
          <w:szCs w:val="24"/>
        </w:rPr>
      </w:pPr>
      <w:r w:rsidRPr="004F61CF">
        <w:rPr>
          <w:rFonts w:eastAsia="Calibri" w:cs="Arial"/>
          <w:szCs w:val="24"/>
        </w:rPr>
        <w:t>The role and structure of existing allocation formulae for non-salary recurrent funding of LGAs (specifically through the Health Basket Fund and the government OC block grant) will be reviewed in order to better support the revised context. Consultation with MOF and PMO-RALG will be necessary to align with the broader context of inter-governmental transfers where appropriate, while the health sector specific reforms will necessitate a particular approach.  In particular, continuous adjustment will be required as population coverage with SNHI expands, and as preventive services not initially included in the MBP are incorporated.  Some form of formula will continue to be required at least at the LGA/CHMT level to cover non-</w:t>
      </w:r>
      <w:r w:rsidR="002A72BE">
        <w:rPr>
          <w:rFonts w:eastAsia="Calibri" w:cs="Arial"/>
          <w:szCs w:val="24"/>
        </w:rPr>
        <w:t>individual</w:t>
      </w:r>
      <w:r w:rsidRPr="004F61CF">
        <w:rPr>
          <w:rFonts w:eastAsia="Calibri" w:cs="Arial"/>
          <w:szCs w:val="24"/>
        </w:rPr>
        <w:t xml:space="preserve"> services such as public health interventions, supervision and monitoring and at the RHMT level also for management and support to LGAs. </w:t>
      </w:r>
    </w:p>
    <w:p w14:paraId="487C48A6" w14:textId="77777777" w:rsidR="004F61CF" w:rsidRPr="004F61CF" w:rsidRDefault="004F61CF" w:rsidP="004F61CF">
      <w:pPr>
        <w:rPr>
          <w:rFonts w:eastAsia="Calibri" w:cs="Arial"/>
          <w:szCs w:val="24"/>
        </w:rPr>
      </w:pPr>
    </w:p>
    <w:p w14:paraId="62FBE2BE" w14:textId="7F2FD2DF" w:rsidR="004F61CF" w:rsidRPr="004F61CF" w:rsidRDefault="004F61CF" w:rsidP="004F61CF">
      <w:pPr>
        <w:rPr>
          <w:rFonts w:eastAsia="Calibri" w:cs="Arial"/>
          <w:szCs w:val="24"/>
        </w:rPr>
      </w:pPr>
      <w:r w:rsidRPr="004F61CF">
        <w:rPr>
          <w:rFonts w:eastAsia="Calibri" w:cs="Arial"/>
          <w:szCs w:val="24"/>
        </w:rPr>
        <w:t xml:space="preserve">Effective UHC requires access to qualified health workers throughout the country. Mechanisms for rapidly improving the distribution of health personnel both between and within districts will be developed in consultation with MOF, PMO-RALG, PO-PSM and LGAs, building on the existing pay and incentive strategies, and successful local initiatives.  </w:t>
      </w:r>
      <w:r w:rsidR="00DA5BDF">
        <w:rPr>
          <w:rFonts w:eastAsia="Calibri" w:cs="Arial"/>
          <w:szCs w:val="24"/>
        </w:rPr>
        <w:t xml:space="preserve">LGA own funding sources could be used for human resource incentives to </w:t>
      </w:r>
      <w:r w:rsidR="00DA5BDF">
        <w:rPr>
          <w:rFonts w:eastAsia="Calibri" w:cs="Arial"/>
          <w:szCs w:val="24"/>
        </w:rPr>
        <w:lastRenderedPageBreak/>
        <w:t xml:space="preserve">attract and retain health workers in underserved areas.  </w:t>
      </w:r>
      <w:r w:rsidRPr="004F61CF">
        <w:rPr>
          <w:rFonts w:eastAsia="Calibri" w:cs="Arial"/>
          <w:szCs w:val="24"/>
        </w:rPr>
        <w:t>In addition, the potential for future channeling of PE funding through the RBF pool, and ultimately through the SNHI pool, will be explored with PO-PSM.  This is necessary in order to reduce fragmentation of funding</w:t>
      </w:r>
      <w:r w:rsidR="002A72BE">
        <w:rPr>
          <w:rFonts w:eastAsia="Calibri" w:cs="Arial"/>
          <w:szCs w:val="24"/>
        </w:rPr>
        <w:t xml:space="preserve">, improve health worker productivity, </w:t>
      </w:r>
      <w:r w:rsidR="005A0594">
        <w:rPr>
          <w:rFonts w:eastAsia="Calibri" w:cs="Arial"/>
          <w:szCs w:val="24"/>
        </w:rPr>
        <w:t xml:space="preserve">reduce conflicting incentives, </w:t>
      </w:r>
      <w:r w:rsidR="002A72BE">
        <w:rPr>
          <w:rFonts w:eastAsia="Calibri" w:cs="Arial"/>
          <w:szCs w:val="24"/>
        </w:rPr>
        <w:t>obtain efficiency gains</w:t>
      </w:r>
      <w:r w:rsidR="005A0594">
        <w:rPr>
          <w:rFonts w:eastAsia="Calibri" w:cs="Arial"/>
          <w:szCs w:val="24"/>
        </w:rPr>
        <w:t>,</w:t>
      </w:r>
      <w:r w:rsidR="002A72BE">
        <w:rPr>
          <w:rFonts w:eastAsia="Calibri" w:cs="Arial"/>
          <w:szCs w:val="24"/>
        </w:rPr>
        <w:t xml:space="preserve"> </w:t>
      </w:r>
      <w:r w:rsidRPr="004F61CF">
        <w:rPr>
          <w:rFonts w:eastAsia="Calibri" w:cs="Arial"/>
          <w:szCs w:val="24"/>
        </w:rPr>
        <w:t xml:space="preserve">and to level the playing field between different providers of the SNHI benefit packages. </w:t>
      </w:r>
    </w:p>
    <w:p w14:paraId="74367613" w14:textId="77777777" w:rsidR="004F61CF" w:rsidRPr="004F61CF" w:rsidRDefault="004F61CF" w:rsidP="004F61CF">
      <w:pPr>
        <w:rPr>
          <w:rFonts w:eastAsia="Calibri" w:cs="Arial"/>
          <w:szCs w:val="24"/>
        </w:rPr>
      </w:pPr>
    </w:p>
    <w:p w14:paraId="685CBC0C" w14:textId="138D4160" w:rsidR="004F61CF" w:rsidRPr="00E820CB" w:rsidRDefault="00E820CB" w:rsidP="00E820CB">
      <w:pPr>
        <w:pStyle w:val="Heading3"/>
      </w:pPr>
      <w:bookmarkStart w:id="48" w:name="_Toc411949949"/>
      <w:r w:rsidRPr="00E820CB">
        <w:t>Objective 8: Strengthen the overall public financial and resource data management systems within the health sector</w:t>
      </w:r>
      <w:bookmarkEnd w:id="48"/>
    </w:p>
    <w:p w14:paraId="4C1E6CBA" w14:textId="75FD0F31" w:rsidR="004F61CF" w:rsidRPr="00E820CB" w:rsidRDefault="004F61CF" w:rsidP="00E820CB">
      <w:pPr>
        <w:keepNext/>
        <w:keepLines/>
        <w:spacing w:before="200" w:after="120"/>
        <w:ind w:left="810"/>
        <w:outlineLvl w:val="2"/>
        <w:rPr>
          <w:rFonts w:asciiTheme="majorHAnsi" w:eastAsiaTheme="majorEastAsia" w:hAnsiTheme="majorHAnsi" w:cstheme="majorBidi"/>
          <w:b/>
          <w:bCs/>
          <w:color w:val="4F81BD" w:themeColor="accent1"/>
        </w:rPr>
      </w:pPr>
      <w:bookmarkStart w:id="49" w:name="_Toc411949950"/>
      <w:r w:rsidRPr="00E820CB">
        <w:rPr>
          <w:rFonts w:asciiTheme="majorHAnsi" w:eastAsiaTheme="majorEastAsia" w:hAnsiTheme="majorHAnsi" w:cstheme="majorBidi"/>
          <w:b/>
          <w:bCs/>
          <w:color w:val="4F81BD" w:themeColor="accent1"/>
        </w:rPr>
        <w:t xml:space="preserve">Strategy </w:t>
      </w:r>
      <w:r w:rsidR="00E820CB">
        <w:rPr>
          <w:rFonts w:asciiTheme="majorHAnsi" w:eastAsiaTheme="majorEastAsia" w:hAnsiTheme="majorHAnsi" w:cstheme="majorBidi"/>
          <w:b/>
          <w:bCs/>
          <w:color w:val="4F81BD" w:themeColor="accent1"/>
        </w:rPr>
        <w:t>9</w:t>
      </w:r>
      <w:r w:rsidRPr="00E820CB">
        <w:rPr>
          <w:rFonts w:asciiTheme="majorHAnsi" w:eastAsiaTheme="majorEastAsia" w:hAnsiTheme="majorHAnsi" w:cstheme="majorBidi"/>
          <w:b/>
          <w:bCs/>
          <w:color w:val="4F81BD" w:themeColor="accent1"/>
        </w:rPr>
        <w:t xml:space="preserve">: </w:t>
      </w:r>
      <w:r w:rsidR="00A44624" w:rsidRPr="00E820CB">
        <w:rPr>
          <w:rFonts w:asciiTheme="majorHAnsi" w:eastAsiaTheme="majorEastAsia" w:hAnsiTheme="majorHAnsi" w:cstheme="majorBidi"/>
          <w:b/>
          <w:bCs/>
          <w:color w:val="4F81BD" w:themeColor="accent1"/>
        </w:rPr>
        <w:t>Strengthen the</w:t>
      </w:r>
      <w:r w:rsidRPr="00E820CB">
        <w:rPr>
          <w:rFonts w:asciiTheme="majorHAnsi" w:eastAsiaTheme="majorEastAsia" w:hAnsiTheme="majorHAnsi" w:cstheme="majorBidi"/>
          <w:b/>
          <w:bCs/>
          <w:color w:val="4F81BD" w:themeColor="accent1"/>
        </w:rPr>
        <w:t xml:space="preserve"> public financial management</w:t>
      </w:r>
      <w:r w:rsidR="00A44624" w:rsidRPr="00E820CB">
        <w:rPr>
          <w:rFonts w:asciiTheme="majorHAnsi" w:eastAsiaTheme="majorEastAsia" w:hAnsiTheme="majorHAnsi" w:cstheme="majorBidi"/>
          <w:b/>
          <w:bCs/>
          <w:color w:val="4F81BD" w:themeColor="accent1"/>
        </w:rPr>
        <w:t xml:space="preserve"> system in the Health Sector</w:t>
      </w:r>
      <w:bookmarkEnd w:id="49"/>
    </w:p>
    <w:p w14:paraId="463DFE67" w14:textId="666CF6AC" w:rsidR="004F61CF" w:rsidRPr="004F61CF" w:rsidRDefault="004F61CF" w:rsidP="004F61CF">
      <w:pPr>
        <w:rPr>
          <w:rFonts w:eastAsia="Calibri" w:cs="Arial"/>
          <w:szCs w:val="24"/>
        </w:rPr>
      </w:pPr>
      <w:r w:rsidRPr="004F61CF">
        <w:rPr>
          <w:rFonts w:eastAsia="Calibri" w:cs="Arial"/>
          <w:szCs w:val="24"/>
        </w:rPr>
        <w:t xml:space="preserve">Sound </w:t>
      </w:r>
      <w:r w:rsidR="00300ABE">
        <w:rPr>
          <w:rFonts w:eastAsia="Calibri" w:cs="Arial"/>
          <w:szCs w:val="24"/>
        </w:rPr>
        <w:t>p</w:t>
      </w:r>
      <w:r w:rsidRPr="004F61CF">
        <w:rPr>
          <w:rFonts w:eastAsia="Calibri" w:cs="Arial"/>
          <w:szCs w:val="24"/>
        </w:rPr>
        <w:t xml:space="preserve">ublic </w:t>
      </w:r>
      <w:r w:rsidR="00300ABE">
        <w:rPr>
          <w:rFonts w:eastAsia="Calibri" w:cs="Arial"/>
          <w:szCs w:val="24"/>
        </w:rPr>
        <w:t>f</w:t>
      </w:r>
      <w:r w:rsidRPr="004F61CF">
        <w:rPr>
          <w:rFonts w:eastAsia="Calibri" w:cs="Arial"/>
          <w:szCs w:val="24"/>
        </w:rPr>
        <w:t xml:space="preserve">inancial </w:t>
      </w:r>
      <w:r w:rsidR="00300ABE">
        <w:rPr>
          <w:rFonts w:eastAsia="Calibri" w:cs="Arial"/>
          <w:szCs w:val="24"/>
        </w:rPr>
        <w:t>m</w:t>
      </w:r>
      <w:r w:rsidRPr="004F61CF">
        <w:rPr>
          <w:rFonts w:eastAsia="Calibri" w:cs="Arial"/>
          <w:szCs w:val="24"/>
        </w:rPr>
        <w:t xml:space="preserve">anagement (PFM) is an important component </w:t>
      </w:r>
      <w:r w:rsidRPr="00C355DF">
        <w:rPr>
          <w:rFonts w:eastAsia="Calibri" w:cs="Arial"/>
          <w:szCs w:val="24"/>
        </w:rPr>
        <w:t xml:space="preserve">of </w:t>
      </w:r>
      <w:r w:rsidR="00A44624" w:rsidRPr="00C355DF">
        <w:rPr>
          <w:rFonts w:eastAsia="Calibri" w:cs="Arial"/>
          <w:szCs w:val="24"/>
        </w:rPr>
        <w:t xml:space="preserve">any </w:t>
      </w:r>
      <w:r w:rsidR="00300ABE">
        <w:rPr>
          <w:rFonts w:eastAsia="Calibri" w:cs="Arial"/>
          <w:szCs w:val="24"/>
        </w:rPr>
        <w:t>h</w:t>
      </w:r>
      <w:r w:rsidR="00A44624" w:rsidRPr="00C355DF">
        <w:rPr>
          <w:rFonts w:eastAsia="Calibri" w:cs="Arial"/>
          <w:szCs w:val="24"/>
        </w:rPr>
        <w:t xml:space="preserve">ealth </w:t>
      </w:r>
      <w:r w:rsidR="00300ABE">
        <w:rPr>
          <w:rFonts w:eastAsia="Calibri" w:cs="Arial"/>
          <w:szCs w:val="24"/>
        </w:rPr>
        <w:t>f</w:t>
      </w:r>
      <w:r w:rsidR="00A44624" w:rsidRPr="00C355DF">
        <w:rPr>
          <w:rFonts w:eastAsia="Calibri" w:cs="Arial"/>
          <w:szCs w:val="24"/>
        </w:rPr>
        <w:t xml:space="preserve">inancing </w:t>
      </w:r>
      <w:r w:rsidR="00300ABE">
        <w:rPr>
          <w:rFonts w:eastAsia="Calibri" w:cs="Arial"/>
          <w:szCs w:val="24"/>
        </w:rPr>
        <w:t>s</w:t>
      </w:r>
      <w:r w:rsidR="00A44624" w:rsidRPr="00C355DF">
        <w:rPr>
          <w:rFonts w:eastAsia="Calibri" w:cs="Arial"/>
          <w:szCs w:val="24"/>
        </w:rPr>
        <w:t>ystem</w:t>
      </w:r>
      <w:r w:rsidRPr="00C355DF">
        <w:rPr>
          <w:rFonts w:eastAsia="Calibri" w:cs="Arial"/>
          <w:szCs w:val="24"/>
        </w:rPr>
        <w:t xml:space="preserve">. Resources need to be well managed and </w:t>
      </w:r>
      <w:r w:rsidR="00300ABE">
        <w:rPr>
          <w:rFonts w:eastAsia="Calibri" w:cs="Arial"/>
          <w:szCs w:val="24"/>
        </w:rPr>
        <w:t xml:space="preserve">efficiency and </w:t>
      </w:r>
      <w:r w:rsidRPr="00C355DF">
        <w:rPr>
          <w:rFonts w:eastAsia="Calibri" w:cs="Arial"/>
          <w:szCs w:val="24"/>
        </w:rPr>
        <w:t xml:space="preserve">value for money </w:t>
      </w:r>
      <w:r w:rsidR="00300ABE">
        <w:rPr>
          <w:rFonts w:eastAsia="Calibri" w:cs="Arial"/>
          <w:szCs w:val="24"/>
        </w:rPr>
        <w:t>are priorities.</w:t>
      </w:r>
      <w:r w:rsidRPr="004F61CF">
        <w:rPr>
          <w:rFonts w:eastAsia="Calibri" w:cs="Arial"/>
          <w:szCs w:val="24"/>
        </w:rPr>
        <w:t xml:space="preserve"> The focus of PFM within the context of Tanzania’s health financing strategy is to ensure that resources are both mobilized and spent efficiently and cost-effectively to maximize the provision of quality health services. </w:t>
      </w:r>
    </w:p>
    <w:p w14:paraId="12016433" w14:textId="77777777" w:rsidR="00A44624" w:rsidRPr="00C355DF" w:rsidRDefault="00A44624" w:rsidP="00300ABE">
      <w:pPr>
        <w:pStyle w:val="Heading4"/>
        <w:numPr>
          <w:ilvl w:val="0"/>
          <w:numId w:val="0"/>
        </w:numPr>
        <w:ind w:left="864" w:hanging="864"/>
        <w:rPr>
          <w:rFonts w:eastAsia="Times New Roman"/>
          <w:color w:val="548DD4" w:themeColor="text2" w:themeTint="99"/>
        </w:rPr>
      </w:pPr>
      <w:r w:rsidRPr="00C355DF">
        <w:rPr>
          <w:rFonts w:eastAsia="Times New Roman"/>
          <w:color w:val="548DD4" w:themeColor="text2" w:themeTint="99"/>
        </w:rPr>
        <w:t>Strategic Intervention: improve the current PFM system</w:t>
      </w:r>
    </w:p>
    <w:p w14:paraId="5A6DA6FB" w14:textId="71DC9404" w:rsidR="004F61CF" w:rsidRPr="004F61CF" w:rsidRDefault="004F61CF" w:rsidP="004F61CF">
      <w:pPr>
        <w:rPr>
          <w:rFonts w:eastAsia="Calibri" w:cs="Arial"/>
          <w:szCs w:val="24"/>
        </w:rPr>
      </w:pPr>
      <w:r w:rsidRPr="004F61CF">
        <w:rPr>
          <w:rFonts w:eastAsia="Calibri" w:cs="Arial"/>
          <w:szCs w:val="24"/>
        </w:rPr>
        <w:t xml:space="preserve">The SNHI will need strong financial management staff, systems and procedures in order to successfully manage the identification and collection of revenue from multiple sources, manage multiple provider contracts </w:t>
      </w:r>
      <w:r w:rsidR="00F13074">
        <w:rPr>
          <w:rFonts w:eastAsia="Calibri" w:cs="Arial"/>
          <w:szCs w:val="24"/>
        </w:rPr>
        <w:t xml:space="preserve">and output-based provider payment systems </w:t>
      </w:r>
      <w:r w:rsidRPr="004F61CF">
        <w:rPr>
          <w:rFonts w:eastAsia="Calibri" w:cs="Arial"/>
          <w:szCs w:val="24"/>
        </w:rPr>
        <w:t xml:space="preserve">through its regional network, and to make payments down to the facility level including payments related to activity and, potentially, performance. </w:t>
      </w:r>
      <w:r w:rsidR="00F13074">
        <w:rPr>
          <w:rFonts w:eastAsia="Calibri" w:cs="Arial"/>
          <w:szCs w:val="24"/>
        </w:rPr>
        <w:t>In addition, accounting systems, financial reporting</w:t>
      </w:r>
      <w:r w:rsidR="00DA5BDF">
        <w:rPr>
          <w:rFonts w:eastAsia="Calibri" w:cs="Arial"/>
          <w:szCs w:val="24"/>
        </w:rPr>
        <w:t>,</w:t>
      </w:r>
      <w:r w:rsidR="00F13074">
        <w:rPr>
          <w:rFonts w:eastAsia="Calibri" w:cs="Arial"/>
          <w:szCs w:val="24"/>
        </w:rPr>
        <w:t xml:space="preserve"> internal controls </w:t>
      </w:r>
      <w:r w:rsidR="00DA5BDF">
        <w:rPr>
          <w:rFonts w:eastAsia="Calibri" w:cs="Arial"/>
          <w:szCs w:val="24"/>
        </w:rPr>
        <w:t xml:space="preserve">and internal and external audit </w:t>
      </w:r>
      <w:r w:rsidR="00F13074">
        <w:rPr>
          <w:rFonts w:eastAsia="Calibri" w:cs="Arial"/>
          <w:szCs w:val="24"/>
        </w:rPr>
        <w:t xml:space="preserve">will need to be realigned and strengthened to ensure good and transparent management.  </w:t>
      </w:r>
      <w:r w:rsidRPr="004F61CF">
        <w:rPr>
          <w:rFonts w:eastAsia="Calibri" w:cs="Arial"/>
          <w:szCs w:val="24"/>
        </w:rPr>
        <w:t>This will require a degree of integration between financial and non-financial information, and improved accuracy and reliability in both sets of data.</w:t>
      </w:r>
      <w:r w:rsidR="00F13074">
        <w:rPr>
          <w:rFonts w:eastAsia="Calibri" w:cs="Arial"/>
          <w:szCs w:val="24"/>
        </w:rPr>
        <w:t xml:space="preserve">  </w:t>
      </w:r>
    </w:p>
    <w:p w14:paraId="3BABDCB3" w14:textId="77777777" w:rsidR="004F61CF" w:rsidRPr="004F61CF" w:rsidRDefault="004F61CF" w:rsidP="004F61CF">
      <w:pPr>
        <w:rPr>
          <w:rFonts w:eastAsia="Calibri" w:cs="Arial"/>
          <w:szCs w:val="24"/>
        </w:rPr>
      </w:pPr>
    </w:p>
    <w:p w14:paraId="4B3E9FFC" w14:textId="41098A11" w:rsidR="004F61CF" w:rsidRPr="004F61CF" w:rsidRDefault="004F61CF" w:rsidP="004F61CF">
      <w:pPr>
        <w:rPr>
          <w:rFonts w:eastAsia="Calibri" w:cs="Arial"/>
          <w:szCs w:val="24"/>
        </w:rPr>
      </w:pPr>
      <w:r w:rsidRPr="004F61CF">
        <w:rPr>
          <w:rFonts w:eastAsia="Calibri" w:cs="Arial"/>
          <w:szCs w:val="24"/>
        </w:rPr>
        <w:t xml:space="preserve">Providers will need to implement effective billing systems to ensure receipt of all funds due, and to improve the arrangements </w:t>
      </w:r>
      <w:r w:rsidR="00102DDB">
        <w:rPr>
          <w:rFonts w:eastAsia="Calibri" w:cs="Arial"/>
          <w:szCs w:val="24"/>
        </w:rPr>
        <w:t xml:space="preserve">and systems </w:t>
      </w:r>
      <w:r w:rsidRPr="004F61CF">
        <w:rPr>
          <w:rFonts w:eastAsia="Calibri" w:cs="Arial"/>
          <w:szCs w:val="24"/>
        </w:rPr>
        <w:t xml:space="preserve">for </w:t>
      </w:r>
      <w:r w:rsidR="00102DDB">
        <w:rPr>
          <w:rFonts w:eastAsia="Calibri" w:cs="Arial"/>
          <w:szCs w:val="24"/>
        </w:rPr>
        <w:t xml:space="preserve">financial </w:t>
      </w:r>
      <w:r w:rsidRPr="004F61CF">
        <w:rPr>
          <w:rFonts w:eastAsia="Calibri" w:cs="Arial"/>
          <w:szCs w:val="24"/>
        </w:rPr>
        <w:t xml:space="preserve">management of those funds possibly through use of provider networks that enable cost effective management and oversight. </w:t>
      </w:r>
      <w:r w:rsidR="00102DDB">
        <w:rPr>
          <w:rFonts w:eastAsia="Calibri" w:cs="Arial"/>
          <w:szCs w:val="24"/>
        </w:rPr>
        <w:t>Policies, procedures and systems</w:t>
      </w:r>
      <w:r w:rsidRPr="004F61CF">
        <w:rPr>
          <w:rFonts w:eastAsia="Calibri" w:cs="Arial"/>
          <w:szCs w:val="24"/>
        </w:rPr>
        <w:t xml:space="preserve"> will need to be developed to give effect to the envisaged provider autonomy in expenditure management whilst ensuring compliance with existing legislation and </w:t>
      </w:r>
      <w:r w:rsidR="00102DDB">
        <w:rPr>
          <w:rFonts w:eastAsia="Calibri" w:cs="Arial"/>
          <w:szCs w:val="24"/>
        </w:rPr>
        <w:t>PFM</w:t>
      </w:r>
      <w:r w:rsidRPr="004F61CF">
        <w:rPr>
          <w:rFonts w:eastAsia="Calibri" w:cs="Arial"/>
          <w:szCs w:val="24"/>
        </w:rPr>
        <w:t xml:space="preserve"> rules and procedures. Providers will also need to strengthen their forecasting capability to model expected future funding flows, patient demand and resource requirements.</w:t>
      </w:r>
    </w:p>
    <w:p w14:paraId="561F6B33" w14:textId="260287B8" w:rsidR="00364A1A" w:rsidRPr="00DD4CF6" w:rsidRDefault="004F61CF" w:rsidP="008F2630">
      <w:pPr>
        <w:pStyle w:val="Heading3"/>
        <w:numPr>
          <w:ilvl w:val="0"/>
          <w:numId w:val="0"/>
        </w:numPr>
        <w:ind w:left="720"/>
      </w:pPr>
      <w:bookmarkStart w:id="50" w:name="_Toc411949951"/>
      <w:r w:rsidRPr="00DD4CF6">
        <w:lastRenderedPageBreak/>
        <w:t>Strategy</w:t>
      </w:r>
      <w:r w:rsidR="00C355DF" w:rsidRPr="00DD4CF6">
        <w:t xml:space="preserve"> </w:t>
      </w:r>
      <w:r w:rsidR="00DD4CF6">
        <w:t>10</w:t>
      </w:r>
      <w:r w:rsidRPr="00DD4CF6">
        <w:t xml:space="preserve">: </w:t>
      </w:r>
      <w:r w:rsidR="00364A1A" w:rsidRPr="00DD4CF6">
        <w:t xml:space="preserve">Develop a </w:t>
      </w:r>
      <w:r w:rsidR="00BC16F1">
        <w:t>S</w:t>
      </w:r>
      <w:r w:rsidR="00364A1A" w:rsidRPr="00DD4CF6">
        <w:t>trong Health Information and Data Management System</w:t>
      </w:r>
      <w:bookmarkEnd w:id="50"/>
    </w:p>
    <w:p w14:paraId="0E605A13" w14:textId="77777777" w:rsidR="004F61CF" w:rsidRPr="00C355DF" w:rsidRDefault="00364A1A" w:rsidP="00DD4CF6">
      <w:pPr>
        <w:pStyle w:val="Heading4"/>
        <w:numPr>
          <w:ilvl w:val="0"/>
          <w:numId w:val="0"/>
        </w:numPr>
        <w:ind w:left="864" w:hanging="864"/>
        <w:rPr>
          <w:rFonts w:eastAsia="Times New Roman"/>
          <w:color w:val="548DD4" w:themeColor="text2" w:themeTint="99"/>
        </w:rPr>
      </w:pPr>
      <w:r w:rsidRPr="00C355DF">
        <w:rPr>
          <w:rFonts w:eastAsia="Times New Roman"/>
          <w:color w:val="548DD4" w:themeColor="text2" w:themeTint="99"/>
        </w:rPr>
        <w:t xml:space="preserve">Strategic Intervention:  </w:t>
      </w:r>
      <w:r w:rsidR="001A0126" w:rsidRPr="00C355DF">
        <w:rPr>
          <w:rFonts w:eastAsia="Times New Roman"/>
          <w:color w:val="548DD4" w:themeColor="text2" w:themeTint="99"/>
        </w:rPr>
        <w:t>I</w:t>
      </w:r>
      <w:r w:rsidR="004F61CF" w:rsidRPr="00C355DF">
        <w:rPr>
          <w:rFonts w:eastAsia="Times New Roman"/>
          <w:color w:val="548DD4" w:themeColor="text2" w:themeTint="99"/>
        </w:rPr>
        <w:t>mprove use of information for evidence-based policy</w:t>
      </w:r>
    </w:p>
    <w:p w14:paraId="216C3683" w14:textId="38FF8550" w:rsidR="000C262C" w:rsidRDefault="004F61CF" w:rsidP="00C355DF">
      <w:pPr>
        <w:keepNext/>
        <w:keepLines/>
        <w:spacing w:before="200" w:after="120"/>
        <w:outlineLvl w:val="3"/>
        <w:rPr>
          <w:rFonts w:ascii="Cambria" w:eastAsia="Times New Roman" w:hAnsi="Cambria" w:cs="Times New Roman"/>
          <w:b/>
          <w:bCs/>
          <w:i/>
          <w:iCs/>
          <w:color w:val="4F81BD"/>
        </w:rPr>
      </w:pPr>
      <w:r w:rsidRPr="004F61CF">
        <w:rPr>
          <w:rFonts w:ascii="Cambria" w:eastAsia="Times New Roman" w:hAnsi="Cambria" w:cs="Times New Roman"/>
          <w:b/>
          <w:bCs/>
          <w:i/>
          <w:iCs/>
          <w:color w:val="4F81BD"/>
        </w:rPr>
        <w:t xml:space="preserve">Development of </w:t>
      </w:r>
      <w:proofErr w:type="gramStart"/>
      <w:r w:rsidRPr="004F61CF">
        <w:rPr>
          <w:rFonts w:ascii="Cambria" w:eastAsia="Times New Roman" w:hAnsi="Cambria" w:cs="Times New Roman"/>
          <w:b/>
          <w:bCs/>
          <w:i/>
          <w:iCs/>
          <w:color w:val="4F81BD"/>
        </w:rPr>
        <w:t>a</w:t>
      </w:r>
      <w:proofErr w:type="gramEnd"/>
      <w:r w:rsidRPr="004F61CF">
        <w:rPr>
          <w:rFonts w:ascii="Cambria" w:eastAsia="Times New Roman" w:hAnsi="Cambria" w:cs="Times New Roman"/>
          <w:b/>
          <w:bCs/>
          <w:i/>
          <w:iCs/>
          <w:color w:val="4F81BD"/>
        </w:rPr>
        <w:t xml:space="preserve"> </w:t>
      </w:r>
      <w:r w:rsidR="009B58A2">
        <w:rPr>
          <w:rFonts w:ascii="Cambria" w:eastAsia="Times New Roman" w:hAnsi="Cambria" w:cs="Times New Roman"/>
          <w:b/>
          <w:bCs/>
          <w:i/>
          <w:iCs/>
          <w:color w:val="4F81BD"/>
        </w:rPr>
        <w:t>interlinked data management system for SNHI</w:t>
      </w:r>
      <w:r w:rsidRPr="004F61CF">
        <w:rPr>
          <w:rFonts w:ascii="Cambria" w:eastAsia="Times New Roman" w:hAnsi="Cambria" w:cs="Times New Roman"/>
          <w:b/>
          <w:bCs/>
          <w:i/>
          <w:iCs/>
          <w:color w:val="4F81BD"/>
        </w:rPr>
        <w:t xml:space="preserve"> </w:t>
      </w:r>
    </w:p>
    <w:p w14:paraId="2B2CA72B" w14:textId="53E958C4" w:rsidR="00911389" w:rsidRPr="004F61CF" w:rsidRDefault="009B58A2" w:rsidP="00911389">
      <w:pPr>
        <w:rPr>
          <w:rFonts w:eastAsia="Calibri" w:cs="Arial"/>
          <w:szCs w:val="24"/>
        </w:rPr>
      </w:pPr>
      <w:r>
        <w:rPr>
          <w:rFonts w:eastAsia="Calibri" w:cs="Times New Roman"/>
        </w:rPr>
        <w:t>In order to ensure</w:t>
      </w:r>
      <w:r w:rsidR="004F61CF" w:rsidRPr="004F61CF">
        <w:rPr>
          <w:rFonts w:eastAsia="Calibri" w:cs="Times New Roman"/>
        </w:rPr>
        <w:t xml:space="preserve"> evidence-based policy </w:t>
      </w:r>
      <w:r>
        <w:rPr>
          <w:rFonts w:eastAsia="Calibri" w:cs="Times New Roman"/>
        </w:rPr>
        <w:t xml:space="preserve">making the SNHI data management system </w:t>
      </w:r>
      <w:r w:rsidR="004F61CF" w:rsidRPr="004F61CF">
        <w:rPr>
          <w:rFonts w:eastAsia="Calibri" w:cs="Times New Roman"/>
        </w:rPr>
        <w:t xml:space="preserve">will </w:t>
      </w:r>
      <w:r>
        <w:rPr>
          <w:rFonts w:eastAsia="Calibri" w:cs="Times New Roman"/>
        </w:rPr>
        <w:t>have to be linked to</w:t>
      </w:r>
      <w:r w:rsidR="004F61CF" w:rsidRPr="004F61CF">
        <w:rPr>
          <w:rFonts w:eastAsia="Calibri" w:cs="Times New Roman"/>
        </w:rPr>
        <w:t xml:space="preserve"> the </w:t>
      </w:r>
      <w:r w:rsidR="00911389">
        <w:rPr>
          <w:rFonts w:eastAsia="Calibri" w:cs="Times New Roman"/>
        </w:rPr>
        <w:t>h</w:t>
      </w:r>
      <w:r w:rsidR="004F61CF" w:rsidRPr="004F61CF">
        <w:rPr>
          <w:rFonts w:eastAsia="Calibri" w:cs="Times New Roman"/>
        </w:rPr>
        <w:t xml:space="preserve">ealth </w:t>
      </w:r>
      <w:r w:rsidR="00911389">
        <w:rPr>
          <w:rFonts w:eastAsia="Calibri" w:cs="Times New Roman"/>
        </w:rPr>
        <w:t>m</w:t>
      </w:r>
      <w:r w:rsidR="004F61CF" w:rsidRPr="004F61CF">
        <w:rPr>
          <w:rFonts w:eastAsia="Calibri" w:cs="Times New Roman"/>
        </w:rPr>
        <w:t xml:space="preserve">anagement </w:t>
      </w:r>
      <w:r w:rsidR="00911389">
        <w:rPr>
          <w:rFonts w:eastAsia="Calibri" w:cs="Times New Roman"/>
        </w:rPr>
        <w:t>i</w:t>
      </w:r>
      <w:r w:rsidR="004F61CF" w:rsidRPr="004F61CF">
        <w:rPr>
          <w:rFonts w:eastAsia="Calibri" w:cs="Times New Roman"/>
        </w:rPr>
        <w:t xml:space="preserve">nformation </w:t>
      </w:r>
      <w:r w:rsidR="00911389">
        <w:rPr>
          <w:rFonts w:eastAsia="Calibri" w:cs="Times New Roman"/>
        </w:rPr>
        <w:t>s</w:t>
      </w:r>
      <w:r w:rsidR="004F61CF" w:rsidRPr="004F61CF">
        <w:rPr>
          <w:rFonts w:eastAsia="Calibri" w:cs="Times New Roman"/>
        </w:rPr>
        <w:t xml:space="preserve">ystems (HMIS). The </w:t>
      </w:r>
      <w:r w:rsidR="00BC16F1">
        <w:rPr>
          <w:rFonts w:eastAsia="Calibri" w:cs="Times New Roman"/>
        </w:rPr>
        <w:t xml:space="preserve">linking </w:t>
      </w:r>
      <w:r w:rsidR="004F61CF" w:rsidRPr="004F61CF">
        <w:rPr>
          <w:rFonts w:eastAsia="Calibri" w:cs="Times New Roman"/>
        </w:rPr>
        <w:t xml:space="preserve">process will input into the HMIS features of the </w:t>
      </w:r>
      <w:r w:rsidR="00911389">
        <w:rPr>
          <w:rFonts w:eastAsia="Calibri" w:cs="Times New Roman"/>
        </w:rPr>
        <w:t>SNHI data management and information systems and possibly vice versa as well as strengthening linkages between the two over time.</w:t>
      </w:r>
      <w:r w:rsidR="004F61CF" w:rsidRPr="004F61CF">
        <w:rPr>
          <w:rFonts w:eastAsia="Calibri" w:cs="Times New Roman"/>
        </w:rPr>
        <w:t xml:space="preserve"> </w:t>
      </w:r>
      <w:r w:rsidR="00911389">
        <w:rPr>
          <w:rFonts w:eastAsia="Calibri" w:cs="Times New Roman"/>
        </w:rPr>
        <w:t xml:space="preserve"> </w:t>
      </w:r>
      <w:r w:rsidR="004F61CF" w:rsidRPr="004F61CF">
        <w:rPr>
          <w:rFonts w:eastAsia="Calibri" w:cs="Times New Roman"/>
        </w:rPr>
        <w:t xml:space="preserve">The users of the </w:t>
      </w:r>
      <w:r>
        <w:rPr>
          <w:rFonts w:eastAsia="Calibri" w:cs="Times New Roman"/>
        </w:rPr>
        <w:t>SNHI data management system</w:t>
      </w:r>
      <w:r w:rsidR="004F61CF" w:rsidRPr="004F61CF">
        <w:rPr>
          <w:rFonts w:eastAsia="Calibri" w:cs="Times New Roman"/>
        </w:rPr>
        <w:t xml:space="preserve"> will need training to be able to use it effectively. Special attention will be given to building capacity at lower level health facilities.</w:t>
      </w:r>
      <w:r w:rsidR="00BC16F1">
        <w:rPr>
          <w:rFonts w:eastAsia="Calibri" w:cs="Times New Roman"/>
        </w:rPr>
        <w:t xml:space="preserve">  A high priority will be enhancing use of information for implementation, monitoring and system refinement. </w:t>
      </w:r>
      <w:r w:rsidR="00911389">
        <w:rPr>
          <w:rFonts w:eastAsia="Calibri" w:cs="Times New Roman"/>
        </w:rPr>
        <w:t xml:space="preserve">  </w:t>
      </w:r>
      <w:r w:rsidR="00911389">
        <w:rPr>
          <w:rFonts w:eastAsia="Calibri" w:cs="Arial"/>
          <w:szCs w:val="24"/>
        </w:rPr>
        <w:t xml:space="preserve">Resource tracking systems (e.g. PER, NHA) will also need to be improved and used in monitoring, forecasting, and ongoing policy dialogue and system refinement.  </w:t>
      </w:r>
    </w:p>
    <w:p w14:paraId="325CB584" w14:textId="5C5B7C74" w:rsidR="000C262C" w:rsidRDefault="004F61CF" w:rsidP="00C355DF">
      <w:pPr>
        <w:keepNext/>
        <w:keepLines/>
        <w:spacing w:before="200" w:after="120"/>
        <w:outlineLvl w:val="3"/>
        <w:rPr>
          <w:rFonts w:ascii="Cambria" w:eastAsia="Times New Roman" w:hAnsi="Cambria" w:cs="Times New Roman"/>
          <w:b/>
          <w:bCs/>
          <w:i/>
          <w:iCs/>
          <w:color w:val="4F81BD"/>
        </w:rPr>
      </w:pPr>
      <w:r w:rsidRPr="004F61CF">
        <w:rPr>
          <w:rFonts w:ascii="Cambria" w:eastAsia="Times New Roman" w:hAnsi="Cambria" w:cs="Times New Roman"/>
          <w:b/>
          <w:bCs/>
          <w:i/>
          <w:iCs/>
          <w:color w:val="4F81BD"/>
        </w:rPr>
        <w:t xml:space="preserve">Link vital national databases to the </w:t>
      </w:r>
      <w:r w:rsidR="00911389">
        <w:rPr>
          <w:rFonts w:ascii="Cambria" w:eastAsia="Times New Roman" w:hAnsi="Cambria" w:cs="Times New Roman"/>
          <w:b/>
          <w:bCs/>
          <w:i/>
          <w:iCs/>
          <w:color w:val="4F81BD"/>
        </w:rPr>
        <w:t>SNHI</w:t>
      </w:r>
    </w:p>
    <w:p w14:paraId="29AC5635" w14:textId="6D876B99" w:rsidR="004F61CF" w:rsidRDefault="004F61CF" w:rsidP="004F61CF">
      <w:pPr>
        <w:rPr>
          <w:rFonts w:eastAsia="Calibri" w:cs="Times New Roman"/>
        </w:rPr>
      </w:pPr>
      <w:r w:rsidRPr="004F61CF">
        <w:rPr>
          <w:rFonts w:eastAsia="Calibri" w:cs="Times New Roman"/>
        </w:rPr>
        <w:t xml:space="preserve">Linkage of key national databases to that of the SNHI is intended to encourage those who have not joined the </w:t>
      </w:r>
      <w:r w:rsidR="00911389">
        <w:rPr>
          <w:rFonts w:eastAsia="Calibri" w:cs="Times New Roman"/>
        </w:rPr>
        <w:t>system</w:t>
      </w:r>
      <w:r w:rsidRPr="004F61CF">
        <w:rPr>
          <w:rFonts w:eastAsia="Calibri" w:cs="Times New Roman"/>
        </w:rPr>
        <w:t xml:space="preserve"> to join it, as receiving certain services will become conditional on being a member of the s</w:t>
      </w:r>
      <w:r w:rsidR="00911389">
        <w:rPr>
          <w:rFonts w:eastAsia="Calibri" w:cs="Times New Roman"/>
        </w:rPr>
        <w:t>ystem</w:t>
      </w:r>
      <w:r w:rsidRPr="004F61CF">
        <w:rPr>
          <w:rFonts w:eastAsia="Calibri" w:cs="Times New Roman"/>
        </w:rPr>
        <w:t>. Important national databases that should be linked to SNHI</w:t>
      </w:r>
      <w:r w:rsidR="00110643">
        <w:rPr>
          <w:rFonts w:eastAsia="Calibri" w:cs="Times New Roman"/>
        </w:rPr>
        <w:t xml:space="preserve"> </w:t>
      </w:r>
      <w:r w:rsidRPr="004F61CF">
        <w:rPr>
          <w:rFonts w:eastAsia="Calibri" w:cs="Times New Roman"/>
        </w:rPr>
        <w:t xml:space="preserve">include NIDA, RITA and Tanzania Revenue Authority. In the rural areas, where these databases are not very commonly used, enrolment in school databases will be </w:t>
      </w:r>
      <w:r w:rsidR="00911389">
        <w:rPr>
          <w:rFonts w:eastAsia="Calibri" w:cs="Times New Roman"/>
        </w:rPr>
        <w:t>an</w:t>
      </w:r>
      <w:r w:rsidRPr="004F61CF">
        <w:rPr>
          <w:rFonts w:eastAsia="Calibri" w:cs="Times New Roman"/>
        </w:rPr>
        <w:t xml:space="preserve"> alternative.</w:t>
      </w:r>
    </w:p>
    <w:p w14:paraId="1AF61F81" w14:textId="79DE07DF" w:rsidR="000C262C" w:rsidRPr="00416860" w:rsidRDefault="004F61CF" w:rsidP="00416860">
      <w:pPr>
        <w:keepNext/>
        <w:keepLines/>
        <w:spacing w:before="200" w:after="120"/>
        <w:outlineLvl w:val="3"/>
        <w:rPr>
          <w:rFonts w:ascii="Cambria" w:eastAsia="Times New Roman" w:hAnsi="Cambria" w:cs="Times New Roman"/>
          <w:b/>
          <w:bCs/>
          <w:i/>
          <w:iCs/>
          <w:color w:val="4F81BD"/>
        </w:rPr>
      </w:pPr>
      <w:r w:rsidRPr="00416860">
        <w:rPr>
          <w:rFonts w:ascii="Cambria" w:eastAsia="Times New Roman" w:hAnsi="Cambria" w:cs="Times New Roman"/>
          <w:b/>
          <w:bCs/>
          <w:i/>
          <w:iCs/>
          <w:color w:val="4F81BD"/>
        </w:rPr>
        <w:t>Solid social health insurance database</w:t>
      </w:r>
    </w:p>
    <w:p w14:paraId="6F234D6F" w14:textId="77777777" w:rsidR="004F61CF" w:rsidRDefault="004F61CF" w:rsidP="004F61CF">
      <w:pPr>
        <w:rPr>
          <w:rFonts w:eastAsia="Calibri" w:cs="Arial"/>
          <w:szCs w:val="24"/>
        </w:rPr>
      </w:pPr>
      <w:r w:rsidRPr="004F61CF">
        <w:rPr>
          <w:rFonts w:eastAsia="Calibri" w:cs="Arial"/>
          <w:szCs w:val="24"/>
        </w:rPr>
        <w:t>A solid social health insurance database is an invaluable strategic input for the scheme’s performance. This is a critical input in the day to day management of the scheme. Such database will show client behavior, premium conformity, provider needs, quality aspects and areas which need attention to sustain the scheme.</w:t>
      </w:r>
    </w:p>
    <w:p w14:paraId="385E96A8" w14:textId="77777777" w:rsidR="001368A2" w:rsidRDefault="001368A2" w:rsidP="004F61CF">
      <w:pPr>
        <w:rPr>
          <w:rFonts w:eastAsia="Calibri" w:cs="Arial"/>
          <w:szCs w:val="24"/>
        </w:rPr>
      </w:pPr>
    </w:p>
    <w:p w14:paraId="1FC68446" w14:textId="638582CA" w:rsidR="001368A2" w:rsidRPr="001368A2" w:rsidRDefault="001368A2" w:rsidP="001368A2">
      <w:pPr>
        <w:rPr>
          <w:rFonts w:eastAsia="Calibri" w:cs="Arial"/>
          <w:szCs w:val="24"/>
        </w:rPr>
      </w:pPr>
      <w:r w:rsidRPr="001368A2">
        <w:rPr>
          <w:rFonts w:eastAsia="Calibri" w:cs="Arial"/>
          <w:szCs w:val="24"/>
        </w:rPr>
        <w:t>MOHSW</w:t>
      </w:r>
      <w:r w:rsidR="00BC291C">
        <w:rPr>
          <w:rFonts w:eastAsia="Calibri" w:cs="Arial"/>
          <w:szCs w:val="24"/>
        </w:rPr>
        <w:t xml:space="preserve"> will take lead responsibility </w:t>
      </w:r>
      <w:r w:rsidRPr="001368A2">
        <w:rPr>
          <w:rFonts w:eastAsia="Calibri" w:cs="Arial"/>
          <w:szCs w:val="24"/>
        </w:rPr>
        <w:t xml:space="preserve">for </w:t>
      </w:r>
      <w:r w:rsidR="006D7AA1" w:rsidRPr="001368A2">
        <w:rPr>
          <w:rFonts w:eastAsia="Calibri" w:cs="Arial"/>
          <w:szCs w:val="24"/>
        </w:rPr>
        <w:t>analyzing</w:t>
      </w:r>
      <w:r w:rsidRPr="001368A2">
        <w:rPr>
          <w:rFonts w:eastAsia="Calibri" w:cs="Arial"/>
          <w:szCs w:val="24"/>
        </w:rPr>
        <w:t>, consolidating and distributing financial and performance repor</w:t>
      </w:r>
      <w:r w:rsidR="00BC291C">
        <w:rPr>
          <w:rFonts w:eastAsia="Calibri" w:cs="Arial"/>
          <w:szCs w:val="24"/>
        </w:rPr>
        <w:t xml:space="preserve">ting for the sector. </w:t>
      </w:r>
      <w:r w:rsidR="00DA5BDF">
        <w:rPr>
          <w:rFonts w:eastAsia="Calibri" w:cs="Arial"/>
          <w:szCs w:val="24"/>
        </w:rPr>
        <w:t>As steward of the entire health sector</w:t>
      </w:r>
      <w:r w:rsidR="00E96B92">
        <w:rPr>
          <w:rFonts w:eastAsia="Calibri" w:cs="Arial"/>
          <w:szCs w:val="24"/>
        </w:rPr>
        <w:t>,</w:t>
      </w:r>
      <w:r w:rsidR="00DA5BDF">
        <w:rPr>
          <w:rFonts w:eastAsia="Calibri" w:cs="Arial"/>
          <w:szCs w:val="24"/>
        </w:rPr>
        <w:t xml:space="preserve"> t</w:t>
      </w:r>
      <w:r w:rsidR="00BC291C">
        <w:rPr>
          <w:rFonts w:eastAsia="Calibri" w:cs="Arial"/>
          <w:szCs w:val="24"/>
        </w:rPr>
        <w:t xml:space="preserve">he MOHSW </w:t>
      </w:r>
      <w:r w:rsidR="009B58A2">
        <w:rPr>
          <w:rFonts w:eastAsia="Calibri" w:cs="Arial"/>
          <w:szCs w:val="24"/>
        </w:rPr>
        <w:t>uses the</w:t>
      </w:r>
      <w:r w:rsidRPr="001368A2">
        <w:rPr>
          <w:rFonts w:eastAsia="Calibri" w:cs="Arial"/>
          <w:szCs w:val="24"/>
        </w:rPr>
        <w:t xml:space="preserve"> SNHI data</w:t>
      </w:r>
      <w:r w:rsidR="00E96B92">
        <w:rPr>
          <w:rFonts w:eastAsia="Calibri" w:cs="Arial"/>
          <w:szCs w:val="24"/>
        </w:rPr>
        <w:t>bases</w:t>
      </w:r>
      <w:r w:rsidR="00DA5BDF">
        <w:rPr>
          <w:rFonts w:eastAsia="Calibri" w:cs="Arial"/>
          <w:szCs w:val="24"/>
        </w:rPr>
        <w:t xml:space="preserve"> </w:t>
      </w:r>
      <w:r w:rsidRPr="001368A2">
        <w:rPr>
          <w:rFonts w:eastAsia="Calibri" w:cs="Arial"/>
          <w:szCs w:val="24"/>
        </w:rPr>
        <w:t>to provider financial report datasets, to ensure overall monitoring of health policy implementation and value for money, to develop nationally set provider tariffs, and to inform further policy development. Clear and transparent reporting of resource use will be critical to enabling the health sector to demonstrate value for money and to ensure that any additional resources can be most effectively and efficiently targeted.</w:t>
      </w:r>
    </w:p>
    <w:p w14:paraId="1DCD31B8" w14:textId="77777777" w:rsidR="001368A2" w:rsidRPr="001368A2" w:rsidRDefault="001368A2" w:rsidP="001368A2">
      <w:pPr>
        <w:rPr>
          <w:rFonts w:eastAsia="Calibri" w:cs="Arial"/>
          <w:szCs w:val="24"/>
        </w:rPr>
      </w:pPr>
    </w:p>
    <w:p w14:paraId="63F933D6" w14:textId="5A5F47DE" w:rsidR="00F216FD" w:rsidRDefault="001368A2" w:rsidP="001368A2">
      <w:pPr>
        <w:rPr>
          <w:rFonts w:eastAsia="Calibri" w:cs="Arial"/>
          <w:szCs w:val="24"/>
        </w:rPr>
      </w:pPr>
      <w:r w:rsidRPr="001368A2">
        <w:rPr>
          <w:rFonts w:eastAsia="Calibri" w:cs="Arial"/>
          <w:szCs w:val="24"/>
        </w:rPr>
        <w:lastRenderedPageBreak/>
        <w:t>PMO-RALG, Regional Administrative Secretariats, and LGAs will also require access to appropriate SNHI data sets, in order to monitor implementation of health policy in the regions/ districts, and to assist in identification and management of service delivery risks. In particular it is anticipated that RASs will need strengthened financial management capacity dedicated to the health sector.</w:t>
      </w:r>
    </w:p>
    <w:p w14:paraId="6A071AB5" w14:textId="77777777" w:rsidR="00911389" w:rsidRPr="00416860" w:rsidRDefault="00911389" w:rsidP="00911389">
      <w:pPr>
        <w:keepNext/>
        <w:keepLines/>
        <w:spacing w:before="200" w:after="120"/>
        <w:outlineLvl w:val="3"/>
        <w:rPr>
          <w:rFonts w:ascii="Cambria" w:eastAsia="Times New Roman" w:hAnsi="Cambria" w:cs="Times New Roman"/>
          <w:b/>
          <w:bCs/>
          <w:i/>
          <w:iCs/>
          <w:color w:val="4F81BD"/>
        </w:rPr>
      </w:pPr>
      <w:r w:rsidRPr="00416860">
        <w:rPr>
          <w:rFonts w:ascii="Cambria" w:eastAsia="Times New Roman" w:hAnsi="Cambria" w:cs="Times New Roman"/>
          <w:b/>
          <w:bCs/>
          <w:i/>
          <w:iCs/>
          <w:color w:val="4F81BD"/>
        </w:rPr>
        <w:t xml:space="preserve">Regular supportive research  </w:t>
      </w:r>
    </w:p>
    <w:p w14:paraId="2D988E96" w14:textId="75A0993D" w:rsidR="00911389" w:rsidRDefault="00911389" w:rsidP="00911389">
      <w:pPr>
        <w:rPr>
          <w:rFonts w:eastAsia="Calibri" w:cs="Arial"/>
          <w:szCs w:val="24"/>
        </w:rPr>
      </w:pPr>
      <w:r w:rsidRPr="004F61CF">
        <w:rPr>
          <w:rFonts w:eastAsia="Calibri" w:cs="Arial"/>
          <w:szCs w:val="24"/>
        </w:rPr>
        <w:t>Evidence-</w:t>
      </w:r>
      <w:r w:rsidRPr="004F61CF">
        <w:rPr>
          <w:rFonts w:eastAsia="Calibri" w:cs="Times New Roman"/>
        </w:rPr>
        <w:t xml:space="preserve">based policies are best derived from daily practice and observations. In this context information generated from supportive research is an important strategy for the                                                             </w:t>
      </w:r>
      <w:r>
        <w:rPr>
          <w:rFonts w:eastAsia="Calibri" w:cs="Times New Roman"/>
        </w:rPr>
        <w:t>SNHI</w:t>
      </w:r>
      <w:r w:rsidRPr="004F61CF">
        <w:rPr>
          <w:rFonts w:eastAsia="Calibri" w:cs="Times New Roman"/>
        </w:rPr>
        <w:t xml:space="preserve"> to </w:t>
      </w:r>
      <w:r w:rsidR="00056A61">
        <w:rPr>
          <w:rFonts w:eastAsia="Calibri" w:cs="Times New Roman"/>
        </w:rPr>
        <w:t xml:space="preserve">implement required refinements and </w:t>
      </w:r>
      <w:r w:rsidRPr="004F61CF">
        <w:rPr>
          <w:rFonts w:eastAsia="Calibri" w:cs="Times New Roman"/>
        </w:rPr>
        <w:t xml:space="preserve">perform better. Such research will investigate </w:t>
      </w:r>
      <w:r w:rsidR="00E96B92">
        <w:rPr>
          <w:rFonts w:eastAsia="Calibri" w:cs="Times New Roman"/>
        </w:rPr>
        <w:t xml:space="preserve">reasons for </w:t>
      </w:r>
      <w:r w:rsidR="00056A61">
        <w:rPr>
          <w:rFonts w:eastAsia="Calibri" w:cs="Times New Roman"/>
        </w:rPr>
        <w:t xml:space="preserve">population </w:t>
      </w:r>
      <w:r w:rsidRPr="004F61CF">
        <w:rPr>
          <w:rFonts w:eastAsia="Calibri" w:cs="Times New Roman"/>
        </w:rPr>
        <w:t xml:space="preserve">joining rates and drop-out </w:t>
      </w:r>
      <w:r w:rsidR="00056A61">
        <w:rPr>
          <w:rFonts w:eastAsia="Calibri" w:cs="Times New Roman"/>
        </w:rPr>
        <w:t xml:space="preserve">coverage of the poor and </w:t>
      </w:r>
      <w:r w:rsidRPr="004F61CF">
        <w:rPr>
          <w:rFonts w:eastAsia="Calibri" w:cs="Times New Roman"/>
        </w:rPr>
        <w:t>satisfaction with services</w:t>
      </w:r>
      <w:r w:rsidR="00056A61">
        <w:rPr>
          <w:rFonts w:eastAsia="Calibri" w:cs="Times New Roman"/>
        </w:rPr>
        <w:t>.</w:t>
      </w:r>
      <w:r w:rsidRPr="004F61CF">
        <w:rPr>
          <w:rFonts w:eastAsia="Calibri" w:cs="Times New Roman"/>
        </w:rPr>
        <w:t xml:space="preserve"> Supportive research strategy will also investigate </w:t>
      </w:r>
      <w:r>
        <w:rPr>
          <w:rFonts w:eastAsia="Calibri" w:cs="Times New Roman"/>
        </w:rPr>
        <w:t xml:space="preserve">extent of risk pooling, effectiveness of provider payment systems, </w:t>
      </w:r>
      <w:r w:rsidRPr="004F61CF">
        <w:rPr>
          <w:rFonts w:eastAsia="Calibri" w:cs="Times New Roman"/>
        </w:rPr>
        <w:t xml:space="preserve">provider performance, ability to pay premiums, </w:t>
      </w:r>
      <w:r w:rsidR="00056A61">
        <w:rPr>
          <w:rFonts w:eastAsia="Calibri" w:cs="Times New Roman"/>
        </w:rPr>
        <w:t xml:space="preserve">extent of desired service delivery improvements especially at the PHC level, </w:t>
      </w:r>
      <w:r w:rsidRPr="004F61CF">
        <w:rPr>
          <w:rFonts w:eastAsia="Calibri" w:cs="Times New Roman"/>
        </w:rPr>
        <w:t>and conformity to essential drugs lists. Other important issues to study include equity, social inclusion, organizational performance, actuarial aspects, and alternative sources of complementary</w:t>
      </w:r>
      <w:r w:rsidRPr="004F61CF">
        <w:rPr>
          <w:rFonts w:eastAsia="Calibri" w:cs="Arial"/>
          <w:szCs w:val="24"/>
        </w:rPr>
        <w:t xml:space="preserve"> funds.</w:t>
      </w:r>
    </w:p>
    <w:p w14:paraId="3AFBD42A" w14:textId="77777777" w:rsidR="00911389" w:rsidRDefault="00911389" w:rsidP="00275609">
      <w:pPr>
        <w:rPr>
          <w:rFonts w:eastAsia="Calibri" w:cs="Times New Roman"/>
        </w:rPr>
      </w:pPr>
    </w:p>
    <w:p w14:paraId="7E83651F" w14:textId="47A37422" w:rsidR="00275609" w:rsidRPr="00022114" w:rsidRDefault="000E66A0" w:rsidP="00275609">
      <w:pPr>
        <w:rPr>
          <w:rFonts w:eastAsia="Calibri" w:cs="Times New Roman"/>
        </w:rPr>
      </w:pPr>
      <w:r>
        <w:rPr>
          <w:rFonts w:eastAsia="Calibri" w:cs="Times New Roman"/>
        </w:rPr>
        <w:t>As part of open governance partnership policy</w:t>
      </w:r>
      <w:r w:rsidR="00275609" w:rsidRPr="00022114">
        <w:rPr>
          <w:rFonts w:eastAsia="Calibri" w:cs="Times New Roman"/>
        </w:rPr>
        <w:t xml:space="preserve"> </w:t>
      </w:r>
      <w:r>
        <w:rPr>
          <w:rFonts w:eastAsia="Calibri" w:cs="Times New Roman"/>
        </w:rPr>
        <w:t>the MOHSW to the</w:t>
      </w:r>
      <w:r w:rsidR="00275609" w:rsidRPr="00022114">
        <w:rPr>
          <w:rFonts w:eastAsia="Calibri" w:cs="Times New Roman"/>
        </w:rPr>
        <w:t xml:space="preserve"> extent possible and consistent with privacy and confidentiality considerations, </w:t>
      </w:r>
      <w:r>
        <w:rPr>
          <w:rFonts w:eastAsia="Calibri" w:cs="Times New Roman"/>
        </w:rPr>
        <w:t xml:space="preserve">will make accessible and publicly available </w:t>
      </w:r>
      <w:r w:rsidR="00275609" w:rsidRPr="00022114">
        <w:rPr>
          <w:rFonts w:eastAsia="Calibri" w:cs="Times New Roman"/>
        </w:rPr>
        <w:t xml:space="preserve">data </w:t>
      </w:r>
      <w:r>
        <w:rPr>
          <w:rFonts w:eastAsia="Calibri" w:cs="Times New Roman"/>
        </w:rPr>
        <w:t>on the performance of the SNHI</w:t>
      </w:r>
      <w:r w:rsidR="00275609" w:rsidRPr="00022114">
        <w:rPr>
          <w:rFonts w:eastAsia="Calibri" w:cs="Times New Roman"/>
        </w:rPr>
        <w:t xml:space="preserve"> so that: (1) </w:t>
      </w:r>
      <w:r w:rsidR="004B72F6">
        <w:rPr>
          <w:rFonts w:eastAsia="Calibri" w:cs="Times New Roman"/>
        </w:rPr>
        <w:t>operational</w:t>
      </w:r>
      <w:r w:rsidR="00275609" w:rsidRPr="00022114">
        <w:rPr>
          <w:rFonts w:eastAsia="Calibri" w:cs="Times New Roman"/>
        </w:rPr>
        <w:t xml:space="preserve"> research and analysis may be performed using it to help generate insights on how the system performs and as a part of the accountability for use of public resources and the achievement of results and (2) civil society organizations can use performance data to hold the SNHI system accountable and advocate for change when desired.</w:t>
      </w:r>
    </w:p>
    <w:p w14:paraId="145501C4" w14:textId="77777777" w:rsidR="00F216FD" w:rsidRDefault="00F216FD">
      <w:pPr>
        <w:spacing w:after="200"/>
        <w:jc w:val="left"/>
        <w:rPr>
          <w:rFonts w:eastAsia="Calibri" w:cs="Arial"/>
          <w:szCs w:val="24"/>
        </w:rPr>
      </w:pPr>
      <w:r>
        <w:rPr>
          <w:rFonts w:eastAsia="Calibri" w:cs="Arial"/>
          <w:szCs w:val="24"/>
        </w:rPr>
        <w:br w:type="page"/>
      </w:r>
    </w:p>
    <w:p w14:paraId="74A3D739" w14:textId="336C2F93" w:rsidR="00EA38DE" w:rsidRDefault="00EA38DE" w:rsidP="00183E26">
      <w:pPr>
        <w:pStyle w:val="Heading1"/>
      </w:pPr>
      <w:bookmarkStart w:id="51" w:name="_Toc411949952"/>
      <w:r>
        <w:lastRenderedPageBreak/>
        <w:t>Health Financing Strategy Implementation</w:t>
      </w:r>
      <w:bookmarkEnd w:id="51"/>
      <w:r>
        <w:t xml:space="preserve"> </w:t>
      </w:r>
    </w:p>
    <w:p w14:paraId="19727735" w14:textId="5EE9BEB1" w:rsidR="005D5DCD" w:rsidRDefault="00FA581D" w:rsidP="008F2630">
      <w:bookmarkStart w:id="52" w:name="_Toc411499452"/>
      <w:bookmarkStart w:id="53" w:name="_Toc411949953"/>
      <w:r>
        <w:t>T</w:t>
      </w:r>
      <w:r w:rsidR="005D5DCD">
        <w:t xml:space="preserve">he HFS is actually realized in practice </w:t>
      </w:r>
      <w:r>
        <w:t>through the activities defined in</w:t>
      </w:r>
      <w:r w:rsidR="005D5DCD">
        <w:t xml:space="preserve"> its implementation</w:t>
      </w:r>
      <w:r>
        <w:t xml:space="preserve"> plan</w:t>
      </w:r>
      <w:r w:rsidR="005D5DCD">
        <w:t xml:space="preserve">.  HFS implementation plan </w:t>
      </w:r>
      <w:r>
        <w:t>is</w:t>
      </w:r>
      <w:r w:rsidR="005D5DCD">
        <w:t xml:space="preserve"> described in the following sections.</w:t>
      </w:r>
      <w:bookmarkEnd w:id="52"/>
      <w:bookmarkEnd w:id="53"/>
      <w:r w:rsidR="005D5DCD">
        <w:t xml:space="preserve">  </w:t>
      </w:r>
    </w:p>
    <w:p w14:paraId="4C44EC7F" w14:textId="0B73471E" w:rsidR="00525A54" w:rsidRDefault="00D37272" w:rsidP="00183E26">
      <w:pPr>
        <w:pStyle w:val="Heading2"/>
      </w:pPr>
      <w:bookmarkStart w:id="54" w:name="_Toc411949954"/>
      <w:r>
        <w:t xml:space="preserve">Implementation Strategy </w:t>
      </w:r>
      <w:r w:rsidR="00D079F4">
        <w:t>and Sequencing</w:t>
      </w:r>
      <w:bookmarkEnd w:id="54"/>
    </w:p>
    <w:p w14:paraId="75DE3934" w14:textId="41CEE312" w:rsidR="000F2EFA" w:rsidRDefault="000F2EFA" w:rsidP="000F2EFA">
      <w:pPr>
        <w:rPr>
          <w:rFonts w:cs="Arial"/>
        </w:rPr>
      </w:pPr>
      <w:r>
        <w:t>Key to HFS implementation success is an i</w:t>
      </w:r>
      <w:r w:rsidRPr="00D37272">
        <w:t xml:space="preserve">mplementation strategy </w:t>
      </w:r>
      <w:r>
        <w:t>that creates</w:t>
      </w:r>
      <w:r w:rsidRPr="00BE34A5">
        <w:rPr>
          <w:rFonts w:cs="Arial"/>
        </w:rPr>
        <w:t xml:space="preserve"> dynamic action driving implementation and help</w:t>
      </w:r>
      <w:r>
        <w:rPr>
          <w:rFonts w:cs="Arial"/>
        </w:rPr>
        <w:t>s</w:t>
      </w:r>
      <w:r w:rsidRPr="00BE34A5">
        <w:rPr>
          <w:rFonts w:cs="Arial"/>
        </w:rPr>
        <w:t xml:space="preserve"> to ensure the many and varied tasks meld into a cohesive </w:t>
      </w:r>
      <w:r w:rsidR="000D19E7">
        <w:rPr>
          <w:rFonts w:cs="Arial"/>
        </w:rPr>
        <w:t xml:space="preserve">and </w:t>
      </w:r>
      <w:r w:rsidRPr="00BE34A5">
        <w:rPr>
          <w:rFonts w:cs="Arial"/>
        </w:rPr>
        <w:t xml:space="preserve">functioning </w:t>
      </w:r>
      <w:r>
        <w:rPr>
          <w:rFonts w:cs="Arial"/>
        </w:rPr>
        <w:t>S</w:t>
      </w:r>
      <w:r w:rsidRPr="00BE34A5">
        <w:rPr>
          <w:rFonts w:cs="Arial"/>
        </w:rPr>
        <w:t xml:space="preserve">NHI system.  </w:t>
      </w:r>
      <w:r>
        <w:rPr>
          <w:rFonts w:cs="Arial"/>
        </w:rPr>
        <w:t>In addition, i</w:t>
      </w:r>
      <w:r w:rsidRPr="00BE34A5">
        <w:rPr>
          <w:rFonts w:cs="Arial"/>
        </w:rPr>
        <w:t xml:space="preserve">mplementation </w:t>
      </w:r>
      <w:r>
        <w:rPr>
          <w:rFonts w:cs="Arial"/>
        </w:rPr>
        <w:t xml:space="preserve">will be </w:t>
      </w:r>
      <w:r w:rsidRPr="00BE34A5">
        <w:rPr>
          <w:rFonts w:cs="Arial"/>
        </w:rPr>
        <w:t>sequenc</w:t>
      </w:r>
      <w:r>
        <w:rPr>
          <w:rFonts w:cs="Arial"/>
        </w:rPr>
        <w:t xml:space="preserve">ed clearly </w:t>
      </w:r>
      <w:r w:rsidR="000D19E7">
        <w:rPr>
          <w:rFonts w:cs="Arial"/>
        </w:rPr>
        <w:t xml:space="preserve">by </w:t>
      </w:r>
      <w:r>
        <w:rPr>
          <w:rFonts w:cs="Arial"/>
        </w:rPr>
        <w:t xml:space="preserve">breaking down the </w:t>
      </w:r>
      <w:r w:rsidRPr="00BE34A5">
        <w:rPr>
          <w:rFonts w:cs="Arial"/>
        </w:rPr>
        <w:t>task</w:t>
      </w:r>
      <w:r>
        <w:rPr>
          <w:rFonts w:cs="Arial"/>
        </w:rPr>
        <w:t xml:space="preserve"> of SNHI implementation </w:t>
      </w:r>
      <w:r w:rsidRPr="00BE34A5">
        <w:rPr>
          <w:rFonts w:cs="Arial"/>
        </w:rPr>
        <w:t>into simple and realistic steps</w:t>
      </w:r>
      <w:r>
        <w:rPr>
          <w:rFonts w:cs="Arial"/>
        </w:rPr>
        <w:t>.  The steps will be</w:t>
      </w:r>
      <w:r w:rsidRPr="00BE34A5">
        <w:rPr>
          <w:rFonts w:cs="Arial"/>
        </w:rPr>
        <w:t xml:space="preserve"> order</w:t>
      </w:r>
      <w:r>
        <w:rPr>
          <w:rFonts w:cs="Arial"/>
        </w:rPr>
        <w:t>ed</w:t>
      </w:r>
      <w:r w:rsidRPr="00BE34A5">
        <w:rPr>
          <w:rFonts w:cs="Arial"/>
        </w:rPr>
        <w:t xml:space="preserve"> in a way that </w:t>
      </w:r>
      <w:r>
        <w:rPr>
          <w:rFonts w:cs="Arial"/>
        </w:rPr>
        <w:t xml:space="preserve">makes each next step inevitable and </w:t>
      </w:r>
      <w:r w:rsidRPr="00BE34A5">
        <w:rPr>
          <w:rFonts w:cs="Arial"/>
        </w:rPr>
        <w:t>enables implementation to progress seamlessly.</w:t>
      </w:r>
      <w:r>
        <w:rPr>
          <w:rFonts w:cs="Arial"/>
        </w:rPr>
        <w:t xml:space="preserve">  </w:t>
      </w:r>
      <w:r w:rsidRPr="00BE34A5">
        <w:rPr>
          <w:rFonts w:cs="Arial"/>
        </w:rPr>
        <w:t xml:space="preserve">  </w:t>
      </w:r>
    </w:p>
    <w:p w14:paraId="5753FC94" w14:textId="77777777" w:rsidR="005D5DCD" w:rsidRDefault="005D5DCD" w:rsidP="00D37272">
      <w:pPr>
        <w:rPr>
          <w:rFonts w:cs="Arial"/>
        </w:rPr>
      </w:pPr>
    </w:p>
    <w:p w14:paraId="0A168541" w14:textId="5FE4BB60" w:rsidR="005D5DCD" w:rsidRDefault="005D5DCD" w:rsidP="005D5DCD">
      <w:r>
        <w:rPr>
          <w:rFonts w:cs="Arial"/>
        </w:rPr>
        <w:t xml:space="preserve">SNHI is a new and large government program.  It will require significant time </w:t>
      </w:r>
      <w:r w:rsidRPr="00D37272">
        <w:t>to develop</w:t>
      </w:r>
      <w:r>
        <w:t xml:space="preserve"> </w:t>
      </w:r>
      <w:r w:rsidRPr="004F787C">
        <w:t>and approve SNHI legal and regulatory framework and establish and operationalize institutional structure, roles and relationships.  In Strategies 1 and 2, it is planned that SNHI Act and receive stakeholder validation in Year 1, discussed and approved by Parliament in Year 2, SNH</w:t>
      </w:r>
      <w:r w:rsidR="005D0671" w:rsidRPr="004F787C">
        <w:t>I</w:t>
      </w:r>
      <w:r w:rsidRPr="004F787C">
        <w:t xml:space="preserve"> institutional structure including purchaser-provider split established in Year 3, and SNHI fully operational in Year 4.  This is a realistic timeframe but the importance of producing visible impact relatively quickly is also recognized.</w:t>
      </w:r>
      <w:r>
        <w:t xml:space="preserve">    </w:t>
      </w:r>
      <w:r w:rsidRPr="00D37272">
        <w:t xml:space="preserve">  </w:t>
      </w:r>
    </w:p>
    <w:p w14:paraId="70FB647F" w14:textId="77777777" w:rsidR="005D5DCD" w:rsidRDefault="005D5DCD" w:rsidP="000302F9"/>
    <w:p w14:paraId="026BC665" w14:textId="6C2354B7" w:rsidR="005D5DCD" w:rsidRDefault="005D5DCD" w:rsidP="005D5DCD">
      <w:r>
        <w:t xml:space="preserve">The HFS implementation strategy portrayed in Figure 6.1 represents a two-pronged approach to </w:t>
      </w:r>
      <w:r w:rsidR="000D19E7">
        <w:t xml:space="preserve">realizing the </w:t>
      </w:r>
      <w:r>
        <w:t xml:space="preserve">HFS.  One prong called establish SNHI path proceeds to accomplish SNHI and institutional set-up as described above and in the Implementation Plan.  The second prong called the visible impact path focuses on realigning and further developing existing health financing programs, systems and processes to the greatest extent possible immediately after the HFS is approved in order to best prepare for SNHI and produce visible impact in the shortest time possible.  The two prongs or paths come together to deepen SNHI in Year 4 when it becomes fully operational.  At this point, the visible impact path will have positioned Tanzania to seamlessly and inevitably enter full SNHI operation.  SNHI implementation will quickly pick up </w:t>
      </w:r>
      <w:r w:rsidR="005D0671">
        <w:t>operations</w:t>
      </w:r>
      <w:r w:rsidRPr="00D37272">
        <w:t xml:space="preserve"> in Years 5-10 </w:t>
      </w:r>
      <w:r>
        <w:t xml:space="preserve">on the road to UHC </w:t>
      </w:r>
      <w:r w:rsidRPr="00D37272">
        <w:t xml:space="preserve">as </w:t>
      </w:r>
      <w:r>
        <w:t xml:space="preserve">the systems and capacity </w:t>
      </w:r>
      <w:r w:rsidRPr="00D37272">
        <w:t xml:space="preserve">foundation </w:t>
      </w:r>
      <w:r>
        <w:t xml:space="preserve">has been </w:t>
      </w:r>
      <w:r w:rsidRPr="00D37272">
        <w:t xml:space="preserve">laid and </w:t>
      </w:r>
      <w:r>
        <w:t xml:space="preserve">is </w:t>
      </w:r>
      <w:r w:rsidRPr="00D37272">
        <w:t>already beg</w:t>
      </w:r>
      <w:r>
        <w:t>inning</w:t>
      </w:r>
      <w:r w:rsidRPr="00D37272">
        <w:t xml:space="preserve"> to show visible impact</w:t>
      </w:r>
      <w:r>
        <w:t>.</w:t>
      </w:r>
    </w:p>
    <w:p w14:paraId="2BF66E33" w14:textId="77777777" w:rsidR="005D5DCD" w:rsidRDefault="005D5DCD" w:rsidP="007A603E"/>
    <w:p w14:paraId="13BD3254" w14:textId="602C112C" w:rsidR="007E0616" w:rsidRDefault="005D5DCD" w:rsidP="005D5DCD">
      <w:r>
        <w:t xml:space="preserve">Achieving relatively short-term SNHI visible impact is generally envisioned as reducing financial barriers for the poor to access priority services at dispensary level.  Current implementation of results-based financing (RBF) can play a key role in driving the visible impact path.  Its contribution to visible impact as envisioned above and demonstration of the shift from input-based to output-based provider payment systems is critical to SNHI implementation and ensuring that government funding is better targeted in the future towards the standard MBP for all Tanzanian citizens.  </w:t>
      </w:r>
      <w:r w:rsidRPr="00D37272">
        <w:t xml:space="preserve">MOHSW </w:t>
      </w:r>
      <w:r>
        <w:t xml:space="preserve">will </w:t>
      </w:r>
      <w:r w:rsidRPr="00D37272">
        <w:t xml:space="preserve">develop short-term </w:t>
      </w:r>
      <w:r w:rsidRPr="00D37272">
        <w:lastRenderedPageBreak/>
        <w:t>plans to realign</w:t>
      </w:r>
      <w:r>
        <w:t xml:space="preserve">, build the foundation </w:t>
      </w:r>
      <w:r w:rsidRPr="00D37272">
        <w:t xml:space="preserve">and produce early visible impact in </w:t>
      </w:r>
      <w:r w:rsidR="006456D0">
        <w:t>SNHI</w:t>
      </w:r>
      <w:r w:rsidRPr="00D37272">
        <w:t xml:space="preserve"> implementation</w:t>
      </w:r>
      <w:r>
        <w:t xml:space="preserve"> with exemplary activities including:</w:t>
      </w:r>
    </w:p>
    <w:p w14:paraId="1007AC53" w14:textId="571DB025" w:rsidR="005D5DCD" w:rsidRDefault="005D5DCD" w:rsidP="005D5DCD">
      <w:pPr>
        <w:pStyle w:val="ListParagraph"/>
        <w:numPr>
          <w:ilvl w:val="0"/>
          <w:numId w:val="11"/>
        </w:numPr>
      </w:pPr>
      <w:r>
        <w:t xml:space="preserve">Re-formulate </w:t>
      </w:r>
      <w:r w:rsidRPr="002626EC">
        <w:t>CHF by-law</w:t>
      </w:r>
      <w:r>
        <w:t>s</w:t>
      </w:r>
      <w:r w:rsidRPr="002626EC">
        <w:t xml:space="preserve"> to accommodate </w:t>
      </w:r>
      <w:r w:rsidR="007E0616">
        <w:t>making CHF membership compulsory when the SNHI is implemented,</w:t>
      </w:r>
      <w:r w:rsidRPr="002626EC">
        <w:t xml:space="preserve"> contr</w:t>
      </w:r>
      <w:r>
        <w:t>i</w:t>
      </w:r>
      <w:r w:rsidRPr="002626EC">
        <w:t>b</w:t>
      </w:r>
      <w:r>
        <w:t>u</w:t>
      </w:r>
      <w:r w:rsidRPr="002626EC">
        <w:t xml:space="preserve">tions, </w:t>
      </w:r>
      <w:r w:rsidR="007E0616">
        <w:t xml:space="preserve">MBP </w:t>
      </w:r>
      <w:r>
        <w:t xml:space="preserve">and payment </w:t>
      </w:r>
      <w:r w:rsidRPr="002626EC">
        <w:t xml:space="preserve">reforms in preparation </w:t>
      </w:r>
      <w:r>
        <w:t>for SNHI</w:t>
      </w:r>
    </w:p>
    <w:p w14:paraId="61461E12" w14:textId="3989C7AE" w:rsidR="007E0616" w:rsidRDefault="007E0616" w:rsidP="007E0616">
      <w:pPr>
        <w:pStyle w:val="ListParagraph"/>
        <w:numPr>
          <w:ilvl w:val="0"/>
          <w:numId w:val="11"/>
        </w:numPr>
        <w:spacing w:after="200"/>
        <w:jc w:val="left"/>
      </w:pPr>
      <w:r>
        <w:t>Learn lessons from regions with higher CHF membership and disseminate those lessons to other lower-membership regions to help increase membership before SNHI is implemented</w:t>
      </w:r>
    </w:p>
    <w:p w14:paraId="71FA4035" w14:textId="3DDF64BE" w:rsidR="007E0616" w:rsidRDefault="00DF43A7" w:rsidP="007E0616">
      <w:pPr>
        <w:pStyle w:val="ListParagraph"/>
        <w:numPr>
          <w:ilvl w:val="0"/>
          <w:numId w:val="11"/>
        </w:numPr>
        <w:spacing w:after="200"/>
        <w:jc w:val="left"/>
      </w:pPr>
      <w:r>
        <w:t xml:space="preserve">Phased integration </w:t>
      </w:r>
      <w:r w:rsidR="007E0616">
        <w:t>of NHIF, NSSF, and CHF</w:t>
      </w:r>
      <w:r>
        <w:t xml:space="preserve"> structures</w:t>
      </w:r>
      <w:r w:rsidR="007E0616">
        <w:t xml:space="preserve"> in selected LGAs</w:t>
      </w:r>
    </w:p>
    <w:p w14:paraId="116A9A63" w14:textId="77777777" w:rsidR="005D5DCD" w:rsidRDefault="005D5DCD" w:rsidP="005D5DCD">
      <w:pPr>
        <w:pStyle w:val="ListParagraph"/>
        <w:numPr>
          <w:ilvl w:val="0"/>
          <w:numId w:val="11"/>
        </w:numPr>
      </w:pPr>
      <w:r>
        <w:t>Build systems and human capacity in existing institutions (e.g. NHIF) that can be transferred to new or evolved institutional structure when SNHI becomes fully operational</w:t>
      </w:r>
    </w:p>
    <w:p w14:paraId="1D341F80" w14:textId="56DC27CF" w:rsidR="007E0616" w:rsidRDefault="007E0616" w:rsidP="007E0616">
      <w:pPr>
        <w:pStyle w:val="ListParagraph"/>
        <w:numPr>
          <w:ilvl w:val="0"/>
          <w:numId w:val="11"/>
        </w:numPr>
        <w:spacing w:after="200"/>
        <w:jc w:val="left"/>
      </w:pPr>
      <w:r>
        <w:t>Finalize specification of MBP and help ensure that all facilities are prepared to be able to deliver it</w:t>
      </w:r>
    </w:p>
    <w:p w14:paraId="50FD5BF8" w14:textId="77777777" w:rsidR="007E0616" w:rsidRDefault="007E0616" w:rsidP="007E0616">
      <w:pPr>
        <w:pStyle w:val="ListParagraph"/>
        <w:numPr>
          <w:ilvl w:val="0"/>
          <w:numId w:val="11"/>
        </w:numPr>
        <w:spacing w:after="200"/>
        <w:jc w:val="left"/>
      </w:pPr>
      <w:r>
        <w:t>Begin to identify the poor to be 100% subsidized under SNHI throughout the country before SNHI implementation; the identification will be performed using the adapted TASAF proxy means test so that these populations are clearly identified at the time of SNHI launch</w:t>
      </w:r>
    </w:p>
    <w:p w14:paraId="41B17E37" w14:textId="5D4E52C2" w:rsidR="005D5DCD" w:rsidRDefault="005D5DCD" w:rsidP="007E0616">
      <w:pPr>
        <w:pStyle w:val="ListParagraph"/>
        <w:numPr>
          <w:ilvl w:val="0"/>
          <w:numId w:val="11"/>
        </w:numPr>
        <w:spacing w:after="200"/>
        <w:jc w:val="left"/>
      </w:pPr>
      <w:r>
        <w:t xml:space="preserve">Position RBF </w:t>
      </w:r>
      <w:r w:rsidR="00DF43A7">
        <w:t xml:space="preserve">and Performance Star Rating </w:t>
      </w:r>
      <w:r>
        <w:t xml:space="preserve">as a driver of SNHI preparation and full operation.  </w:t>
      </w:r>
      <w:r w:rsidR="007E0616">
        <w:t>Early adoption of RB</w:t>
      </w:r>
      <w:r w:rsidR="00DF43A7">
        <w:t>F by regions or LGAs</w:t>
      </w:r>
      <w:r w:rsidR="007E0616">
        <w:t xml:space="preserve">.  </w:t>
      </w:r>
      <w:r>
        <w:t>Per the unified purchasing framework discussed in Strategy 7, begin to integrate RBF and establish linkages between RBF, PHC capitation, health budget other charges (OCs), and Health Basket Fund (HBF).</w:t>
      </w:r>
    </w:p>
    <w:p w14:paraId="725CFDB7" w14:textId="4D780D58" w:rsidR="007E0616" w:rsidRDefault="005D5DCD" w:rsidP="007E0616">
      <w:pPr>
        <w:pStyle w:val="ListParagraph"/>
        <w:numPr>
          <w:ilvl w:val="0"/>
          <w:numId w:val="19"/>
        </w:numPr>
        <w:spacing w:after="200"/>
        <w:jc w:val="left"/>
      </w:pPr>
      <w:r>
        <w:t xml:space="preserve">Design or refine output-based provider payment systems.  </w:t>
      </w:r>
      <w:r w:rsidR="00DF43A7">
        <w:t>Review regularly whether the</w:t>
      </w:r>
      <w:r>
        <w:t xml:space="preserve"> PHC capitated rate payment system </w:t>
      </w:r>
      <w:r w:rsidR="00DF43A7">
        <w:t xml:space="preserve">can </w:t>
      </w:r>
      <w:r>
        <w:t xml:space="preserve">be refined to improve payment adjustments such as </w:t>
      </w:r>
      <w:r w:rsidR="00DF43A7">
        <w:t xml:space="preserve">for </w:t>
      </w:r>
      <w:r>
        <w:t>age and sex and remote rural areas</w:t>
      </w:r>
      <w:r w:rsidR="00DF43A7">
        <w:t>.</w:t>
      </w:r>
      <w:r>
        <w:t xml:space="preserve">  </w:t>
      </w:r>
      <w:r w:rsidR="00DF43A7">
        <w:t>Also review</w:t>
      </w:r>
      <w:r>
        <w:t xml:space="preserve"> fee-for-service for hospitals be used or should a more bundled output-based hospital payment system such as case-based or DRGs be implemented to control costs, improve MBP production and provider management?</w:t>
      </w:r>
      <w:r w:rsidR="007E0616">
        <w:t xml:space="preserve">  Selected Regions/LGAs beginning to implement new provider payment methods ahead of full implementation including assistance to build systems and capacity to do so.</w:t>
      </w:r>
    </w:p>
    <w:p w14:paraId="30CD338D" w14:textId="77777777" w:rsidR="005D5DCD" w:rsidRDefault="005D5DCD" w:rsidP="005D5DCD">
      <w:pPr>
        <w:pStyle w:val="ListParagraph"/>
        <w:numPr>
          <w:ilvl w:val="0"/>
          <w:numId w:val="11"/>
        </w:numPr>
      </w:pPr>
      <w:r>
        <w:t xml:space="preserve">Develop plans for PFM changes needed to move to full SNHI operation  </w:t>
      </w:r>
    </w:p>
    <w:p w14:paraId="4B3F844F" w14:textId="77777777" w:rsidR="005D5DCD" w:rsidRPr="00D37272" w:rsidRDefault="005D5DCD" w:rsidP="005D5DCD">
      <w:pPr>
        <w:pStyle w:val="ListParagraph"/>
        <w:numPr>
          <w:ilvl w:val="0"/>
          <w:numId w:val="11"/>
        </w:numPr>
      </w:pPr>
      <w:r>
        <w:t xml:space="preserve">Further develop and link information systems enabling SNHI operation and producing the information needed to manage, monitor, evaluate and refine SNHI.  </w:t>
      </w:r>
    </w:p>
    <w:p w14:paraId="7FC619A6" w14:textId="77777777" w:rsidR="007E0616" w:rsidRDefault="007E0616" w:rsidP="005D5DCD">
      <w:pPr>
        <w:pStyle w:val="ListParagraph"/>
        <w:numPr>
          <w:ilvl w:val="0"/>
          <w:numId w:val="11"/>
        </w:numPr>
        <w:spacing w:after="200"/>
        <w:jc w:val="left"/>
      </w:pPr>
      <w:r>
        <w:t>Pursue public-private partnerships that would help to efficiently develop MBP services, such as the sharing of diagnostic equipment</w:t>
      </w:r>
    </w:p>
    <w:p w14:paraId="2799CC21" w14:textId="77777777" w:rsidR="00C51559" w:rsidRDefault="00C51559" w:rsidP="00C51559">
      <w:pPr>
        <w:spacing w:line="240" w:lineRule="auto"/>
        <w:jc w:val="left"/>
      </w:pPr>
    </w:p>
    <w:p w14:paraId="2D5B2AD5" w14:textId="4CA6EBB7" w:rsidR="005D5DCD" w:rsidRDefault="005D5DCD" w:rsidP="007E0616">
      <w:pPr>
        <w:spacing w:after="200"/>
        <w:jc w:val="left"/>
      </w:pPr>
      <w:r>
        <w:lastRenderedPageBreak/>
        <w:t>In summary, i</w:t>
      </w:r>
      <w:r w:rsidRPr="00D37272">
        <w:t>t is expected that this overall implementation strategy and</w:t>
      </w:r>
      <w:r w:rsidR="00462806">
        <w:t xml:space="preserve"> sequencing and the dynamics it </w:t>
      </w:r>
      <w:r w:rsidRPr="00D37272">
        <w:t xml:space="preserve">will establish will enable productive realization of the detailed </w:t>
      </w:r>
      <w:r>
        <w:t>HFS I</w:t>
      </w:r>
      <w:r w:rsidRPr="00D37272">
        <w:t xml:space="preserve">mplementation </w:t>
      </w:r>
      <w:r>
        <w:t>P</w:t>
      </w:r>
      <w:r w:rsidRPr="00D37272">
        <w:t xml:space="preserve">lan described below.  </w:t>
      </w:r>
    </w:p>
    <w:p w14:paraId="3D18A434" w14:textId="77777777" w:rsidR="00F45012" w:rsidRDefault="00F45012" w:rsidP="00183E26">
      <w:pPr>
        <w:pStyle w:val="Heading2"/>
      </w:pPr>
      <w:bookmarkStart w:id="55" w:name="_Toc411949955"/>
      <w:r>
        <w:t>Implementation Plan</w:t>
      </w:r>
      <w:bookmarkEnd w:id="55"/>
      <w:r>
        <w:t xml:space="preserve"> </w:t>
      </w:r>
    </w:p>
    <w:p w14:paraId="756030C9" w14:textId="70774116" w:rsidR="00F45012" w:rsidRDefault="00F45012" w:rsidP="00F45012">
      <w:pPr>
        <w:pStyle w:val="ListParagraph"/>
        <w:ind w:left="0"/>
      </w:pPr>
      <w:r>
        <w:rPr>
          <w:rFonts w:cs="Arial"/>
          <w:szCs w:val="24"/>
        </w:rPr>
        <w:t xml:space="preserve">The </w:t>
      </w:r>
      <w:r w:rsidR="00183E26">
        <w:rPr>
          <w:rFonts w:cs="Arial"/>
          <w:szCs w:val="24"/>
        </w:rPr>
        <w:t xml:space="preserve">purpose of this Health </w:t>
      </w:r>
      <w:r w:rsidR="00183E26" w:rsidRPr="00183E26">
        <w:t xml:space="preserve">Financing Strategy document is to </w:t>
      </w:r>
      <w:r w:rsidRPr="00183E26">
        <w:t xml:space="preserve">outline “WHAT” strategic interventions </w:t>
      </w:r>
      <w:r w:rsidR="00183E26" w:rsidRPr="00183E26">
        <w:t xml:space="preserve">will </w:t>
      </w:r>
      <w:r w:rsidRPr="00183E26">
        <w:t xml:space="preserve">be realized to strengthen the health financing system of the country. The </w:t>
      </w:r>
      <w:r w:rsidR="00183E26" w:rsidRPr="00183E26">
        <w:t xml:space="preserve">accompanying HFS </w:t>
      </w:r>
      <w:r w:rsidRPr="00183E26">
        <w:t xml:space="preserve">Implementation Plan </w:t>
      </w:r>
      <w:r w:rsidR="00CB1AB7">
        <w:t xml:space="preserve">focuses more on the “HOW” in the context of the dynamic implementation strategy and sequencing portrayed above.  </w:t>
      </w:r>
      <w:r w:rsidRPr="00183E26">
        <w:t>Implementation aspects do not feature in detail in the Strategy document as they are prone to evolve according to environmental and political changes</w:t>
      </w:r>
      <w:r w:rsidR="00183E26" w:rsidRPr="00183E26">
        <w:t>,</w:t>
      </w:r>
      <w:r w:rsidRPr="00183E26">
        <w:t xml:space="preserve"> </w:t>
      </w:r>
      <w:r w:rsidR="00183E26" w:rsidRPr="00183E26">
        <w:t xml:space="preserve">together with </w:t>
      </w:r>
      <w:r w:rsidRPr="00183E26">
        <w:t xml:space="preserve">challenges and experiences collected along the way. </w:t>
      </w:r>
      <w:r w:rsidR="00CB1AB7">
        <w:t xml:space="preserve"> Nevertheless, the HFS Implementation Plan</w:t>
      </w:r>
      <w:r w:rsidR="00CB1AB7" w:rsidRPr="00183E26">
        <w:t xml:space="preserve"> describe</w:t>
      </w:r>
      <w:r w:rsidR="00CB1AB7">
        <w:t>s</w:t>
      </w:r>
      <w:r w:rsidR="00CB1AB7" w:rsidRPr="00183E26">
        <w:t xml:space="preserve"> in more detail the planned </w:t>
      </w:r>
      <w:r w:rsidR="00CB1AB7">
        <w:t xml:space="preserve">activities, </w:t>
      </w:r>
      <w:r w:rsidR="00CB1AB7" w:rsidRPr="00183E26">
        <w:t xml:space="preserve">processes and mechanisms that will ensure the vision, goals and objectives of this Strategy are met. </w:t>
      </w:r>
      <w:r w:rsidRPr="00183E26">
        <w:t xml:space="preserve">The </w:t>
      </w:r>
      <w:r w:rsidR="00CB1AB7">
        <w:t xml:space="preserve">accompanying </w:t>
      </w:r>
      <w:r w:rsidR="00183E26" w:rsidRPr="00183E26">
        <w:t xml:space="preserve">HFS </w:t>
      </w:r>
      <w:r w:rsidR="00CB1AB7">
        <w:t>I</w:t>
      </w:r>
      <w:r w:rsidRPr="00183E26">
        <w:t xml:space="preserve">mplementation </w:t>
      </w:r>
      <w:r w:rsidR="00CB1AB7">
        <w:t>P</w:t>
      </w:r>
      <w:r w:rsidRPr="00183E26">
        <w:t xml:space="preserve">lan </w:t>
      </w:r>
      <w:r w:rsidR="00CB1AB7">
        <w:t>tables</w:t>
      </w:r>
      <w:r w:rsidRPr="00183E26">
        <w:t xml:space="preserve"> prioritize and sequence planned interventions</w:t>
      </w:r>
      <w:r w:rsidR="00CB1AB7">
        <w:t xml:space="preserve"> including matching </w:t>
      </w:r>
      <w:r w:rsidR="00AC246E">
        <w:t xml:space="preserve">objectives and strategies/targets to detailed </w:t>
      </w:r>
      <w:r w:rsidR="00CB1AB7">
        <w:t>activities, timeframe, indicators,</w:t>
      </w:r>
      <w:r w:rsidRPr="00183E26">
        <w:t xml:space="preserve"> roles and responsibilities of each involved institution</w:t>
      </w:r>
      <w:r w:rsidR="00183E26" w:rsidRPr="00183E26">
        <w:t>,</w:t>
      </w:r>
      <w:r w:rsidRPr="00183E26">
        <w:t xml:space="preserve"> and resources needed to realize the envisaged plan</w:t>
      </w:r>
      <w:r w:rsidR="00AC246E">
        <w:t xml:space="preserve"> (see attached Implementation Plan tables)</w:t>
      </w:r>
      <w:r w:rsidRPr="00183E26">
        <w:t>.</w:t>
      </w:r>
    </w:p>
    <w:p w14:paraId="2F9AFDDE" w14:textId="77777777" w:rsidR="00EA38DE" w:rsidRDefault="00EA38DE">
      <w:pPr>
        <w:spacing w:after="200"/>
        <w:jc w:val="left"/>
      </w:pPr>
    </w:p>
    <w:p w14:paraId="7AF03A37" w14:textId="0298C8E6" w:rsidR="00525A54" w:rsidRDefault="00525A54">
      <w:pPr>
        <w:spacing w:after="200"/>
        <w:jc w:val="left"/>
      </w:pPr>
      <w:r>
        <w:br w:type="page"/>
      </w:r>
    </w:p>
    <w:p w14:paraId="078313AD" w14:textId="77777777" w:rsidR="00525A54" w:rsidRDefault="00525A54" w:rsidP="00F45012">
      <w:pPr>
        <w:pStyle w:val="ListParagraph"/>
        <w:ind w:left="0"/>
        <w:sectPr w:rsidR="00525A54" w:rsidSect="00B85D2C">
          <w:pgSz w:w="12240" w:h="15840"/>
          <w:pgMar w:top="1440" w:right="1440" w:bottom="1440" w:left="1440" w:header="720" w:footer="720" w:gutter="0"/>
          <w:cols w:space="720"/>
          <w:docGrid w:linePitch="360"/>
        </w:sectPr>
      </w:pPr>
    </w:p>
    <w:p w14:paraId="494F02AA" w14:textId="481F27B3" w:rsidR="006F36EF" w:rsidRPr="005B6056" w:rsidRDefault="005B6056" w:rsidP="00F45012">
      <w:pPr>
        <w:pStyle w:val="ListParagraph"/>
        <w:ind w:left="0"/>
        <w:rPr>
          <w:b/>
        </w:rPr>
      </w:pPr>
      <w:r w:rsidRPr="005B6056">
        <w:rPr>
          <w:b/>
        </w:rPr>
        <w:lastRenderedPageBreak/>
        <w:t xml:space="preserve">Figure 6.1: </w:t>
      </w:r>
      <w:r w:rsidR="008024FB">
        <w:rPr>
          <w:b/>
        </w:rPr>
        <w:t xml:space="preserve">HFS </w:t>
      </w:r>
      <w:r w:rsidRPr="005B6056">
        <w:rPr>
          <w:b/>
        </w:rPr>
        <w:t>Implementation Strategy and Sequencing</w:t>
      </w:r>
    </w:p>
    <w:p w14:paraId="3B33A1A9" w14:textId="22DA383B" w:rsidR="00F21094" w:rsidRDefault="008024FB" w:rsidP="00F45012">
      <w:pPr>
        <w:pStyle w:val="ListParagraph"/>
        <w:ind w:left="0"/>
      </w:pPr>
      <w:r>
        <w:rPr>
          <w:noProof/>
          <w:lang w:val="en-GB" w:eastAsia="en-GB"/>
        </w:rPr>
        <w:drawing>
          <wp:inline distT="0" distB="0" distL="0" distR="0" wp14:anchorId="4DCAB2D2" wp14:editId="470FE709">
            <wp:extent cx="8080744" cy="511426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080744" cy="5114260"/>
                    </a:xfrm>
                    <a:prstGeom prst="rect">
                      <a:avLst/>
                    </a:prstGeom>
                    <a:noFill/>
                    <a:ln>
                      <a:noFill/>
                    </a:ln>
                  </pic:spPr>
                </pic:pic>
              </a:graphicData>
            </a:graphic>
          </wp:inline>
        </w:drawing>
      </w:r>
    </w:p>
    <w:p w14:paraId="0A739C9B" w14:textId="48E48B71" w:rsidR="00525A54" w:rsidRDefault="00525A54">
      <w:pPr>
        <w:spacing w:after="200"/>
        <w:jc w:val="left"/>
      </w:pPr>
      <w:r>
        <w:br w:type="page"/>
      </w:r>
    </w:p>
    <w:p w14:paraId="1B137B9A" w14:textId="77777777" w:rsidR="00525A54" w:rsidRDefault="00525A54" w:rsidP="00F45012">
      <w:pPr>
        <w:pStyle w:val="ListParagraph"/>
        <w:ind w:left="0"/>
        <w:sectPr w:rsidR="00525A54" w:rsidSect="00525A54">
          <w:pgSz w:w="15840" w:h="12240" w:orient="landscape"/>
          <w:pgMar w:top="1440" w:right="1440" w:bottom="1440" w:left="1440" w:header="720" w:footer="720" w:gutter="0"/>
          <w:cols w:space="720"/>
          <w:docGrid w:linePitch="360"/>
        </w:sectPr>
      </w:pPr>
    </w:p>
    <w:p w14:paraId="4C751359" w14:textId="1A01CF39" w:rsidR="00EA6231" w:rsidRDefault="00EA6231" w:rsidP="00EA6231">
      <w:pPr>
        <w:pStyle w:val="Heading1"/>
      </w:pPr>
      <w:bookmarkStart w:id="56" w:name="_Toc411949956"/>
      <w:r>
        <w:lastRenderedPageBreak/>
        <w:t>HFS Costing</w:t>
      </w:r>
      <w:bookmarkEnd w:id="56"/>
      <w:r w:rsidR="00D13AC6">
        <w:t xml:space="preserve"> </w:t>
      </w:r>
      <w:r w:rsidR="00D13AC6" w:rsidRPr="00C92C73">
        <w:rPr>
          <w:highlight w:val="yellow"/>
        </w:rPr>
        <w:t>and Fiscal Space</w:t>
      </w:r>
    </w:p>
    <w:p w14:paraId="72AD0B72" w14:textId="78C5A037" w:rsidR="0068090D" w:rsidRDefault="003B1F32">
      <w:pPr>
        <w:spacing w:after="200"/>
        <w:jc w:val="left"/>
      </w:pPr>
      <w:r>
        <w:t xml:space="preserve">The long-term feasibility of the SNHI will depend on </w:t>
      </w:r>
      <w:r w:rsidR="00FF58A0">
        <w:t>ability</w:t>
      </w:r>
      <w:r>
        <w:t xml:space="preserve"> to pool sufficient funds across sources as discussed in section 5.2 to finance the provision of the MBP and MBP+ for </w:t>
      </w:r>
      <w:r w:rsidR="00FF58A0">
        <w:t>different groups of citizens. Provision of services must be at a desirable level of quality and accompanied by system strengthening to ensure availability of inputs and the continuation of incentives for efficiency and performance. A sustainable SNHI would reduce the burden of out-of-pocket payments for the poor and generate greater equity in how healthcare is financed at all levels.</w:t>
      </w:r>
      <w:r>
        <w:t xml:space="preserve"> A</w:t>
      </w:r>
      <w:r w:rsidR="00FF58A0">
        <w:t xml:space="preserve">ssessment of sustainability requires </w:t>
      </w:r>
      <w:r w:rsidR="00B9117B">
        <w:t xml:space="preserve">comparing </w:t>
      </w:r>
      <w:r w:rsidR="00FF58A0">
        <w:t>the</w:t>
      </w:r>
      <w:r w:rsidR="00B9117B">
        <w:t xml:space="preserve"> projected</w:t>
      </w:r>
      <w:r w:rsidR="00FF58A0">
        <w:t xml:space="preserve"> cost of delivering the MBP or MBP+, as per the current HFS Implementation Plan, </w:t>
      </w:r>
      <w:r w:rsidR="00B9117B">
        <w:t>with</w:t>
      </w:r>
      <w:r w:rsidR="00FF58A0">
        <w:t xml:space="preserve"> the possible size of resources t</w:t>
      </w:r>
      <w:r w:rsidR="00B9117B">
        <w:t>hat can</w:t>
      </w:r>
      <w:r w:rsidR="00FF58A0">
        <w:t xml:space="preserve"> be pooled for SNHI. Cost analysis for the HFS, given </w:t>
      </w:r>
      <w:r w:rsidR="00B9117B">
        <w:t>a</w:t>
      </w:r>
      <w:r w:rsidR="00FF58A0">
        <w:t xml:space="preserve"> purchasing mechanism, will require </w:t>
      </w:r>
      <w:r>
        <w:t>detailed actuarial analysis</w:t>
      </w:r>
      <w:r w:rsidR="00B9117B">
        <w:t xml:space="preserve"> at a future date</w:t>
      </w:r>
      <w:r w:rsidR="00FF58A0">
        <w:t xml:space="preserve">. </w:t>
      </w:r>
    </w:p>
    <w:p w14:paraId="44531389" w14:textId="5BEB27B3" w:rsidR="00EA6231" w:rsidRDefault="00B9117B" w:rsidP="008F2630">
      <w:pPr>
        <w:pStyle w:val="Heading2"/>
      </w:pPr>
      <w:bookmarkStart w:id="57" w:name="_Toc411949957"/>
      <w:r>
        <w:t>Methods and Key Assumptions</w:t>
      </w:r>
      <w:bookmarkEnd w:id="57"/>
    </w:p>
    <w:p w14:paraId="0FEEE57B" w14:textId="3BAA4F35" w:rsidR="00B9117B" w:rsidRDefault="00B9117B" w:rsidP="00B9117B">
      <w:pPr>
        <w:rPr>
          <w:rFonts w:cs="Arial"/>
        </w:rPr>
      </w:pPr>
      <w:r>
        <w:rPr>
          <w:rFonts w:cs="Arial"/>
        </w:rPr>
        <w:t xml:space="preserve">The central assumption used for costing is the scale-up path for SNHI coverage, deriving from the Implementation Plan and the overall vision and mission of the HFS. </w:t>
      </w:r>
      <w:r w:rsidR="00D0413D">
        <w:rPr>
          <w:rFonts w:cs="Arial"/>
        </w:rPr>
        <w:t>Figure 7</w:t>
      </w:r>
      <w:r w:rsidR="0006429C">
        <w:rPr>
          <w:rFonts w:cs="Arial"/>
        </w:rPr>
        <w:t>.1</w:t>
      </w:r>
      <w:r w:rsidR="00D0413D">
        <w:rPr>
          <w:rFonts w:cs="Arial"/>
        </w:rPr>
        <w:t xml:space="preserve"> shows the </w:t>
      </w:r>
      <w:r w:rsidR="006E694B">
        <w:rPr>
          <w:rFonts w:cs="Arial"/>
        </w:rPr>
        <w:t xml:space="preserve">five year </w:t>
      </w:r>
      <w:r w:rsidR="00D0413D">
        <w:rPr>
          <w:rFonts w:cs="Arial"/>
        </w:rPr>
        <w:t>scale-up path, assuming a start to the SNHI from year 2016.</w:t>
      </w:r>
      <w:r w:rsidR="006E694B">
        <w:rPr>
          <w:rFonts w:cs="Arial"/>
        </w:rPr>
        <w:t xml:space="preserve"> Assumptions on scale-up in the subsidized population follow section 5.3, while scale-up in the informal sector is assumed, with first year equivalent to current CHF/TIKA coverage. The formal sector covered is as per the Employment and Earnings Survey 2012 estimate of the size of the formal employed sector, plus the families.</w:t>
      </w:r>
    </w:p>
    <w:p w14:paraId="661DC624" w14:textId="77777777" w:rsidR="00D0413D" w:rsidRDefault="00D0413D" w:rsidP="00B9117B">
      <w:pPr>
        <w:rPr>
          <w:rFonts w:cs="Arial"/>
        </w:rPr>
      </w:pPr>
    </w:p>
    <w:p w14:paraId="2BBC1CFE" w14:textId="23696311" w:rsidR="00D0413D" w:rsidRPr="008F2630" w:rsidRDefault="00D0413D" w:rsidP="008F2630">
      <w:pPr>
        <w:rPr>
          <w:rFonts w:asciiTheme="majorHAnsi" w:hAnsiTheme="majorHAnsi" w:cs="Arial"/>
          <w:b/>
          <w:sz w:val="22"/>
        </w:rPr>
      </w:pPr>
      <w:bookmarkStart w:id="58" w:name="_Toc411499457"/>
      <w:bookmarkStart w:id="59" w:name="_Toc411949958"/>
      <w:r w:rsidRPr="008F2630">
        <w:rPr>
          <w:rFonts w:asciiTheme="majorHAnsi" w:hAnsiTheme="majorHAnsi"/>
          <w:b/>
          <w:sz w:val="22"/>
        </w:rPr>
        <w:t>Figure 7.</w:t>
      </w:r>
      <w:r w:rsidR="008D0A14" w:rsidRPr="008F2630">
        <w:rPr>
          <w:rFonts w:asciiTheme="majorHAnsi" w:hAnsiTheme="majorHAnsi"/>
          <w:b/>
          <w:sz w:val="22"/>
        </w:rPr>
        <w:t xml:space="preserve">1 </w:t>
      </w:r>
      <w:r w:rsidRPr="008F2630">
        <w:rPr>
          <w:rFonts w:asciiTheme="majorHAnsi" w:hAnsiTheme="majorHAnsi"/>
          <w:b/>
          <w:sz w:val="22"/>
        </w:rPr>
        <w:t>SNHI rollout as per HFS implementation plan</w:t>
      </w:r>
      <w:r w:rsidR="00C67D6D" w:rsidRPr="008F2630">
        <w:rPr>
          <w:rFonts w:asciiTheme="majorHAnsi" w:hAnsiTheme="majorHAnsi"/>
          <w:b/>
          <w:sz w:val="22"/>
        </w:rPr>
        <w:t xml:space="preserve"> by fiscal year</w:t>
      </w:r>
      <w:bookmarkEnd w:id="58"/>
      <w:bookmarkEnd w:id="59"/>
    </w:p>
    <w:p w14:paraId="1F4746EB" w14:textId="1D02EBFA" w:rsidR="00D0413D" w:rsidRPr="00B9117B" w:rsidRDefault="00F7341F" w:rsidP="00B9117B">
      <w:pPr>
        <w:rPr>
          <w:rFonts w:cs="Arial"/>
        </w:rPr>
      </w:pPr>
      <w:r>
        <w:rPr>
          <w:noProof/>
          <w:lang w:val="en-GB" w:eastAsia="en-GB"/>
        </w:rPr>
        <w:drawing>
          <wp:inline distT="0" distB="0" distL="0" distR="0" wp14:anchorId="1423A147" wp14:editId="14BA6C07">
            <wp:extent cx="5020574" cy="2838091"/>
            <wp:effectExtent l="0" t="0" r="27940" b="1968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0A04FA5" w14:textId="77777777" w:rsidR="0045698B" w:rsidRDefault="0045698B">
      <w:pPr>
        <w:spacing w:after="200"/>
        <w:jc w:val="left"/>
      </w:pPr>
    </w:p>
    <w:p w14:paraId="00FC3628" w14:textId="7B286A7A" w:rsidR="00D038CA" w:rsidRDefault="00927188">
      <w:pPr>
        <w:spacing w:after="200"/>
        <w:jc w:val="left"/>
      </w:pPr>
      <w:r w:rsidRPr="006676AC">
        <w:lastRenderedPageBreak/>
        <w:t xml:space="preserve">As per the HFS, we assume </w:t>
      </w:r>
      <w:r w:rsidR="006676AC" w:rsidRPr="006676AC">
        <w:t xml:space="preserve">all people </w:t>
      </w:r>
      <w:r w:rsidRPr="006676AC">
        <w:t>access the standard MBP. For cost purposes, the definition of the MBP follows the principles outlined in section 5.4, and includes individualized preventive and curative services up to</w:t>
      </w:r>
      <w:r w:rsidR="00D038CA" w:rsidRPr="006676AC">
        <w:t xml:space="preserve"> inpatient care at the</w:t>
      </w:r>
      <w:r w:rsidRPr="006676AC">
        <w:t xml:space="preserve"> district hospital level, with an emphasis on </w:t>
      </w:r>
      <w:r w:rsidR="00D038CA" w:rsidRPr="006676AC">
        <w:t xml:space="preserve">primary ambulatory </w:t>
      </w:r>
      <w:r w:rsidRPr="006676AC">
        <w:t>care accessed at the dispensary and health center.</w:t>
      </w:r>
      <w:r w:rsidR="00D038CA" w:rsidRPr="006676AC">
        <w:t xml:space="preserve"> Services include reproductive, maternal, neonatal, and child health services, including complete immunization and obstetric care, malaria treatment, injuries/burns, minor surgeries, and certain non-communicable disease interventions such as outpatient diabetes care. </w:t>
      </w:r>
      <w:r w:rsidR="000A08B3" w:rsidRPr="006676AC">
        <w:t>The effect of the</w:t>
      </w:r>
      <w:r w:rsidR="00D038CA" w:rsidRPr="006676AC">
        <w:t xml:space="preserve"> referral system is assumed, </w:t>
      </w:r>
      <w:r w:rsidR="008D0A14" w:rsidRPr="006676AC">
        <w:t>reducing</w:t>
      </w:r>
      <w:r w:rsidR="00D038CA" w:rsidRPr="006676AC">
        <w:t xml:space="preserve"> the proportion of outpatient care at higher levels over the analysis period. The MBP+ includes services up to the regional and zonal hospital level, and adds outpatient HIV treatment with first-line antiretroviral drugs, cancer care, and surgeries. The benchmark for the MBP+ is the package accessible to NHIF members.</w:t>
      </w:r>
    </w:p>
    <w:p w14:paraId="3F4BDB63" w14:textId="67A6C21F" w:rsidR="00E83480" w:rsidRDefault="00E83480">
      <w:pPr>
        <w:spacing w:after="200"/>
        <w:jc w:val="left"/>
      </w:pPr>
      <w:r>
        <w:t>Unit cost data were sourced from the 2012 costing study for the National Essential Package of Health Interventions</w:t>
      </w:r>
      <w:r w:rsidR="00085485">
        <w:t>, and</w:t>
      </w:r>
      <w:r>
        <w:t xml:space="preserve"> current utilization </w:t>
      </w:r>
      <w:r w:rsidR="00085485">
        <w:t>data</w:t>
      </w:r>
      <w:r>
        <w:t xml:space="preserve"> from the Tanzanian national HMIS </w:t>
      </w:r>
      <w:r w:rsidR="000A08B3">
        <w:t>were used alongside</w:t>
      </w:r>
      <w:r>
        <w:t xml:space="preserve"> population-level studies of per capita outpatient and inpatient care utilization. Two unit cost scenarios were analyzed for the standard MBP and MBP+, which relate to a higher or lower package of included services and the likely cost structure of provider facilities. The MBP+ will likely be provided by public, FBO/NGO, and private facilities, while for the</w:t>
      </w:r>
      <w:r w:rsidR="001A2749">
        <w:t xml:space="preserve"> standard MBP, private facilities </w:t>
      </w:r>
      <w:r>
        <w:t xml:space="preserve">will not be included in the initial stage of the SNHI. </w:t>
      </w:r>
      <w:r w:rsidR="000A08B3">
        <w:t>It was assumed that the outpatient costs for the MBP and MBP+ will be purchased on a capitation basis, while the inpatient costs are</w:t>
      </w:r>
      <w:r w:rsidR="001A2749">
        <w:t xml:space="preserve"> purchased based on defined </w:t>
      </w:r>
      <w:r w:rsidR="00534D2A" w:rsidRPr="00534D2A">
        <w:rPr>
          <w:highlight w:val="yellow"/>
        </w:rPr>
        <w:t>case-based payments</w:t>
      </w:r>
      <w:r w:rsidR="000A08B3">
        <w:t xml:space="preserve">. Unit costs were summarized to groups of conditions (five for outpatient and four </w:t>
      </w:r>
      <w:r w:rsidR="00534D2A" w:rsidRPr="00534D2A">
        <w:rPr>
          <w:highlight w:val="yellow"/>
        </w:rPr>
        <w:t>case types</w:t>
      </w:r>
      <w:r w:rsidR="00534D2A">
        <w:t xml:space="preserve"> </w:t>
      </w:r>
      <w:r w:rsidR="000A08B3">
        <w:t>for inpatient).</w:t>
      </w:r>
      <w:r w:rsidR="00C67D6D">
        <w:t xml:space="preserve"> Administrative costs of the SNHI were subtracted from contributions as a proportion, declining from 15% in the first year to 10% by the last year.</w:t>
      </w:r>
      <w:r w:rsidR="000A08B3">
        <w:t xml:space="preserve"> </w:t>
      </w:r>
      <w:r>
        <w:t xml:space="preserve">For the revenue projections, we analyzed several scenarios across the potential sources from section 5.2. </w:t>
      </w:r>
    </w:p>
    <w:p w14:paraId="4794E370" w14:textId="764726D3" w:rsidR="008D0A14" w:rsidRDefault="008D0A14" w:rsidP="008D0A14">
      <w:pPr>
        <w:tabs>
          <w:tab w:val="left" w:pos="6530"/>
        </w:tabs>
      </w:pPr>
      <w:r>
        <w:t>We assumed two scenarios for revenue related to the SNHI</w:t>
      </w:r>
      <w:r w:rsidR="00534D2A">
        <w:t xml:space="preserve"> </w:t>
      </w:r>
      <w:r w:rsidR="00225A59">
        <w:t>based on the expected contribution from ability-to-pay informal sector households. Across both scenarios, the other pooled resources remained the same</w:t>
      </w:r>
      <w:r w:rsidR="00B61337">
        <w:t xml:space="preserve"> and are discussed next.</w:t>
      </w:r>
    </w:p>
    <w:p w14:paraId="50353E53" w14:textId="09E7FEBF" w:rsidR="008D0A14" w:rsidRDefault="008D0A14" w:rsidP="009D5F42">
      <w:pPr>
        <w:pStyle w:val="ListParagraph"/>
        <w:numPr>
          <w:ilvl w:val="0"/>
          <w:numId w:val="29"/>
        </w:numPr>
        <w:tabs>
          <w:tab w:val="left" w:pos="6530"/>
        </w:tabs>
      </w:pPr>
      <w:r w:rsidRPr="009D5F42">
        <w:rPr>
          <w:i/>
          <w:iCs/>
        </w:rPr>
        <w:t>High</w:t>
      </w:r>
      <w:r w:rsidR="00225A59">
        <w:rPr>
          <w:i/>
          <w:iCs/>
        </w:rPr>
        <w:t>er contributions</w:t>
      </w:r>
      <w:r w:rsidR="003E7926">
        <w:rPr>
          <w:i/>
          <w:iCs/>
        </w:rPr>
        <w:t xml:space="preserve"> (Scenario 1)</w:t>
      </w:r>
      <w:r>
        <w:t xml:space="preserve">: </w:t>
      </w:r>
      <w:r w:rsidR="00B61337">
        <w:t>Informal sector households in urban areas will be expected to contribute TZS 152,000 per annum, while in the rural areas, the contribution will be TZS 91,200 per annum. Formal sector households across geographies continue to contribute based on current contribution levels for NHIF, which averaged about TZS 400,000 per member per year</w:t>
      </w:r>
      <w:r w:rsidR="002F374A">
        <w:t xml:space="preserve"> in FY 2013/14</w:t>
      </w:r>
      <w:r w:rsidR="00B61337">
        <w:t xml:space="preserve">. </w:t>
      </w:r>
    </w:p>
    <w:p w14:paraId="10A6203F" w14:textId="73B670E5" w:rsidR="002F374A" w:rsidRPr="002F374A" w:rsidRDefault="00B61337" w:rsidP="009D5F42">
      <w:pPr>
        <w:pStyle w:val="ListParagraph"/>
        <w:numPr>
          <w:ilvl w:val="0"/>
          <w:numId w:val="29"/>
        </w:numPr>
        <w:tabs>
          <w:tab w:val="left" w:pos="6530"/>
        </w:tabs>
        <w:spacing w:after="200"/>
        <w:jc w:val="left"/>
        <w:rPr>
          <w:rFonts w:asciiTheme="majorHAnsi" w:eastAsiaTheme="majorEastAsia" w:hAnsiTheme="majorHAnsi" w:cstheme="majorBidi"/>
          <w:b/>
          <w:bCs/>
          <w:sz w:val="22"/>
        </w:rPr>
      </w:pPr>
      <w:r>
        <w:rPr>
          <w:i/>
          <w:iCs/>
        </w:rPr>
        <w:t>Lower contributions</w:t>
      </w:r>
      <w:r w:rsidR="003E7926">
        <w:rPr>
          <w:i/>
          <w:iCs/>
        </w:rPr>
        <w:t xml:space="preserve"> (Scenario 2)</w:t>
      </w:r>
      <w:r w:rsidR="009D5F42" w:rsidRPr="009D5F42">
        <w:t>:</w:t>
      </w:r>
      <w:r w:rsidR="009D5F42">
        <w:t xml:space="preserve"> </w:t>
      </w:r>
      <w:r w:rsidR="002F374A">
        <w:t xml:space="preserve">Informal sector households in urban areas will be expected to contribute TZS 94,000 per annum, while in the rural areas, the contribution will be TZS 53,000 per annum. Formal sector households across geographies continue to contribute based on current contribution levels for NHIF, which averaged about TZS 400,000 per member per year in FY 2013/14. </w:t>
      </w:r>
    </w:p>
    <w:p w14:paraId="64AC8A98" w14:textId="52F17027" w:rsidR="00676D2B" w:rsidRDefault="006D17F7" w:rsidP="002F374A">
      <w:pPr>
        <w:tabs>
          <w:tab w:val="left" w:pos="6530"/>
        </w:tabs>
        <w:spacing w:after="200"/>
        <w:jc w:val="left"/>
        <w:rPr>
          <w:szCs w:val="24"/>
        </w:rPr>
      </w:pPr>
      <w:r w:rsidRPr="0085253D">
        <w:rPr>
          <w:b/>
          <w:bCs/>
          <w:i/>
          <w:iCs/>
          <w:szCs w:val="24"/>
        </w:rPr>
        <w:lastRenderedPageBreak/>
        <w:t>Other</w:t>
      </w:r>
      <w:r w:rsidR="00676D2B" w:rsidRPr="0085253D">
        <w:rPr>
          <w:b/>
          <w:bCs/>
          <w:i/>
          <w:iCs/>
          <w:szCs w:val="24"/>
        </w:rPr>
        <w:t xml:space="preserve"> sources</w:t>
      </w:r>
      <w:r w:rsidR="00676D2B" w:rsidRPr="0085253D">
        <w:rPr>
          <w:szCs w:val="24"/>
        </w:rPr>
        <w:t xml:space="preserve">: </w:t>
      </w:r>
      <w:r w:rsidR="00EE3AE1" w:rsidRPr="0085253D">
        <w:rPr>
          <w:szCs w:val="24"/>
        </w:rPr>
        <w:t xml:space="preserve">As discussed </w:t>
      </w:r>
      <w:r w:rsidR="007F1784" w:rsidRPr="0085253D">
        <w:rPr>
          <w:szCs w:val="24"/>
        </w:rPr>
        <w:t>in section 5.2, several existing sources across GOT and on-budget support can be pooled for the SNHI to supplement the contributions from individuals and households. Additional resources are required in order to provide for the subsidy</w:t>
      </w:r>
      <w:r w:rsidR="00FB3694">
        <w:rPr>
          <w:szCs w:val="24"/>
        </w:rPr>
        <w:t xml:space="preserve">, </w:t>
      </w:r>
      <w:r w:rsidR="007F1784" w:rsidRPr="0085253D">
        <w:rPr>
          <w:szCs w:val="24"/>
        </w:rPr>
        <w:t>to cover the cost of purchasing the MBP and MBP+</w:t>
      </w:r>
      <w:r w:rsidR="00FB3694">
        <w:rPr>
          <w:szCs w:val="24"/>
        </w:rPr>
        <w:t>,</w:t>
      </w:r>
      <w:r w:rsidR="007F1784" w:rsidRPr="0085253D">
        <w:rPr>
          <w:szCs w:val="24"/>
        </w:rPr>
        <w:t xml:space="preserve"> and to increase SNHI coverage over time. As SNHI coverage increases (Figure 7.1), proportionately greater resources should be pooled to ensure the SNHI can be financially sustainable. </w:t>
      </w:r>
      <w:r w:rsidR="00DF26DA" w:rsidRPr="0085253D">
        <w:rPr>
          <w:szCs w:val="24"/>
        </w:rPr>
        <w:t xml:space="preserve">At the lower end of the fiscal space, pooling of GOT domestic sources (e.g., OC), recurrent costs for medicines, and LGA own source funds would be on the basis of the proportion of the population </w:t>
      </w:r>
      <w:r w:rsidR="0085253D">
        <w:rPr>
          <w:szCs w:val="24"/>
        </w:rPr>
        <w:t xml:space="preserve">being subsidized for SNHI. A similar principle could be applied to the HBF and on-budget vertical disease programs. At the higher end of the fiscal space, the proportion considered would be the entire </w:t>
      </w:r>
      <w:r w:rsidR="00FB3694">
        <w:rPr>
          <w:szCs w:val="24"/>
        </w:rPr>
        <w:t>population covered by the SNHI</w:t>
      </w:r>
      <w:r w:rsidR="0085253D">
        <w:rPr>
          <w:szCs w:val="24"/>
        </w:rPr>
        <w:t>, and off-budget vertical disease programs and other bilateral donors would also participate</w:t>
      </w:r>
      <w:r w:rsidR="00FB3694">
        <w:rPr>
          <w:szCs w:val="24"/>
        </w:rPr>
        <w:t xml:space="preserve"> in the pool</w:t>
      </w:r>
      <w:r w:rsidR="0085253D">
        <w:rPr>
          <w:szCs w:val="24"/>
        </w:rPr>
        <w:t>. For the current analysis, it was assumed that GOT domestic and on-budget vertical disease program funds are pooled only based on the proportion being subsidized, HBF is pooled for the entire population proportion in SNHI (given that the HBF formula is primarily per capita), and off-budget funds are not pooled.</w:t>
      </w:r>
    </w:p>
    <w:p w14:paraId="01F194F4" w14:textId="593BFFAD" w:rsidR="00FB3694" w:rsidRPr="0085253D" w:rsidRDefault="00FB3694" w:rsidP="002F374A">
      <w:pPr>
        <w:tabs>
          <w:tab w:val="left" w:pos="6530"/>
        </w:tabs>
        <w:spacing w:after="200"/>
        <w:jc w:val="left"/>
        <w:rPr>
          <w:szCs w:val="24"/>
        </w:rPr>
      </w:pPr>
      <w:r>
        <w:rPr>
          <w:szCs w:val="24"/>
        </w:rPr>
        <w:t>In addition to these sources, innovative financing, mostly based on proportions of existing taxes, were considered. The allocation to health and the size of these sources is shown in Table 7.1. For these sources alone, the current analysis assumes that the proportion pooled for the SNHI equals the proportion of the population covered per year.</w:t>
      </w:r>
    </w:p>
    <w:p w14:paraId="2829C3B7" w14:textId="3C139D28" w:rsidR="00676D2B" w:rsidRPr="006D17F7" w:rsidRDefault="00676D2B" w:rsidP="002F374A">
      <w:pPr>
        <w:tabs>
          <w:tab w:val="left" w:pos="6530"/>
        </w:tabs>
        <w:spacing w:after="200"/>
        <w:jc w:val="left"/>
        <w:rPr>
          <w:b/>
          <w:bCs/>
          <w:sz w:val="22"/>
        </w:rPr>
      </w:pPr>
      <w:r w:rsidRPr="006D17F7">
        <w:rPr>
          <w:b/>
          <w:bCs/>
          <w:sz w:val="22"/>
        </w:rPr>
        <w:t xml:space="preserve">Table </w:t>
      </w:r>
      <w:r w:rsidR="007F1784">
        <w:rPr>
          <w:b/>
          <w:bCs/>
          <w:sz w:val="22"/>
        </w:rPr>
        <w:t>7</w:t>
      </w:r>
      <w:r w:rsidRPr="006D17F7">
        <w:rPr>
          <w:b/>
          <w:bCs/>
          <w:sz w:val="22"/>
        </w:rPr>
        <w:t>.1 Innovative sources of financing that can be pooled for SNHI</w:t>
      </w:r>
    </w:p>
    <w:tbl>
      <w:tblPr>
        <w:tblStyle w:val="TableGrid1"/>
        <w:tblW w:w="4793" w:type="pct"/>
        <w:tblInd w:w="108" w:type="dxa"/>
        <w:tblLook w:val="0420" w:firstRow="1" w:lastRow="0" w:firstColumn="0" w:lastColumn="0" w:noHBand="0" w:noVBand="1"/>
      </w:tblPr>
      <w:tblGrid>
        <w:gridCol w:w="2637"/>
        <w:gridCol w:w="1934"/>
        <w:gridCol w:w="4392"/>
      </w:tblGrid>
      <w:tr w:rsidR="006D17F7" w:rsidRPr="00676D2B" w14:paraId="68545AA9" w14:textId="77777777" w:rsidTr="004B66A2">
        <w:trPr>
          <w:trHeight w:val="64"/>
        </w:trPr>
        <w:tc>
          <w:tcPr>
            <w:tcW w:w="1471" w:type="pct"/>
            <w:vAlign w:val="center"/>
            <w:hideMark/>
          </w:tcPr>
          <w:p w14:paraId="347AE517" w14:textId="77777777" w:rsidR="006D17F7" w:rsidRPr="00676D2B" w:rsidRDefault="006D17F7" w:rsidP="008E5514">
            <w:pPr>
              <w:tabs>
                <w:tab w:val="left" w:pos="6530"/>
              </w:tabs>
              <w:spacing w:line="276" w:lineRule="auto"/>
              <w:jc w:val="left"/>
              <w:rPr>
                <w:sz w:val="22"/>
              </w:rPr>
            </w:pPr>
            <w:r w:rsidRPr="00676D2B">
              <w:rPr>
                <w:b/>
                <w:bCs/>
                <w:sz w:val="22"/>
              </w:rPr>
              <w:t>Source</w:t>
            </w:r>
          </w:p>
        </w:tc>
        <w:tc>
          <w:tcPr>
            <w:tcW w:w="1079" w:type="pct"/>
            <w:vAlign w:val="center"/>
          </w:tcPr>
          <w:p w14:paraId="1A0B2DAE" w14:textId="7F12C5A3" w:rsidR="006D17F7" w:rsidRPr="00676D2B" w:rsidRDefault="006D17F7" w:rsidP="008E5514">
            <w:pPr>
              <w:tabs>
                <w:tab w:val="left" w:pos="6530"/>
              </w:tabs>
              <w:jc w:val="left"/>
              <w:rPr>
                <w:b/>
                <w:bCs/>
                <w:sz w:val="22"/>
              </w:rPr>
            </w:pPr>
            <w:r>
              <w:rPr>
                <w:b/>
                <w:bCs/>
                <w:sz w:val="22"/>
              </w:rPr>
              <w:t>Allocation to health sector</w:t>
            </w:r>
          </w:p>
        </w:tc>
        <w:tc>
          <w:tcPr>
            <w:tcW w:w="2450" w:type="pct"/>
            <w:vAlign w:val="center"/>
            <w:hideMark/>
          </w:tcPr>
          <w:p w14:paraId="12B94337" w14:textId="0ED33A00" w:rsidR="006D17F7" w:rsidRPr="00676D2B" w:rsidRDefault="006D17F7" w:rsidP="008E5514">
            <w:pPr>
              <w:tabs>
                <w:tab w:val="left" w:pos="6530"/>
              </w:tabs>
              <w:spacing w:line="276" w:lineRule="auto"/>
              <w:jc w:val="left"/>
              <w:rPr>
                <w:sz w:val="22"/>
              </w:rPr>
            </w:pPr>
            <w:r w:rsidRPr="00676D2B">
              <w:rPr>
                <w:b/>
                <w:bCs/>
                <w:sz w:val="22"/>
              </w:rPr>
              <w:t xml:space="preserve">Size of potential </w:t>
            </w:r>
            <w:r>
              <w:rPr>
                <w:b/>
                <w:bCs/>
                <w:sz w:val="22"/>
              </w:rPr>
              <w:t>resource for health</w:t>
            </w:r>
            <w:r w:rsidRPr="00676D2B">
              <w:rPr>
                <w:b/>
                <w:bCs/>
                <w:sz w:val="22"/>
              </w:rPr>
              <w:t xml:space="preserve"> </w:t>
            </w:r>
            <w:r w:rsidRPr="006D17F7">
              <w:rPr>
                <w:sz w:val="22"/>
              </w:rPr>
              <w:t>(based on FY 2013)</w:t>
            </w:r>
          </w:p>
        </w:tc>
      </w:tr>
      <w:tr w:rsidR="006D17F7" w:rsidRPr="00676D2B" w14:paraId="7AAEFB18" w14:textId="77777777" w:rsidTr="004B66A2">
        <w:trPr>
          <w:trHeight w:val="64"/>
        </w:trPr>
        <w:tc>
          <w:tcPr>
            <w:tcW w:w="1471" w:type="pct"/>
            <w:vAlign w:val="center"/>
            <w:hideMark/>
          </w:tcPr>
          <w:p w14:paraId="072702C1" w14:textId="77777777" w:rsidR="006D17F7" w:rsidRPr="00676D2B" w:rsidRDefault="006D17F7" w:rsidP="006D17F7">
            <w:pPr>
              <w:tabs>
                <w:tab w:val="left" w:pos="6530"/>
              </w:tabs>
              <w:spacing w:line="276" w:lineRule="auto"/>
              <w:jc w:val="left"/>
              <w:rPr>
                <w:sz w:val="22"/>
              </w:rPr>
            </w:pPr>
            <w:r w:rsidRPr="00676D2B">
              <w:rPr>
                <w:sz w:val="22"/>
              </w:rPr>
              <w:t>Tax on surplus of public corp.</w:t>
            </w:r>
          </w:p>
        </w:tc>
        <w:tc>
          <w:tcPr>
            <w:tcW w:w="1079" w:type="pct"/>
            <w:vAlign w:val="center"/>
          </w:tcPr>
          <w:p w14:paraId="021E97E7" w14:textId="0E350A42" w:rsidR="006D17F7" w:rsidRPr="00676D2B" w:rsidRDefault="006D17F7" w:rsidP="006D17F7">
            <w:pPr>
              <w:tabs>
                <w:tab w:val="left" w:pos="6530"/>
              </w:tabs>
              <w:jc w:val="left"/>
              <w:rPr>
                <w:sz w:val="22"/>
              </w:rPr>
            </w:pPr>
            <w:r>
              <w:rPr>
                <w:sz w:val="22"/>
              </w:rPr>
              <w:t>20%</w:t>
            </w:r>
          </w:p>
        </w:tc>
        <w:tc>
          <w:tcPr>
            <w:tcW w:w="2450" w:type="pct"/>
            <w:vAlign w:val="center"/>
            <w:hideMark/>
          </w:tcPr>
          <w:p w14:paraId="06335776" w14:textId="39E43052" w:rsidR="006D17F7" w:rsidRPr="00676D2B" w:rsidRDefault="006D17F7" w:rsidP="006D17F7">
            <w:pPr>
              <w:tabs>
                <w:tab w:val="left" w:pos="6530"/>
              </w:tabs>
              <w:spacing w:line="276" w:lineRule="auto"/>
              <w:jc w:val="left"/>
              <w:rPr>
                <w:sz w:val="22"/>
              </w:rPr>
            </w:pPr>
            <w:r w:rsidRPr="00676D2B">
              <w:rPr>
                <w:sz w:val="22"/>
              </w:rPr>
              <w:t xml:space="preserve">TZS 94 bn. ~ </w:t>
            </w:r>
            <w:r w:rsidRPr="00676D2B">
              <w:rPr>
                <w:b/>
                <w:bCs/>
                <w:sz w:val="22"/>
              </w:rPr>
              <w:t>0.169</w:t>
            </w:r>
            <w:r w:rsidRPr="00676D2B">
              <w:rPr>
                <w:sz w:val="22"/>
              </w:rPr>
              <w:t>% of GDP</w:t>
            </w:r>
          </w:p>
        </w:tc>
      </w:tr>
      <w:tr w:rsidR="006D17F7" w:rsidRPr="00676D2B" w14:paraId="270DA114" w14:textId="77777777" w:rsidTr="004B66A2">
        <w:trPr>
          <w:trHeight w:val="350"/>
        </w:trPr>
        <w:tc>
          <w:tcPr>
            <w:tcW w:w="1471" w:type="pct"/>
            <w:vAlign w:val="center"/>
            <w:hideMark/>
          </w:tcPr>
          <w:p w14:paraId="25E3AE86" w14:textId="506CE0B8" w:rsidR="006D17F7" w:rsidRPr="00676D2B" w:rsidRDefault="006D17F7" w:rsidP="006D17F7">
            <w:pPr>
              <w:tabs>
                <w:tab w:val="left" w:pos="6530"/>
              </w:tabs>
              <w:spacing w:line="276" w:lineRule="auto"/>
              <w:jc w:val="left"/>
              <w:rPr>
                <w:sz w:val="22"/>
              </w:rPr>
            </w:pPr>
            <w:r>
              <w:rPr>
                <w:sz w:val="22"/>
              </w:rPr>
              <w:t>Taxes on telecommunications (mobile airtime, SIM levy)</w:t>
            </w:r>
          </w:p>
        </w:tc>
        <w:tc>
          <w:tcPr>
            <w:tcW w:w="1079" w:type="pct"/>
            <w:vAlign w:val="center"/>
          </w:tcPr>
          <w:p w14:paraId="6AA0E70D" w14:textId="23D74C30" w:rsidR="006D17F7" w:rsidRPr="00676D2B" w:rsidRDefault="006D17F7" w:rsidP="006D17F7">
            <w:pPr>
              <w:tabs>
                <w:tab w:val="left" w:pos="6530"/>
              </w:tabs>
              <w:jc w:val="left"/>
              <w:rPr>
                <w:sz w:val="22"/>
              </w:rPr>
            </w:pPr>
            <w:r>
              <w:rPr>
                <w:sz w:val="22"/>
              </w:rPr>
              <w:t>17% matching education sector</w:t>
            </w:r>
          </w:p>
        </w:tc>
        <w:tc>
          <w:tcPr>
            <w:tcW w:w="2450" w:type="pct"/>
            <w:vAlign w:val="center"/>
            <w:hideMark/>
          </w:tcPr>
          <w:p w14:paraId="013D485C" w14:textId="6AB631C9" w:rsidR="006D17F7" w:rsidRPr="00676D2B" w:rsidRDefault="006D17F7" w:rsidP="006D17F7">
            <w:pPr>
              <w:tabs>
                <w:tab w:val="left" w:pos="6530"/>
              </w:tabs>
              <w:spacing w:line="276" w:lineRule="auto"/>
              <w:jc w:val="left"/>
              <w:rPr>
                <w:sz w:val="22"/>
              </w:rPr>
            </w:pPr>
            <w:r w:rsidRPr="00676D2B">
              <w:rPr>
                <w:sz w:val="22"/>
              </w:rPr>
              <w:t xml:space="preserve">TZS 72 bn. ~ </w:t>
            </w:r>
            <w:r w:rsidRPr="00676D2B">
              <w:rPr>
                <w:b/>
                <w:bCs/>
                <w:sz w:val="22"/>
              </w:rPr>
              <w:t>0.13</w:t>
            </w:r>
            <w:r w:rsidRPr="00676D2B">
              <w:rPr>
                <w:sz w:val="22"/>
              </w:rPr>
              <w:t>% of GDP</w:t>
            </w:r>
          </w:p>
        </w:tc>
      </w:tr>
      <w:tr w:rsidR="006D17F7" w:rsidRPr="00676D2B" w14:paraId="1671A250" w14:textId="77777777" w:rsidTr="004B66A2">
        <w:trPr>
          <w:trHeight w:val="125"/>
        </w:trPr>
        <w:tc>
          <w:tcPr>
            <w:tcW w:w="1471" w:type="pct"/>
            <w:vAlign w:val="center"/>
            <w:hideMark/>
          </w:tcPr>
          <w:p w14:paraId="2194E02F" w14:textId="197D5F8E" w:rsidR="006D17F7" w:rsidRPr="00676D2B" w:rsidRDefault="006D17F7" w:rsidP="006D17F7">
            <w:pPr>
              <w:tabs>
                <w:tab w:val="left" w:pos="6530"/>
              </w:tabs>
              <w:spacing w:line="276" w:lineRule="auto"/>
              <w:jc w:val="left"/>
              <w:rPr>
                <w:sz w:val="22"/>
              </w:rPr>
            </w:pPr>
            <w:r w:rsidRPr="00676D2B">
              <w:rPr>
                <w:sz w:val="22"/>
              </w:rPr>
              <w:t>“Sin taxes</w:t>
            </w:r>
            <w:r>
              <w:rPr>
                <w:sz w:val="22"/>
              </w:rPr>
              <w:t>”</w:t>
            </w:r>
            <w:r w:rsidRPr="00676D2B">
              <w:rPr>
                <w:sz w:val="22"/>
              </w:rPr>
              <w:t xml:space="preserve"> - Alcohol and tobacco</w:t>
            </w:r>
          </w:p>
        </w:tc>
        <w:tc>
          <w:tcPr>
            <w:tcW w:w="1079" w:type="pct"/>
            <w:vAlign w:val="center"/>
          </w:tcPr>
          <w:p w14:paraId="02930879" w14:textId="50A18EB2" w:rsidR="006D17F7" w:rsidRPr="00676D2B" w:rsidRDefault="006D17F7" w:rsidP="006D17F7">
            <w:pPr>
              <w:tabs>
                <w:tab w:val="left" w:pos="6530"/>
              </w:tabs>
              <w:jc w:val="left"/>
              <w:rPr>
                <w:sz w:val="22"/>
              </w:rPr>
            </w:pPr>
            <w:r>
              <w:rPr>
                <w:sz w:val="22"/>
              </w:rPr>
              <w:t>33%*</w:t>
            </w:r>
          </w:p>
        </w:tc>
        <w:tc>
          <w:tcPr>
            <w:tcW w:w="2450" w:type="pct"/>
            <w:vAlign w:val="center"/>
            <w:hideMark/>
          </w:tcPr>
          <w:p w14:paraId="3893BACA" w14:textId="39CCD84E" w:rsidR="006D17F7" w:rsidRPr="00676D2B" w:rsidRDefault="006D17F7" w:rsidP="006D17F7">
            <w:pPr>
              <w:tabs>
                <w:tab w:val="left" w:pos="6530"/>
              </w:tabs>
              <w:spacing w:line="276" w:lineRule="auto"/>
              <w:jc w:val="left"/>
              <w:rPr>
                <w:sz w:val="22"/>
              </w:rPr>
            </w:pPr>
            <w:r w:rsidRPr="00676D2B">
              <w:rPr>
                <w:sz w:val="22"/>
              </w:rPr>
              <w:t xml:space="preserve">TZS 286 bn. ~ </w:t>
            </w:r>
            <w:r w:rsidRPr="00676D2B">
              <w:rPr>
                <w:b/>
                <w:bCs/>
                <w:sz w:val="22"/>
              </w:rPr>
              <w:t>0.514</w:t>
            </w:r>
            <w:r w:rsidRPr="00676D2B">
              <w:rPr>
                <w:sz w:val="22"/>
              </w:rPr>
              <w:t>% of GDP</w:t>
            </w:r>
          </w:p>
        </w:tc>
      </w:tr>
      <w:tr w:rsidR="006D17F7" w:rsidRPr="00676D2B" w14:paraId="11D9C060" w14:textId="77777777" w:rsidTr="004B66A2">
        <w:trPr>
          <w:trHeight w:val="611"/>
        </w:trPr>
        <w:tc>
          <w:tcPr>
            <w:tcW w:w="1471" w:type="pct"/>
            <w:vAlign w:val="center"/>
            <w:hideMark/>
          </w:tcPr>
          <w:p w14:paraId="206CA31E" w14:textId="5FF3F12B" w:rsidR="006D17F7" w:rsidRPr="00676D2B" w:rsidRDefault="006D17F7" w:rsidP="006D17F7">
            <w:pPr>
              <w:tabs>
                <w:tab w:val="left" w:pos="6530"/>
              </w:tabs>
              <w:spacing w:line="276" w:lineRule="auto"/>
              <w:jc w:val="left"/>
              <w:rPr>
                <w:sz w:val="22"/>
              </w:rPr>
            </w:pPr>
            <w:r w:rsidRPr="00676D2B">
              <w:rPr>
                <w:sz w:val="22"/>
              </w:rPr>
              <w:t>AIDS Trust Fund</w:t>
            </w:r>
          </w:p>
        </w:tc>
        <w:tc>
          <w:tcPr>
            <w:tcW w:w="1079" w:type="pct"/>
            <w:vAlign w:val="center"/>
          </w:tcPr>
          <w:p w14:paraId="138A3A07" w14:textId="60EC2FD5" w:rsidR="006D17F7" w:rsidRPr="00676D2B" w:rsidRDefault="006D17F7" w:rsidP="006D17F7">
            <w:pPr>
              <w:tabs>
                <w:tab w:val="left" w:pos="6530"/>
              </w:tabs>
              <w:jc w:val="left"/>
              <w:rPr>
                <w:sz w:val="22"/>
              </w:rPr>
            </w:pPr>
            <w:r>
              <w:rPr>
                <w:sz w:val="22"/>
              </w:rPr>
              <w:t>100%</w:t>
            </w:r>
          </w:p>
        </w:tc>
        <w:tc>
          <w:tcPr>
            <w:tcW w:w="2450" w:type="pct"/>
            <w:vAlign w:val="center"/>
            <w:hideMark/>
          </w:tcPr>
          <w:p w14:paraId="4902F765" w14:textId="5DB8BF28" w:rsidR="006D17F7" w:rsidRPr="00676D2B" w:rsidRDefault="006D17F7" w:rsidP="006D17F7">
            <w:pPr>
              <w:tabs>
                <w:tab w:val="left" w:pos="6530"/>
              </w:tabs>
              <w:spacing w:line="276" w:lineRule="auto"/>
              <w:jc w:val="left"/>
              <w:rPr>
                <w:sz w:val="22"/>
              </w:rPr>
            </w:pPr>
            <w:r w:rsidRPr="00676D2B">
              <w:rPr>
                <w:sz w:val="22"/>
              </w:rPr>
              <w:t>Unclear, assumed US</w:t>
            </w:r>
            <w:r w:rsidRPr="00676D2B">
              <w:rPr>
                <w:b/>
                <w:bCs/>
                <w:sz w:val="22"/>
              </w:rPr>
              <w:t>$158</w:t>
            </w:r>
            <w:r>
              <w:rPr>
                <w:sz w:val="22"/>
              </w:rPr>
              <w:t xml:space="preserve"> million </w:t>
            </w:r>
            <w:r w:rsidRPr="00676D2B">
              <w:rPr>
                <w:sz w:val="22"/>
              </w:rPr>
              <w:t>per year from FY 2017/18 (TZS 300 billion), TZS 3 billion in FY 2015/16, 100 billion in 2016/17</w:t>
            </w:r>
          </w:p>
        </w:tc>
      </w:tr>
    </w:tbl>
    <w:p w14:paraId="0F6F49A8" w14:textId="14EEE8DA" w:rsidR="00676D2B" w:rsidRDefault="006D17F7" w:rsidP="002F374A">
      <w:pPr>
        <w:tabs>
          <w:tab w:val="left" w:pos="6530"/>
        </w:tabs>
        <w:spacing w:after="200"/>
        <w:jc w:val="left"/>
        <w:rPr>
          <w:sz w:val="22"/>
        </w:rPr>
      </w:pPr>
      <w:r>
        <w:rPr>
          <w:sz w:val="22"/>
        </w:rPr>
        <w:t>* Based on allocation to health from sin taxes in South Korea.</w:t>
      </w:r>
    </w:p>
    <w:p w14:paraId="5AB627E7" w14:textId="4AB2CCCB" w:rsidR="008D0A14" w:rsidRPr="008E5514" w:rsidRDefault="00FB3694" w:rsidP="002F374A">
      <w:pPr>
        <w:tabs>
          <w:tab w:val="left" w:pos="6530"/>
        </w:tabs>
        <w:spacing w:after="200"/>
        <w:jc w:val="left"/>
        <w:rPr>
          <w:szCs w:val="24"/>
        </w:rPr>
      </w:pPr>
      <w:r w:rsidRPr="008E5514">
        <w:rPr>
          <w:szCs w:val="24"/>
        </w:rPr>
        <w:t>A macroeconomic model was constructed in order to implement the fiscal space calculations, including assumptions on GOT domestic funding for health</w:t>
      </w:r>
      <w:r w:rsidR="00D13AC6">
        <w:rPr>
          <w:szCs w:val="24"/>
        </w:rPr>
        <w:t xml:space="preserve">. Based on current trends as well as expert opinion, we also projected </w:t>
      </w:r>
      <w:r w:rsidRPr="008E5514">
        <w:rPr>
          <w:szCs w:val="24"/>
        </w:rPr>
        <w:t xml:space="preserve">flows from external sources </w:t>
      </w:r>
      <w:r w:rsidRPr="008E5514">
        <w:rPr>
          <w:szCs w:val="24"/>
        </w:rPr>
        <w:lastRenderedPageBreak/>
        <w:t>for the health sector</w:t>
      </w:r>
      <w:r w:rsidR="00D13AC6">
        <w:rPr>
          <w:szCs w:val="24"/>
        </w:rPr>
        <w:t xml:space="preserve"> including all on-budget and off-budget sources for which data were available</w:t>
      </w:r>
      <w:r w:rsidRPr="008E5514">
        <w:rPr>
          <w:szCs w:val="24"/>
        </w:rPr>
        <w:t>.</w:t>
      </w:r>
      <w:r w:rsidR="00D13AC6">
        <w:rPr>
          <w:szCs w:val="24"/>
        </w:rPr>
        <w:t xml:space="preserve"> These assumptions involve modest declines in the HBF, Global Fund (from FY 2017), a</w:t>
      </w:r>
      <w:r w:rsidR="008E5514">
        <w:rPr>
          <w:szCs w:val="24"/>
        </w:rPr>
        <w:t xml:space="preserve">s well as </w:t>
      </w:r>
      <w:r w:rsidR="00D13AC6">
        <w:rPr>
          <w:szCs w:val="24"/>
        </w:rPr>
        <w:t>projected allocations from the World Bank, bilateral partners, etc.</w:t>
      </w:r>
    </w:p>
    <w:p w14:paraId="436FE3D0" w14:textId="3A1F30CD" w:rsidR="00085485" w:rsidRDefault="00085485" w:rsidP="008F2630">
      <w:pPr>
        <w:pStyle w:val="Heading2"/>
      </w:pPr>
      <w:bookmarkStart w:id="60" w:name="_Toc411949959"/>
      <w:r>
        <w:t>Results</w:t>
      </w:r>
      <w:bookmarkEnd w:id="60"/>
    </w:p>
    <w:p w14:paraId="3024AE68" w14:textId="1E3294A8" w:rsidR="00085485" w:rsidRDefault="00085485" w:rsidP="00085485">
      <w:r>
        <w:t xml:space="preserve">Total SNHI coverage as per </w:t>
      </w:r>
      <w:r w:rsidR="007E2C97">
        <w:t>the assumptions</w:t>
      </w:r>
      <w:r>
        <w:t xml:space="preserve"> rises from </w:t>
      </w:r>
      <w:r w:rsidR="004B66A2">
        <w:t>40</w:t>
      </w:r>
      <w:r>
        <w:t xml:space="preserve">% in the first year to </w:t>
      </w:r>
      <w:r w:rsidR="004B66A2">
        <w:t>63</w:t>
      </w:r>
      <w:r>
        <w:t xml:space="preserve">% by the fifth year. Results of </w:t>
      </w:r>
      <w:r w:rsidR="004B66A2">
        <w:t xml:space="preserve">fiscal space </w:t>
      </w:r>
      <w:r>
        <w:t xml:space="preserve">scenarios </w:t>
      </w:r>
      <w:r w:rsidR="004B66A2">
        <w:t>are shown to the left in Figure 7.2</w:t>
      </w:r>
      <w:r>
        <w:t xml:space="preserve">. Average per capita costs across high and low </w:t>
      </w:r>
      <w:r w:rsidR="004E4B7F">
        <w:t xml:space="preserve">scenarios for the </w:t>
      </w:r>
      <w:r>
        <w:t>MBP</w:t>
      </w:r>
      <w:r w:rsidR="004E4B7F">
        <w:t xml:space="preserve"> and </w:t>
      </w:r>
      <w:r>
        <w:t xml:space="preserve">MBP+ </w:t>
      </w:r>
      <w:r w:rsidR="004E4B7F">
        <w:t>coverage combined</w:t>
      </w:r>
      <w:r>
        <w:t xml:space="preserve"> s</w:t>
      </w:r>
      <w:r w:rsidR="004E4B7F">
        <w:t>tay mostly stable at about US$38</w:t>
      </w:r>
      <w:r>
        <w:t xml:space="preserve"> (2012 dollars), while average revenue across the two scenarios declines from US$30 in the first year to US$2</w:t>
      </w:r>
      <w:r w:rsidR="004E4B7F">
        <w:t>5</w:t>
      </w:r>
      <w:r>
        <w:t xml:space="preserve"> in the final year</w:t>
      </w:r>
      <w:r w:rsidR="007E2C97">
        <w:t xml:space="preserve"> (Figure 7.2)</w:t>
      </w:r>
      <w:r>
        <w:t xml:space="preserve">. This suggests that as analyzed, increase in revenue across the two scenarios did not keep pace with the increase in </w:t>
      </w:r>
      <w:r w:rsidR="004E4B7F">
        <w:t xml:space="preserve">the </w:t>
      </w:r>
      <w:r>
        <w:t>covered population</w:t>
      </w:r>
      <w:r w:rsidR="004E4B7F">
        <w:t>, especially population being subsidized</w:t>
      </w:r>
      <w:r>
        <w:t xml:space="preserve"> and overall demographic growth. Implications are that revenue growth will require additional contributions</w:t>
      </w:r>
      <w:r w:rsidR="007E2C97">
        <w:t xml:space="preserve"> to be pooled.</w:t>
      </w:r>
      <w:r>
        <w:t xml:space="preserve"> </w:t>
      </w:r>
    </w:p>
    <w:p w14:paraId="63E2FDD6" w14:textId="77777777" w:rsidR="00085485" w:rsidRPr="00085485" w:rsidRDefault="00085485" w:rsidP="00085485"/>
    <w:p w14:paraId="14D9D771" w14:textId="34D6A4DE" w:rsidR="008D0A14" w:rsidRPr="008F2630" w:rsidRDefault="008D0A14" w:rsidP="008F2630">
      <w:pPr>
        <w:rPr>
          <w:rFonts w:asciiTheme="majorHAnsi" w:hAnsiTheme="majorHAnsi"/>
          <w:b/>
          <w:sz w:val="22"/>
        </w:rPr>
      </w:pPr>
      <w:bookmarkStart w:id="61" w:name="_Toc411499459"/>
      <w:bookmarkStart w:id="62" w:name="_Toc411949960"/>
      <w:r w:rsidRPr="008F2630">
        <w:rPr>
          <w:rFonts w:asciiTheme="majorHAnsi" w:hAnsiTheme="majorHAnsi"/>
          <w:b/>
          <w:sz w:val="22"/>
        </w:rPr>
        <w:t>Figure 7.2 Costs and revenue for the SNHI Pool: Scenarios</w:t>
      </w:r>
      <w:bookmarkEnd w:id="61"/>
      <w:bookmarkEnd w:id="62"/>
    </w:p>
    <w:tbl>
      <w:tblPr>
        <w:tblStyle w:val="TableGrid"/>
        <w:tblW w:w="9482" w:type="dxa"/>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4" w:type="dxa"/>
          <w:right w:w="14" w:type="dxa"/>
        </w:tblCellMar>
        <w:tblLook w:val="04A0" w:firstRow="1" w:lastRow="0" w:firstColumn="1" w:lastColumn="0" w:noHBand="0" w:noVBand="1"/>
      </w:tblPr>
      <w:tblGrid>
        <w:gridCol w:w="5331"/>
        <w:gridCol w:w="4151"/>
      </w:tblGrid>
      <w:tr w:rsidR="00C67D6D" w14:paraId="48CB64FF" w14:textId="77777777" w:rsidTr="004E4B7F">
        <w:trPr>
          <w:trHeight w:val="4203"/>
        </w:trPr>
        <w:tc>
          <w:tcPr>
            <w:tcW w:w="5331" w:type="dxa"/>
          </w:tcPr>
          <w:p w14:paraId="5C54D860" w14:textId="19D35E6B" w:rsidR="00C67D6D" w:rsidRDefault="003E7926" w:rsidP="009D5F42">
            <w:pPr>
              <w:jc w:val="left"/>
            </w:pPr>
            <w:r>
              <w:rPr>
                <w:noProof/>
                <w:lang w:val="en-GB" w:eastAsia="en-GB"/>
              </w:rPr>
              <w:drawing>
                <wp:inline distT="0" distB="0" distL="0" distR="0" wp14:anchorId="5CD9ED49" wp14:editId="03A10ED0">
                  <wp:extent cx="3370521" cy="2817627"/>
                  <wp:effectExtent l="0" t="0" r="20955" b="20955"/>
                  <wp:docPr id="120" name="Chart 1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c>
          <w:tcPr>
            <w:tcW w:w="4151" w:type="dxa"/>
          </w:tcPr>
          <w:p w14:paraId="3DFDB311" w14:textId="30C35D63" w:rsidR="00C67D6D" w:rsidRDefault="00426CDD" w:rsidP="009D5F42">
            <w:pPr>
              <w:jc w:val="left"/>
            </w:pPr>
            <w:r>
              <w:rPr>
                <w:noProof/>
                <w:lang w:val="en-GB" w:eastAsia="en-GB"/>
              </w:rPr>
              <w:drawing>
                <wp:inline distT="0" distB="0" distL="0" distR="0" wp14:anchorId="51E26AF1" wp14:editId="54C1E0E2">
                  <wp:extent cx="2626241" cy="2817628"/>
                  <wp:effectExtent l="0" t="0" r="22225" b="20955"/>
                  <wp:docPr id="121" name="Chart 1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r>
    </w:tbl>
    <w:p w14:paraId="722EB71C" w14:textId="77777777" w:rsidR="007E2C97" w:rsidRDefault="007E2C97" w:rsidP="000A08B3">
      <w:pPr>
        <w:spacing w:after="200"/>
        <w:jc w:val="left"/>
        <w:rPr>
          <w:sz w:val="18"/>
          <w:szCs w:val="16"/>
        </w:rPr>
      </w:pPr>
    </w:p>
    <w:p w14:paraId="0533A4FC" w14:textId="5E392512" w:rsidR="007E2C97" w:rsidRDefault="007E2C97" w:rsidP="000A08B3">
      <w:pPr>
        <w:spacing w:after="200"/>
        <w:jc w:val="left"/>
      </w:pPr>
      <w:r>
        <w:t xml:space="preserve">Figure 7.3 summarizes the results. With an affordable MBP/MBP+, and high revenues, the SNHI may face a </w:t>
      </w:r>
      <w:r w:rsidR="004E4B7F">
        <w:t xml:space="preserve">median </w:t>
      </w:r>
      <w:r>
        <w:t xml:space="preserve">gap ranging from </w:t>
      </w:r>
      <w:r w:rsidR="004E4B7F">
        <w:t xml:space="preserve">270 </w:t>
      </w:r>
      <w:r>
        <w:t xml:space="preserve">to </w:t>
      </w:r>
      <w:r w:rsidR="004E4B7F">
        <w:t xml:space="preserve">650 </w:t>
      </w:r>
      <w:r>
        <w:t xml:space="preserve">TZS billion (2012 US$ </w:t>
      </w:r>
      <w:r w:rsidR="004E4B7F">
        <w:t xml:space="preserve">170 </w:t>
      </w:r>
      <w:r>
        <w:t>-</w:t>
      </w:r>
      <w:r w:rsidR="004E4B7F">
        <w:t xml:space="preserve">415 </w:t>
      </w:r>
      <w:r>
        <w:t xml:space="preserve">million). </w:t>
      </w:r>
      <w:r w:rsidR="00E66590">
        <w:t xml:space="preserve">This gap is based on pooling innovative sources into the SNHI but pooling only modest proportions of other resources in the health sector. </w:t>
      </w:r>
      <w:r w:rsidR="00C45778">
        <w:t xml:space="preserve">Changes to assumptions can have significant effects. </w:t>
      </w:r>
      <w:r w:rsidR="00E66590">
        <w:t>For example, if the GOT pools additional domestic resources to account for the informal sector proportion of the population covered by SNHI</w:t>
      </w:r>
      <w:r w:rsidR="00C45778">
        <w:t xml:space="preserve"> (projected to increase from 9 to 20% over the years)</w:t>
      </w:r>
      <w:r w:rsidR="00E66590">
        <w:t xml:space="preserve">, the </w:t>
      </w:r>
      <w:r w:rsidR="00C45778">
        <w:t xml:space="preserve">overall </w:t>
      </w:r>
      <w:r w:rsidR="00E66590">
        <w:t xml:space="preserve">financial gap would reduce by </w:t>
      </w:r>
      <w:r w:rsidR="00C45778">
        <w:t>two-thirds in the initial years of the SNHI.</w:t>
      </w:r>
    </w:p>
    <w:p w14:paraId="0C102F9D" w14:textId="18BE6D8D" w:rsidR="00DF5EF2" w:rsidRPr="008F2630" w:rsidRDefault="00DF5EF2" w:rsidP="008F2630">
      <w:pPr>
        <w:rPr>
          <w:rFonts w:asciiTheme="majorHAnsi" w:hAnsiTheme="majorHAnsi"/>
          <w:b/>
          <w:sz w:val="22"/>
        </w:rPr>
      </w:pPr>
      <w:bookmarkStart w:id="63" w:name="_Toc411499460"/>
      <w:bookmarkStart w:id="64" w:name="_Toc411949961"/>
      <w:r w:rsidRPr="008F2630">
        <w:rPr>
          <w:rFonts w:asciiTheme="majorHAnsi" w:hAnsiTheme="majorHAnsi"/>
          <w:b/>
          <w:sz w:val="22"/>
        </w:rPr>
        <w:lastRenderedPageBreak/>
        <w:t>Figure 7.3 Financial gaps (cost minus revenue) across scenarios</w:t>
      </w:r>
      <w:bookmarkEnd w:id="63"/>
      <w:bookmarkEnd w:id="64"/>
    </w:p>
    <w:p w14:paraId="4261599A" w14:textId="7FC4D662" w:rsidR="007E2C97" w:rsidRPr="007E2C97" w:rsidRDefault="004E4B7F" w:rsidP="000A08B3">
      <w:pPr>
        <w:spacing w:after="200"/>
        <w:jc w:val="left"/>
      </w:pPr>
      <w:r>
        <w:rPr>
          <w:noProof/>
          <w:lang w:val="en-GB" w:eastAsia="en-GB"/>
        </w:rPr>
        <w:drawing>
          <wp:inline distT="0" distB="0" distL="0" distR="0" wp14:anchorId="3D616676" wp14:editId="2CDD2C18">
            <wp:extent cx="5805377" cy="2775098"/>
            <wp:effectExtent l="0" t="0" r="24130" b="25400"/>
            <wp:docPr id="123" name="Chart 1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9A04E49" w14:textId="55174448" w:rsidR="00AF101F" w:rsidRPr="00EB4F0C" w:rsidRDefault="00701530" w:rsidP="00695196">
      <w:pPr>
        <w:pStyle w:val="Heading1"/>
      </w:pPr>
      <w:bookmarkStart w:id="65" w:name="_Toc411949962"/>
      <w:r w:rsidRPr="00EB4F0C">
        <w:t>Result</w:t>
      </w:r>
      <w:r w:rsidR="00183E26">
        <w:t>s</w:t>
      </w:r>
      <w:r w:rsidR="00416860">
        <w:t xml:space="preserve"> F</w:t>
      </w:r>
      <w:r w:rsidRPr="00EB4F0C">
        <w:t>ramework</w:t>
      </w:r>
      <w:r w:rsidR="00AF101F" w:rsidRPr="00EB4F0C">
        <w:t xml:space="preserve">: </w:t>
      </w:r>
      <w:r w:rsidR="00B14C64" w:rsidRPr="00EB4F0C">
        <w:t>Priority Interventions, R</w:t>
      </w:r>
      <w:r w:rsidR="00AF101F" w:rsidRPr="00EB4F0C">
        <w:t>esults and Indicators</w:t>
      </w:r>
      <w:bookmarkEnd w:id="65"/>
      <w:r w:rsidR="00695196">
        <w:t xml:space="preserve"> </w:t>
      </w:r>
    </w:p>
    <w:p w14:paraId="7FBF6606" w14:textId="21A36FD8" w:rsidR="00B5160F" w:rsidRDefault="00B5160F" w:rsidP="008F2630">
      <w:pPr>
        <w:pStyle w:val="Heading2"/>
      </w:pPr>
      <w:bookmarkStart w:id="66" w:name="_Toc411949963"/>
      <w:r>
        <w:t>H</w:t>
      </w:r>
      <w:r w:rsidR="005076A4">
        <w:t xml:space="preserve">ealth </w:t>
      </w:r>
      <w:r>
        <w:t>F</w:t>
      </w:r>
      <w:r w:rsidR="005076A4">
        <w:t xml:space="preserve">inancing </w:t>
      </w:r>
      <w:r>
        <w:t>S</w:t>
      </w:r>
      <w:r w:rsidR="005076A4">
        <w:t>trategy</w:t>
      </w:r>
      <w:r>
        <w:t xml:space="preserve"> Monitoring Structure</w:t>
      </w:r>
      <w:bookmarkEnd w:id="66"/>
    </w:p>
    <w:p w14:paraId="369EB13B" w14:textId="1F631015" w:rsidR="00B5160F" w:rsidRDefault="00B5160F" w:rsidP="00B5160F">
      <w:r>
        <w:t xml:space="preserve">The overall monitoring structure is based on the Universal Health Coverage results chain framework shown in Figure 8.2 which closely reflects the Tanzania Health Financing Strategy. </w:t>
      </w:r>
      <w:r w:rsidRPr="00F93642">
        <w:t>The Health Financing Strategy goal is to enable equitable access to affordable and cost-effective quality care and financial protection in case of ill health, according to nationally defined standard minimum benefits package.</w:t>
      </w:r>
      <w:r>
        <w:t xml:space="preserve">  The achievement of this goal is supported by eight objectives. Each objective has one or two strategies and corresponding targets for a total of ten strategies and targets. The overarching HFS monitoring structure is shown in Figure 8.1. Furthermore, under each strategy there is a set of activities and activity indicators. The HFS Implementation Plan table has columns for both activity level indicators and strategy level indicators</w:t>
      </w:r>
      <w:r w:rsidR="00531974">
        <w:t>/</w:t>
      </w:r>
      <w:r>
        <w:t xml:space="preserve">targets that will be monitored throughout HFS implementation.     </w:t>
      </w:r>
    </w:p>
    <w:p w14:paraId="11C6A038" w14:textId="515000D3" w:rsidR="004F787C" w:rsidRDefault="00B5160F" w:rsidP="00B5160F">
      <w:r>
        <w:t xml:space="preserve"> </w:t>
      </w:r>
    </w:p>
    <w:p w14:paraId="40B900D0" w14:textId="43B54DEA" w:rsidR="00B5160F" w:rsidRPr="008F2630" w:rsidRDefault="00450DDF" w:rsidP="008F2630">
      <w:pPr>
        <w:rPr>
          <w:rFonts w:asciiTheme="majorHAnsi" w:hAnsiTheme="majorHAnsi"/>
          <w:b/>
          <w:sz w:val="22"/>
        </w:rPr>
      </w:pPr>
      <w:bookmarkStart w:id="67" w:name="_Toc411499463"/>
      <w:bookmarkStart w:id="68" w:name="_Toc411949964"/>
      <w:r w:rsidRPr="008F2630">
        <w:rPr>
          <w:rFonts w:asciiTheme="majorHAnsi" w:hAnsiTheme="majorHAnsi"/>
          <w:b/>
          <w:sz w:val="22"/>
        </w:rPr>
        <w:t xml:space="preserve">Figure </w:t>
      </w:r>
      <w:r w:rsidR="00B5160F" w:rsidRPr="008F2630">
        <w:rPr>
          <w:rFonts w:asciiTheme="majorHAnsi" w:hAnsiTheme="majorHAnsi"/>
          <w:b/>
          <w:sz w:val="22"/>
        </w:rPr>
        <w:t>8.1 Universal Health Coverage Results Chain Framework</w:t>
      </w:r>
      <w:bookmarkEnd w:id="67"/>
      <w:bookmarkEnd w:id="68"/>
      <w:r w:rsidR="00B5160F" w:rsidRPr="008F2630">
        <w:rPr>
          <w:rFonts w:asciiTheme="majorHAnsi" w:hAnsiTheme="majorHAnsi"/>
          <w:b/>
          <w:sz w:val="22"/>
        </w:rPr>
        <w:t xml:space="preserve"> </w:t>
      </w:r>
    </w:p>
    <w:p w14:paraId="146110CB" w14:textId="77777777" w:rsidR="00B5160F" w:rsidRDefault="00B5160F" w:rsidP="00B5160F">
      <w:r w:rsidRPr="0064570B">
        <w:rPr>
          <w:noProof/>
          <w:lang w:val="en-GB" w:eastAsia="en-GB"/>
        </w:rPr>
        <w:lastRenderedPageBreak/>
        <w:drawing>
          <wp:inline distT="0" distB="0" distL="0" distR="0" wp14:anchorId="75EB4245" wp14:editId="5D5A4F65">
            <wp:extent cx="6086902" cy="3422765"/>
            <wp:effectExtent l="0" t="0" r="9525" b="635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79921" cy="3418840"/>
                    </a:xfrm>
                    <a:prstGeom prst="rect">
                      <a:avLst/>
                    </a:prstGeom>
                    <a:noFill/>
                    <a:ln>
                      <a:noFill/>
                    </a:ln>
                  </pic:spPr>
                </pic:pic>
              </a:graphicData>
            </a:graphic>
          </wp:inline>
        </w:drawing>
      </w:r>
    </w:p>
    <w:p w14:paraId="6ACE09E5" w14:textId="6D1395E1" w:rsidR="00B5160F" w:rsidRDefault="00B5160F" w:rsidP="008F2630">
      <w:pPr>
        <w:pStyle w:val="Heading2"/>
      </w:pPr>
      <w:bookmarkStart w:id="69" w:name="_Toc411949965"/>
      <w:r>
        <w:t>Outcome and Impact Indicators and Targets</w:t>
      </w:r>
      <w:bookmarkEnd w:id="69"/>
    </w:p>
    <w:p w14:paraId="7D5E8156" w14:textId="77777777" w:rsidR="00B5160F" w:rsidRDefault="00B5160F" w:rsidP="00B5160F">
      <w:pPr>
        <w:spacing w:line="240" w:lineRule="auto"/>
        <w:rPr>
          <w:b/>
        </w:rPr>
      </w:pPr>
    </w:p>
    <w:p w14:paraId="2D94B6B5" w14:textId="77777777" w:rsidR="00B5160F" w:rsidRDefault="00B5160F" w:rsidP="00B5160F">
      <w:pPr>
        <w:spacing w:line="240" w:lineRule="auto"/>
      </w:pPr>
      <w:r>
        <w:t xml:space="preserve">Based on the HFS goal, a set of outcome and impact indicators and their targets have been developed to allow the Government and stakeholders to monitor and evaluate HFS success.  The indicators, rationale, source, baseline and targets of these outcome and impact indicators are shown in Table 8.1 below.  </w:t>
      </w:r>
    </w:p>
    <w:p w14:paraId="3D31F7F9" w14:textId="77777777" w:rsidR="00B5160F" w:rsidRDefault="00B5160F" w:rsidP="00B5160F">
      <w:pPr>
        <w:spacing w:line="240" w:lineRule="auto"/>
      </w:pPr>
    </w:p>
    <w:p w14:paraId="4102EA77" w14:textId="77777777" w:rsidR="00B5160F" w:rsidRPr="00F93642" w:rsidRDefault="00B5160F" w:rsidP="00B5160F">
      <w:pPr>
        <w:rPr>
          <w:b/>
        </w:rPr>
      </w:pPr>
      <w:r w:rsidRPr="00F93642">
        <w:rPr>
          <w:b/>
        </w:rPr>
        <w:t xml:space="preserve">Table 8.1: </w:t>
      </w:r>
      <w:r>
        <w:rPr>
          <w:b/>
        </w:rPr>
        <w:t xml:space="preserve">Outcome and </w:t>
      </w:r>
      <w:r w:rsidRPr="00F93642">
        <w:rPr>
          <w:b/>
        </w:rPr>
        <w:t xml:space="preserve">Impact Indicators and Targets </w:t>
      </w:r>
    </w:p>
    <w:tbl>
      <w:tblPr>
        <w:tblStyle w:val="TableGrid"/>
        <w:tblW w:w="0" w:type="auto"/>
        <w:tblLook w:val="04A0" w:firstRow="1" w:lastRow="0" w:firstColumn="1" w:lastColumn="0" w:noHBand="0" w:noVBand="1"/>
      </w:tblPr>
      <w:tblGrid>
        <w:gridCol w:w="3519"/>
        <w:gridCol w:w="1913"/>
        <w:gridCol w:w="1124"/>
        <w:gridCol w:w="1124"/>
        <w:gridCol w:w="1186"/>
      </w:tblGrid>
      <w:tr w:rsidR="00B5160F" w14:paraId="3C7CF753" w14:textId="77777777" w:rsidTr="00D37272">
        <w:tc>
          <w:tcPr>
            <w:tcW w:w="3519" w:type="dxa"/>
          </w:tcPr>
          <w:p w14:paraId="27E9BD5C" w14:textId="77777777" w:rsidR="00B5160F" w:rsidRPr="008C64A6" w:rsidRDefault="00B5160F" w:rsidP="00D37272">
            <w:pPr>
              <w:rPr>
                <w:rFonts w:cs="Arial"/>
                <w:b/>
                <w:sz w:val="16"/>
                <w:szCs w:val="16"/>
              </w:rPr>
            </w:pPr>
            <w:r w:rsidRPr="008C64A6">
              <w:rPr>
                <w:rFonts w:cs="Arial"/>
                <w:b/>
                <w:sz w:val="16"/>
                <w:szCs w:val="16"/>
              </w:rPr>
              <w:t>Indicator</w:t>
            </w:r>
          </w:p>
        </w:tc>
        <w:tc>
          <w:tcPr>
            <w:tcW w:w="1913" w:type="dxa"/>
          </w:tcPr>
          <w:p w14:paraId="4D123C00" w14:textId="77777777" w:rsidR="00B5160F" w:rsidRPr="008C64A6" w:rsidRDefault="00B5160F" w:rsidP="00D37272">
            <w:pPr>
              <w:rPr>
                <w:rFonts w:cs="Arial"/>
                <w:b/>
                <w:sz w:val="16"/>
                <w:szCs w:val="16"/>
              </w:rPr>
            </w:pPr>
            <w:r w:rsidRPr="008C64A6">
              <w:rPr>
                <w:rFonts w:cs="Arial"/>
                <w:b/>
                <w:sz w:val="16"/>
                <w:szCs w:val="16"/>
              </w:rPr>
              <w:t>Why we need it?</w:t>
            </w:r>
          </w:p>
        </w:tc>
        <w:tc>
          <w:tcPr>
            <w:tcW w:w="1124" w:type="dxa"/>
          </w:tcPr>
          <w:p w14:paraId="4F94B413" w14:textId="77777777" w:rsidR="00B5160F" w:rsidRPr="008C64A6" w:rsidRDefault="00B5160F" w:rsidP="00D37272">
            <w:pPr>
              <w:jc w:val="center"/>
              <w:rPr>
                <w:rFonts w:cs="Arial"/>
                <w:b/>
                <w:sz w:val="16"/>
                <w:szCs w:val="16"/>
              </w:rPr>
            </w:pPr>
            <w:r>
              <w:rPr>
                <w:rFonts w:cs="Arial"/>
                <w:b/>
                <w:sz w:val="16"/>
                <w:szCs w:val="16"/>
              </w:rPr>
              <w:t>Source</w:t>
            </w:r>
          </w:p>
        </w:tc>
        <w:tc>
          <w:tcPr>
            <w:tcW w:w="1124" w:type="dxa"/>
          </w:tcPr>
          <w:p w14:paraId="16CD2235" w14:textId="77777777" w:rsidR="00B5160F" w:rsidRPr="008C64A6" w:rsidRDefault="00B5160F" w:rsidP="00D37272">
            <w:pPr>
              <w:jc w:val="center"/>
              <w:rPr>
                <w:rFonts w:cs="Arial"/>
                <w:b/>
                <w:sz w:val="16"/>
                <w:szCs w:val="16"/>
              </w:rPr>
            </w:pPr>
            <w:r w:rsidRPr="008C64A6">
              <w:rPr>
                <w:rFonts w:cs="Arial"/>
                <w:b/>
                <w:sz w:val="16"/>
                <w:szCs w:val="16"/>
              </w:rPr>
              <w:t>Baseline</w:t>
            </w:r>
          </w:p>
        </w:tc>
        <w:tc>
          <w:tcPr>
            <w:tcW w:w="1186" w:type="dxa"/>
          </w:tcPr>
          <w:p w14:paraId="56A614E8" w14:textId="77777777" w:rsidR="00B5160F" w:rsidRPr="008C64A6" w:rsidRDefault="00B5160F" w:rsidP="00D37272">
            <w:pPr>
              <w:jc w:val="center"/>
              <w:rPr>
                <w:rFonts w:cs="Arial"/>
                <w:b/>
                <w:sz w:val="16"/>
                <w:szCs w:val="16"/>
              </w:rPr>
            </w:pPr>
            <w:r w:rsidRPr="008C64A6">
              <w:rPr>
                <w:rFonts w:cs="Arial"/>
                <w:b/>
                <w:sz w:val="16"/>
                <w:szCs w:val="16"/>
              </w:rPr>
              <w:t>Target</w:t>
            </w:r>
          </w:p>
        </w:tc>
      </w:tr>
      <w:tr w:rsidR="00B5160F" w14:paraId="49C9B8FC" w14:textId="77777777" w:rsidTr="00D37272">
        <w:tc>
          <w:tcPr>
            <w:tcW w:w="3519" w:type="dxa"/>
          </w:tcPr>
          <w:p w14:paraId="21290C56" w14:textId="77777777" w:rsidR="00B5160F" w:rsidRDefault="00B5160F" w:rsidP="00D37272">
            <w:pPr>
              <w:rPr>
                <w:rFonts w:cs="Arial"/>
                <w:sz w:val="16"/>
                <w:szCs w:val="16"/>
              </w:rPr>
            </w:pPr>
            <w:r>
              <w:rPr>
                <w:rFonts w:cs="Arial"/>
                <w:sz w:val="16"/>
                <w:szCs w:val="16"/>
              </w:rPr>
              <w:t xml:space="preserve">1. </w:t>
            </w:r>
            <w:r w:rsidRPr="009F4D98">
              <w:rPr>
                <w:rFonts w:cs="Arial"/>
                <w:sz w:val="16"/>
                <w:szCs w:val="16"/>
              </w:rPr>
              <w:t>Percentage of households facing impoverishment due to health expenditure</w:t>
            </w:r>
          </w:p>
        </w:tc>
        <w:tc>
          <w:tcPr>
            <w:tcW w:w="1913" w:type="dxa"/>
          </w:tcPr>
          <w:p w14:paraId="3ECB0946" w14:textId="77777777" w:rsidR="00B5160F" w:rsidRDefault="00B5160F" w:rsidP="00D37272">
            <w:pPr>
              <w:rPr>
                <w:rFonts w:cs="Arial"/>
                <w:sz w:val="16"/>
                <w:szCs w:val="16"/>
              </w:rPr>
            </w:pPr>
            <w:r w:rsidRPr="00B751A9">
              <w:rPr>
                <w:rFonts w:cs="Arial"/>
                <w:sz w:val="16"/>
                <w:szCs w:val="16"/>
              </w:rPr>
              <w:t>One of the key UHC indica</w:t>
            </w:r>
            <w:r>
              <w:rPr>
                <w:rFonts w:cs="Arial"/>
                <w:sz w:val="16"/>
                <w:szCs w:val="16"/>
              </w:rPr>
              <w:t>tors, shows financial protection - Impact</w:t>
            </w:r>
          </w:p>
        </w:tc>
        <w:tc>
          <w:tcPr>
            <w:tcW w:w="1124" w:type="dxa"/>
          </w:tcPr>
          <w:p w14:paraId="0E2F8798" w14:textId="77777777" w:rsidR="00B5160F" w:rsidRDefault="00B5160F" w:rsidP="00D37272">
            <w:pPr>
              <w:jc w:val="center"/>
              <w:rPr>
                <w:rFonts w:cs="Arial"/>
                <w:sz w:val="16"/>
                <w:szCs w:val="16"/>
              </w:rPr>
            </w:pPr>
            <w:r>
              <w:rPr>
                <w:rFonts w:cs="Arial"/>
                <w:sz w:val="16"/>
                <w:szCs w:val="16"/>
              </w:rPr>
              <w:t>HBS</w:t>
            </w:r>
          </w:p>
        </w:tc>
        <w:tc>
          <w:tcPr>
            <w:tcW w:w="1124" w:type="dxa"/>
          </w:tcPr>
          <w:p w14:paraId="5071786E" w14:textId="77777777" w:rsidR="00B5160F" w:rsidRDefault="00B5160F" w:rsidP="00D37272">
            <w:pPr>
              <w:jc w:val="center"/>
              <w:rPr>
                <w:rFonts w:cs="Arial"/>
                <w:sz w:val="16"/>
                <w:szCs w:val="16"/>
              </w:rPr>
            </w:pPr>
            <w:r>
              <w:rPr>
                <w:rFonts w:cs="Arial"/>
                <w:sz w:val="16"/>
                <w:szCs w:val="16"/>
              </w:rPr>
              <w:t>1.0%</w:t>
            </w:r>
          </w:p>
        </w:tc>
        <w:tc>
          <w:tcPr>
            <w:tcW w:w="1186" w:type="dxa"/>
          </w:tcPr>
          <w:p w14:paraId="2C26063A" w14:textId="77777777" w:rsidR="00B5160F" w:rsidRDefault="00B5160F" w:rsidP="00D37272">
            <w:pPr>
              <w:jc w:val="center"/>
              <w:rPr>
                <w:rFonts w:cs="Arial"/>
                <w:sz w:val="16"/>
                <w:szCs w:val="16"/>
              </w:rPr>
            </w:pPr>
            <w:r>
              <w:rPr>
                <w:rFonts w:cs="Arial"/>
                <w:sz w:val="16"/>
                <w:szCs w:val="16"/>
              </w:rPr>
              <w:t>0.0%</w:t>
            </w:r>
          </w:p>
        </w:tc>
      </w:tr>
      <w:tr w:rsidR="00B5160F" w14:paraId="7EE5273A" w14:textId="77777777" w:rsidTr="00D37272">
        <w:tc>
          <w:tcPr>
            <w:tcW w:w="3519" w:type="dxa"/>
          </w:tcPr>
          <w:p w14:paraId="5ACA7430" w14:textId="77777777" w:rsidR="00B5160F" w:rsidRDefault="00B5160F" w:rsidP="00D37272">
            <w:pPr>
              <w:rPr>
                <w:rFonts w:cs="Arial"/>
                <w:sz w:val="16"/>
                <w:szCs w:val="16"/>
              </w:rPr>
            </w:pPr>
            <w:r>
              <w:rPr>
                <w:rFonts w:cs="Arial"/>
                <w:sz w:val="16"/>
                <w:szCs w:val="16"/>
              </w:rPr>
              <w:t xml:space="preserve">2. </w:t>
            </w:r>
            <w:r w:rsidRPr="009F4D98">
              <w:rPr>
                <w:rFonts w:cs="Arial"/>
                <w:sz w:val="16"/>
                <w:szCs w:val="16"/>
              </w:rPr>
              <w:t>Percentage of households facing catastrophic health expenditure</w:t>
            </w:r>
          </w:p>
        </w:tc>
        <w:tc>
          <w:tcPr>
            <w:tcW w:w="1913" w:type="dxa"/>
          </w:tcPr>
          <w:p w14:paraId="23D82AB5" w14:textId="77777777" w:rsidR="00B5160F" w:rsidRDefault="00B5160F" w:rsidP="00D37272">
            <w:pPr>
              <w:rPr>
                <w:rFonts w:cs="Arial"/>
                <w:sz w:val="16"/>
                <w:szCs w:val="16"/>
              </w:rPr>
            </w:pPr>
            <w:r w:rsidRPr="00B751A9">
              <w:rPr>
                <w:rFonts w:cs="Arial"/>
                <w:sz w:val="16"/>
                <w:szCs w:val="16"/>
              </w:rPr>
              <w:t>One of the key UHC indica</w:t>
            </w:r>
            <w:r>
              <w:rPr>
                <w:rFonts w:cs="Arial"/>
                <w:sz w:val="16"/>
                <w:szCs w:val="16"/>
              </w:rPr>
              <w:t>tors, shows financial protection - Impact</w:t>
            </w:r>
          </w:p>
        </w:tc>
        <w:tc>
          <w:tcPr>
            <w:tcW w:w="1124" w:type="dxa"/>
          </w:tcPr>
          <w:p w14:paraId="36EB305B" w14:textId="77777777" w:rsidR="00B5160F" w:rsidRDefault="00B5160F" w:rsidP="00D37272">
            <w:pPr>
              <w:jc w:val="center"/>
              <w:rPr>
                <w:rFonts w:cs="Arial"/>
                <w:sz w:val="16"/>
                <w:szCs w:val="16"/>
              </w:rPr>
            </w:pPr>
            <w:r>
              <w:rPr>
                <w:rFonts w:cs="Arial"/>
                <w:sz w:val="16"/>
                <w:szCs w:val="16"/>
              </w:rPr>
              <w:t>HBS</w:t>
            </w:r>
          </w:p>
        </w:tc>
        <w:tc>
          <w:tcPr>
            <w:tcW w:w="1124" w:type="dxa"/>
          </w:tcPr>
          <w:p w14:paraId="77AADB49" w14:textId="77777777" w:rsidR="00B5160F" w:rsidRDefault="00B5160F" w:rsidP="00D37272">
            <w:pPr>
              <w:jc w:val="center"/>
              <w:rPr>
                <w:rFonts w:cs="Arial"/>
                <w:sz w:val="16"/>
                <w:szCs w:val="16"/>
              </w:rPr>
            </w:pPr>
            <w:r>
              <w:rPr>
                <w:rFonts w:cs="Arial"/>
                <w:sz w:val="16"/>
                <w:szCs w:val="16"/>
              </w:rPr>
              <w:t>2.0%</w:t>
            </w:r>
          </w:p>
        </w:tc>
        <w:tc>
          <w:tcPr>
            <w:tcW w:w="1186" w:type="dxa"/>
          </w:tcPr>
          <w:p w14:paraId="70AB839E" w14:textId="77777777" w:rsidR="00B5160F" w:rsidRDefault="00B5160F" w:rsidP="00D37272">
            <w:pPr>
              <w:jc w:val="center"/>
              <w:rPr>
                <w:rFonts w:cs="Arial"/>
                <w:sz w:val="16"/>
                <w:szCs w:val="16"/>
              </w:rPr>
            </w:pPr>
            <w:r>
              <w:rPr>
                <w:rFonts w:cs="Arial"/>
                <w:sz w:val="16"/>
                <w:szCs w:val="16"/>
              </w:rPr>
              <w:t>0.0%</w:t>
            </w:r>
          </w:p>
        </w:tc>
      </w:tr>
      <w:tr w:rsidR="00B5160F" w14:paraId="0B36B904" w14:textId="77777777" w:rsidTr="00D37272">
        <w:tc>
          <w:tcPr>
            <w:tcW w:w="3519" w:type="dxa"/>
          </w:tcPr>
          <w:p w14:paraId="381ECC63" w14:textId="77777777" w:rsidR="00B5160F" w:rsidRPr="009F4D98" w:rsidRDefault="00B5160F" w:rsidP="00D37272">
            <w:pPr>
              <w:rPr>
                <w:rFonts w:cs="Arial"/>
                <w:sz w:val="16"/>
                <w:szCs w:val="16"/>
              </w:rPr>
            </w:pPr>
            <w:r>
              <w:rPr>
                <w:rFonts w:cs="Arial"/>
                <w:sz w:val="16"/>
                <w:szCs w:val="16"/>
              </w:rPr>
              <w:t xml:space="preserve">3. </w:t>
            </w:r>
            <w:r w:rsidRPr="009F4D98">
              <w:rPr>
                <w:rFonts w:cs="Arial"/>
                <w:sz w:val="16"/>
                <w:szCs w:val="16"/>
              </w:rPr>
              <w:t>Percentage of government expenditures allocated to health in total government expenditures</w:t>
            </w:r>
          </w:p>
        </w:tc>
        <w:tc>
          <w:tcPr>
            <w:tcW w:w="1913" w:type="dxa"/>
          </w:tcPr>
          <w:p w14:paraId="1093D699" w14:textId="77777777" w:rsidR="00B5160F" w:rsidRPr="009F4D98" w:rsidRDefault="00B5160F" w:rsidP="00D37272">
            <w:pPr>
              <w:rPr>
                <w:rFonts w:cs="Arial"/>
                <w:sz w:val="16"/>
                <w:szCs w:val="16"/>
              </w:rPr>
            </w:pPr>
            <w:r>
              <w:rPr>
                <w:rFonts w:cs="Arial"/>
                <w:sz w:val="16"/>
                <w:szCs w:val="16"/>
              </w:rPr>
              <w:t xml:space="preserve">Indicates </w:t>
            </w:r>
            <w:proofErr w:type="spellStart"/>
            <w:r>
              <w:rPr>
                <w:rFonts w:cs="Arial"/>
                <w:sz w:val="16"/>
                <w:szCs w:val="16"/>
              </w:rPr>
              <w:t>Gov</w:t>
            </w:r>
            <w:proofErr w:type="spellEnd"/>
            <w:r w:rsidRPr="0021665A">
              <w:rPr>
                <w:rFonts w:cs="Arial"/>
                <w:sz w:val="16"/>
                <w:szCs w:val="16"/>
              </w:rPr>
              <w:t xml:space="preserve"> commitment to health. </w:t>
            </w:r>
          </w:p>
        </w:tc>
        <w:tc>
          <w:tcPr>
            <w:tcW w:w="1124" w:type="dxa"/>
          </w:tcPr>
          <w:p w14:paraId="129C5CE3" w14:textId="77777777" w:rsidR="00B5160F" w:rsidRDefault="00B5160F" w:rsidP="00D37272">
            <w:pPr>
              <w:jc w:val="center"/>
              <w:rPr>
                <w:rFonts w:cs="Arial"/>
                <w:sz w:val="16"/>
                <w:szCs w:val="16"/>
              </w:rPr>
            </w:pPr>
            <w:r>
              <w:rPr>
                <w:rFonts w:cs="Arial"/>
                <w:sz w:val="16"/>
                <w:szCs w:val="16"/>
              </w:rPr>
              <w:t>NHA</w:t>
            </w:r>
          </w:p>
        </w:tc>
        <w:tc>
          <w:tcPr>
            <w:tcW w:w="1124" w:type="dxa"/>
          </w:tcPr>
          <w:p w14:paraId="13A437E0" w14:textId="77777777" w:rsidR="00B5160F" w:rsidRPr="009F4D98" w:rsidRDefault="00B5160F" w:rsidP="00D37272">
            <w:pPr>
              <w:jc w:val="center"/>
              <w:rPr>
                <w:rFonts w:cs="Arial"/>
                <w:sz w:val="16"/>
                <w:szCs w:val="16"/>
              </w:rPr>
            </w:pPr>
            <w:r>
              <w:rPr>
                <w:rFonts w:cs="Arial"/>
                <w:sz w:val="16"/>
                <w:szCs w:val="16"/>
              </w:rPr>
              <w:t>6.5%</w:t>
            </w:r>
          </w:p>
        </w:tc>
        <w:tc>
          <w:tcPr>
            <w:tcW w:w="1186" w:type="dxa"/>
          </w:tcPr>
          <w:p w14:paraId="1E0043D3" w14:textId="2A08E813" w:rsidR="00B5160F" w:rsidRPr="009F4D98" w:rsidRDefault="00B5160F" w:rsidP="001F026B">
            <w:pPr>
              <w:jc w:val="center"/>
              <w:rPr>
                <w:rFonts w:cs="Arial"/>
                <w:sz w:val="16"/>
                <w:szCs w:val="16"/>
              </w:rPr>
            </w:pPr>
            <w:r>
              <w:rPr>
                <w:rFonts w:cs="Arial"/>
                <w:sz w:val="16"/>
                <w:szCs w:val="16"/>
              </w:rPr>
              <w:t>1</w:t>
            </w:r>
            <w:r w:rsidR="001F026B">
              <w:rPr>
                <w:rFonts w:cs="Arial"/>
                <w:sz w:val="16"/>
                <w:szCs w:val="16"/>
              </w:rPr>
              <w:t>3</w:t>
            </w:r>
            <w:r>
              <w:rPr>
                <w:rFonts w:cs="Arial"/>
                <w:sz w:val="16"/>
                <w:szCs w:val="16"/>
              </w:rPr>
              <w:t>.0%</w:t>
            </w:r>
          </w:p>
        </w:tc>
      </w:tr>
      <w:tr w:rsidR="00B5160F" w14:paraId="44EB5D15" w14:textId="77777777" w:rsidTr="00D37272">
        <w:tc>
          <w:tcPr>
            <w:tcW w:w="3519" w:type="dxa"/>
          </w:tcPr>
          <w:p w14:paraId="4D648D3E" w14:textId="77777777" w:rsidR="00B5160F" w:rsidRPr="009F4D98" w:rsidRDefault="00B5160F" w:rsidP="00D37272">
            <w:pPr>
              <w:rPr>
                <w:rFonts w:cs="Arial"/>
                <w:sz w:val="16"/>
                <w:szCs w:val="16"/>
              </w:rPr>
            </w:pPr>
            <w:r>
              <w:rPr>
                <w:rFonts w:cs="Arial"/>
                <w:sz w:val="16"/>
                <w:szCs w:val="16"/>
              </w:rPr>
              <w:t xml:space="preserve">4. </w:t>
            </w:r>
            <w:r w:rsidRPr="00D17EA1">
              <w:rPr>
                <w:rFonts w:cs="Arial"/>
                <w:sz w:val="16"/>
                <w:szCs w:val="16"/>
              </w:rPr>
              <w:t>Expenditures on Public Health Centers and Dispensaries as a percentage of total health expenditures</w:t>
            </w:r>
          </w:p>
        </w:tc>
        <w:tc>
          <w:tcPr>
            <w:tcW w:w="1913" w:type="dxa"/>
          </w:tcPr>
          <w:p w14:paraId="258B659B" w14:textId="77777777" w:rsidR="00B5160F" w:rsidRPr="009F4D98" w:rsidRDefault="00B5160F" w:rsidP="00D37272">
            <w:pPr>
              <w:rPr>
                <w:rFonts w:cs="Arial"/>
                <w:sz w:val="16"/>
                <w:szCs w:val="16"/>
              </w:rPr>
            </w:pPr>
            <w:r w:rsidRPr="00D17EA1">
              <w:rPr>
                <w:rFonts w:cs="Arial"/>
                <w:sz w:val="16"/>
                <w:szCs w:val="16"/>
              </w:rPr>
              <w:t>Indicates allocative efficiency: strengthening primary</w:t>
            </w:r>
            <w:r>
              <w:rPr>
                <w:rFonts w:cs="Arial"/>
                <w:sz w:val="16"/>
                <w:szCs w:val="16"/>
              </w:rPr>
              <w:t>/lower level</w:t>
            </w:r>
            <w:r w:rsidRPr="00D17EA1">
              <w:rPr>
                <w:rFonts w:cs="Arial"/>
                <w:sz w:val="16"/>
                <w:szCs w:val="16"/>
              </w:rPr>
              <w:t xml:space="preserve"> care </w:t>
            </w:r>
          </w:p>
        </w:tc>
        <w:tc>
          <w:tcPr>
            <w:tcW w:w="1124" w:type="dxa"/>
          </w:tcPr>
          <w:p w14:paraId="6FC5BC3B" w14:textId="77777777" w:rsidR="00B5160F" w:rsidRDefault="00B5160F" w:rsidP="00D37272">
            <w:pPr>
              <w:jc w:val="center"/>
              <w:rPr>
                <w:rFonts w:cs="Arial"/>
                <w:sz w:val="16"/>
                <w:szCs w:val="16"/>
              </w:rPr>
            </w:pPr>
            <w:r>
              <w:rPr>
                <w:rFonts w:cs="Arial"/>
                <w:sz w:val="16"/>
                <w:szCs w:val="16"/>
              </w:rPr>
              <w:t>NHA</w:t>
            </w:r>
          </w:p>
        </w:tc>
        <w:tc>
          <w:tcPr>
            <w:tcW w:w="1124" w:type="dxa"/>
          </w:tcPr>
          <w:p w14:paraId="0FD303DF" w14:textId="77777777" w:rsidR="00B5160F" w:rsidRPr="009F4D98" w:rsidRDefault="00B5160F" w:rsidP="00D37272">
            <w:pPr>
              <w:jc w:val="center"/>
              <w:rPr>
                <w:rFonts w:cs="Arial"/>
                <w:sz w:val="16"/>
                <w:szCs w:val="16"/>
              </w:rPr>
            </w:pPr>
            <w:r>
              <w:rPr>
                <w:rFonts w:cs="Arial"/>
                <w:sz w:val="16"/>
                <w:szCs w:val="16"/>
              </w:rPr>
              <w:t>18.1%</w:t>
            </w:r>
          </w:p>
        </w:tc>
        <w:tc>
          <w:tcPr>
            <w:tcW w:w="1186" w:type="dxa"/>
          </w:tcPr>
          <w:p w14:paraId="2D482CCC" w14:textId="77777777" w:rsidR="00B5160F" w:rsidRPr="009F4D98" w:rsidRDefault="00B5160F" w:rsidP="00D37272">
            <w:pPr>
              <w:jc w:val="center"/>
              <w:rPr>
                <w:rFonts w:cs="Arial"/>
                <w:sz w:val="16"/>
                <w:szCs w:val="16"/>
              </w:rPr>
            </w:pPr>
            <w:r>
              <w:rPr>
                <w:rFonts w:cs="Arial"/>
                <w:sz w:val="16"/>
                <w:szCs w:val="16"/>
              </w:rPr>
              <w:t>30.0%</w:t>
            </w:r>
          </w:p>
        </w:tc>
      </w:tr>
      <w:tr w:rsidR="00B5160F" w14:paraId="19C3C895" w14:textId="77777777" w:rsidTr="00D37272">
        <w:tc>
          <w:tcPr>
            <w:tcW w:w="3519" w:type="dxa"/>
          </w:tcPr>
          <w:p w14:paraId="145ED9B4" w14:textId="481A53C6" w:rsidR="00B5160F" w:rsidRPr="009F4D98" w:rsidRDefault="00B5160F" w:rsidP="00D37272">
            <w:pPr>
              <w:rPr>
                <w:rFonts w:cs="Arial"/>
                <w:sz w:val="16"/>
                <w:szCs w:val="16"/>
              </w:rPr>
            </w:pPr>
            <w:r>
              <w:rPr>
                <w:rFonts w:cs="Arial"/>
                <w:sz w:val="16"/>
                <w:szCs w:val="16"/>
              </w:rPr>
              <w:t>5. Outpatient visits by quintile</w:t>
            </w:r>
            <w:r w:rsidR="002E08BC">
              <w:rPr>
                <w:rFonts w:cs="Arial"/>
                <w:sz w:val="16"/>
                <w:szCs w:val="16"/>
              </w:rPr>
              <w:t xml:space="preserve"> (disaggregated by public and private providers)</w:t>
            </w:r>
          </w:p>
        </w:tc>
        <w:tc>
          <w:tcPr>
            <w:tcW w:w="1913" w:type="dxa"/>
          </w:tcPr>
          <w:p w14:paraId="15D29786" w14:textId="77777777" w:rsidR="00B5160F" w:rsidRPr="009F4D98" w:rsidRDefault="00B5160F" w:rsidP="00D37272">
            <w:pPr>
              <w:rPr>
                <w:rFonts w:cs="Arial"/>
                <w:sz w:val="16"/>
                <w:szCs w:val="16"/>
              </w:rPr>
            </w:pPr>
            <w:r>
              <w:rPr>
                <w:rFonts w:cs="Arial"/>
                <w:sz w:val="16"/>
                <w:szCs w:val="16"/>
              </w:rPr>
              <w:t>Indicates equity in coverage</w:t>
            </w:r>
          </w:p>
        </w:tc>
        <w:tc>
          <w:tcPr>
            <w:tcW w:w="1124" w:type="dxa"/>
          </w:tcPr>
          <w:p w14:paraId="4B0BADF2" w14:textId="77777777" w:rsidR="00B5160F" w:rsidRPr="009F4D98" w:rsidRDefault="00B5160F" w:rsidP="00D37272">
            <w:pPr>
              <w:jc w:val="center"/>
              <w:rPr>
                <w:rFonts w:cs="Arial"/>
                <w:sz w:val="16"/>
                <w:szCs w:val="16"/>
              </w:rPr>
            </w:pPr>
            <w:r>
              <w:rPr>
                <w:rFonts w:cs="Arial"/>
                <w:sz w:val="16"/>
                <w:szCs w:val="16"/>
              </w:rPr>
              <w:t>HFS</w:t>
            </w:r>
          </w:p>
        </w:tc>
        <w:tc>
          <w:tcPr>
            <w:tcW w:w="1124" w:type="dxa"/>
          </w:tcPr>
          <w:p w14:paraId="1A1CF495" w14:textId="77777777" w:rsidR="00B5160F" w:rsidRPr="009F4D98" w:rsidRDefault="00B5160F" w:rsidP="00D37272">
            <w:pPr>
              <w:jc w:val="center"/>
              <w:rPr>
                <w:rFonts w:cs="Arial"/>
                <w:sz w:val="16"/>
                <w:szCs w:val="16"/>
              </w:rPr>
            </w:pPr>
          </w:p>
        </w:tc>
        <w:tc>
          <w:tcPr>
            <w:tcW w:w="1186" w:type="dxa"/>
          </w:tcPr>
          <w:p w14:paraId="63DFBF89" w14:textId="77777777" w:rsidR="00B5160F" w:rsidRPr="009F4D98" w:rsidRDefault="00B5160F" w:rsidP="00D37272">
            <w:pPr>
              <w:jc w:val="center"/>
              <w:rPr>
                <w:rFonts w:cs="Arial"/>
                <w:sz w:val="16"/>
                <w:szCs w:val="16"/>
              </w:rPr>
            </w:pPr>
          </w:p>
        </w:tc>
      </w:tr>
      <w:tr w:rsidR="00B5160F" w14:paraId="3007C3AB" w14:textId="77777777" w:rsidTr="00D37272">
        <w:tc>
          <w:tcPr>
            <w:tcW w:w="3519" w:type="dxa"/>
          </w:tcPr>
          <w:p w14:paraId="06F2BF7E" w14:textId="350CA01B" w:rsidR="00B5160F" w:rsidRDefault="00B5160F" w:rsidP="00D37272">
            <w:pPr>
              <w:rPr>
                <w:rFonts w:cs="Arial"/>
                <w:sz w:val="16"/>
                <w:szCs w:val="16"/>
              </w:rPr>
            </w:pPr>
            <w:r>
              <w:rPr>
                <w:rFonts w:cs="Arial"/>
                <w:sz w:val="16"/>
                <w:szCs w:val="16"/>
              </w:rPr>
              <w:t>6. Proportion of population that has access to essential health services as outlined in standard MBP, by quintile</w:t>
            </w:r>
            <w:r w:rsidR="002E08BC">
              <w:rPr>
                <w:rFonts w:cs="Arial"/>
                <w:sz w:val="16"/>
                <w:szCs w:val="16"/>
              </w:rPr>
              <w:t xml:space="preserve"> (and also disaggregated by public and private providers)</w:t>
            </w:r>
          </w:p>
        </w:tc>
        <w:tc>
          <w:tcPr>
            <w:tcW w:w="1913" w:type="dxa"/>
          </w:tcPr>
          <w:p w14:paraId="29A90391" w14:textId="77777777" w:rsidR="00B5160F" w:rsidRDefault="00B5160F" w:rsidP="00D37272">
            <w:pPr>
              <w:rPr>
                <w:rFonts w:cs="Arial"/>
                <w:sz w:val="16"/>
                <w:szCs w:val="16"/>
              </w:rPr>
            </w:pPr>
            <w:r>
              <w:rPr>
                <w:rFonts w:cs="Arial"/>
                <w:sz w:val="16"/>
                <w:szCs w:val="16"/>
              </w:rPr>
              <w:t>Indicates equity in coverage by MBP</w:t>
            </w:r>
          </w:p>
        </w:tc>
        <w:tc>
          <w:tcPr>
            <w:tcW w:w="1124" w:type="dxa"/>
          </w:tcPr>
          <w:p w14:paraId="53FA8D65" w14:textId="77777777" w:rsidR="00B5160F" w:rsidRDefault="00B5160F" w:rsidP="00D37272">
            <w:pPr>
              <w:jc w:val="center"/>
              <w:rPr>
                <w:rFonts w:cs="Arial"/>
                <w:sz w:val="16"/>
                <w:szCs w:val="16"/>
              </w:rPr>
            </w:pPr>
            <w:r>
              <w:rPr>
                <w:rFonts w:cs="Arial"/>
                <w:sz w:val="16"/>
                <w:szCs w:val="16"/>
              </w:rPr>
              <w:t>HBS</w:t>
            </w:r>
          </w:p>
        </w:tc>
        <w:tc>
          <w:tcPr>
            <w:tcW w:w="1124" w:type="dxa"/>
          </w:tcPr>
          <w:p w14:paraId="4E0F2C9D" w14:textId="77777777" w:rsidR="00B5160F" w:rsidRPr="009F4D98" w:rsidRDefault="00B5160F" w:rsidP="00D37272">
            <w:pPr>
              <w:jc w:val="center"/>
              <w:rPr>
                <w:rFonts w:cs="Arial"/>
                <w:sz w:val="16"/>
                <w:szCs w:val="16"/>
              </w:rPr>
            </w:pPr>
            <w:r>
              <w:rPr>
                <w:rFonts w:cs="Arial"/>
                <w:sz w:val="16"/>
                <w:szCs w:val="16"/>
              </w:rPr>
              <w:t>0.0%</w:t>
            </w:r>
          </w:p>
        </w:tc>
        <w:tc>
          <w:tcPr>
            <w:tcW w:w="1186" w:type="dxa"/>
          </w:tcPr>
          <w:p w14:paraId="372F6378" w14:textId="77777777" w:rsidR="00B5160F" w:rsidRPr="009F4D98" w:rsidRDefault="00B5160F" w:rsidP="00D37272">
            <w:pPr>
              <w:jc w:val="center"/>
              <w:rPr>
                <w:rFonts w:cs="Arial"/>
                <w:sz w:val="16"/>
                <w:szCs w:val="16"/>
              </w:rPr>
            </w:pPr>
            <w:r>
              <w:rPr>
                <w:rFonts w:cs="Arial"/>
                <w:sz w:val="16"/>
                <w:szCs w:val="16"/>
              </w:rPr>
              <w:t>50.0%</w:t>
            </w:r>
          </w:p>
        </w:tc>
      </w:tr>
    </w:tbl>
    <w:p w14:paraId="2EC3162D" w14:textId="77777777" w:rsidR="002E08BC" w:rsidRPr="002E08BC" w:rsidRDefault="002E08BC" w:rsidP="002E08BC"/>
    <w:p w14:paraId="19849DD2" w14:textId="0FB402D5" w:rsidR="00B5160F" w:rsidRDefault="00B5160F" w:rsidP="008F2630">
      <w:pPr>
        <w:pStyle w:val="Heading2"/>
      </w:pPr>
      <w:bookmarkStart w:id="70" w:name="_Toc411949966"/>
      <w:r>
        <w:lastRenderedPageBreak/>
        <w:t>Evaluation Plan</w:t>
      </w:r>
      <w:bookmarkEnd w:id="70"/>
    </w:p>
    <w:p w14:paraId="0FA74A0C" w14:textId="77777777" w:rsidR="00B5160F" w:rsidRDefault="00B5160F" w:rsidP="00B5160F">
      <w:pPr>
        <w:spacing w:line="240" w:lineRule="auto"/>
      </w:pPr>
    </w:p>
    <w:p w14:paraId="1FD07026" w14:textId="77777777" w:rsidR="00B5160F" w:rsidRDefault="00B5160F" w:rsidP="00B5160F">
      <w:pPr>
        <w:spacing w:line="240" w:lineRule="auto"/>
      </w:pPr>
      <w:r>
        <w:t xml:space="preserve">HFS evaluation is expected to have two types of processes.  The first process is done to ensure that key stakeholders and policy-makers can assess the “visible impact” as quickly as possible.  It would allow examining policy relevant issues within a relatively short period of time at relatively low cost.  It could be done using </w:t>
      </w:r>
      <w:r w:rsidRPr="000823EF">
        <w:t xml:space="preserve">Participatory Rural </w:t>
      </w:r>
      <w:r>
        <w:t xml:space="preserve">Appraisal (PRA) methods based on three tiers:  1) beneficiaries; 2) health providers; and (3) LGAs.  One of the questions suggested for such a study even before the start of the SNHI was: What are the factors that promote high enrollment in CHF among the well performing LGAs as compared to those that are lagging behind?  This would allow other LGAs to learn and inform the enrollment process and campaign when the SNHI starts.  Other questions closely related to shorter-term realignment and start-up will also be elaborated when HFS implementation begins.  </w:t>
      </w:r>
    </w:p>
    <w:p w14:paraId="1A6B27B7" w14:textId="77777777" w:rsidR="00B5160F" w:rsidRDefault="00B5160F" w:rsidP="00B5160F">
      <w:pPr>
        <w:spacing w:line="240" w:lineRule="auto"/>
      </w:pPr>
    </w:p>
    <w:p w14:paraId="1BDF5D04" w14:textId="77777777" w:rsidR="00B5160F" w:rsidRDefault="00B5160F" w:rsidP="00B5160F">
      <w:pPr>
        <w:spacing w:line="240" w:lineRule="auto"/>
      </w:pPr>
      <w:r>
        <w:t xml:space="preserve">A more rigorous evaluation study that will look at causal relationship and provide stronger evidence of the impact of the reforms envisioned in the HFS will also be conducted.  The primary questions that will be explored are: Has the SNHI improved removed financial barriers and increased access to services among the poor?  Has the SNHI improved access to health services among those working in the informal sector?  Has SNHI improved financial risk protection for the entire population of Tanzania?  Has efficiency been increased?  Has health service utilization changed and are there differences among those insured as compared those uninsured in the health service utilization?  What is </w:t>
      </w:r>
      <w:r w:rsidRPr="00D93225">
        <w:t xml:space="preserve">SNHI impact on </w:t>
      </w:r>
      <w:r>
        <w:t xml:space="preserve">service delivery and </w:t>
      </w:r>
      <w:r w:rsidRPr="00D93225">
        <w:t xml:space="preserve">quality of care at facility level, including drug </w:t>
      </w:r>
      <w:r>
        <w:t>availability</w:t>
      </w:r>
      <w:r w:rsidRPr="00D93225">
        <w:t>?</w:t>
      </w:r>
      <w:r>
        <w:t xml:space="preserve">  Has consumer satisfaction increased and related system responsiveness measures?  The evaluation study will be designed when HFS implementation begins.   </w:t>
      </w:r>
    </w:p>
    <w:p w14:paraId="63002B82" w14:textId="77777777" w:rsidR="00B5160F" w:rsidRDefault="00B5160F" w:rsidP="00B5160F">
      <w:r>
        <w:t xml:space="preserve">  </w:t>
      </w:r>
    </w:p>
    <w:p w14:paraId="1891F7E4" w14:textId="77777777" w:rsidR="00B5160F" w:rsidRDefault="00B5160F" w:rsidP="00B5160F">
      <w:pPr>
        <w:sectPr w:rsidR="00B5160F">
          <w:pgSz w:w="12240" w:h="15840"/>
          <w:pgMar w:top="1440" w:right="1440" w:bottom="1440" w:left="1440" w:header="720" w:footer="720" w:gutter="0"/>
          <w:cols w:space="720"/>
          <w:docGrid w:linePitch="360"/>
        </w:sectPr>
      </w:pPr>
    </w:p>
    <w:p w14:paraId="32DF9B41" w14:textId="62CC1014" w:rsidR="00B5160F" w:rsidRPr="00F93642" w:rsidRDefault="004F787C" w:rsidP="00B5160F">
      <w:pPr>
        <w:jc w:val="left"/>
        <w:rPr>
          <w:b/>
        </w:rPr>
        <w:sectPr w:rsidR="00B5160F" w:rsidRPr="00F93642" w:rsidSect="00D37272">
          <w:pgSz w:w="15840" w:h="12240" w:orient="landscape"/>
          <w:pgMar w:top="720" w:right="835" w:bottom="720" w:left="720" w:header="720" w:footer="720" w:gutter="0"/>
          <w:cols w:space="720"/>
          <w:docGrid w:linePitch="360"/>
        </w:sectPr>
      </w:pPr>
      <w:r w:rsidRPr="00F93642">
        <w:rPr>
          <w:b/>
          <w:noProof/>
          <w:lang w:val="en-GB" w:eastAsia="en-GB"/>
        </w:rPr>
        <w:lastRenderedPageBreak/>
        <mc:AlternateContent>
          <mc:Choice Requires="wps">
            <w:drawing>
              <wp:anchor distT="0" distB="0" distL="114300" distR="114300" simplePos="0" relativeHeight="251668480" behindDoc="0" locked="0" layoutInCell="1" allowOverlap="1" wp14:anchorId="0F79A369" wp14:editId="4D8DC30E">
                <wp:simplePos x="0" y="0"/>
                <wp:positionH relativeFrom="column">
                  <wp:posOffset>1371600</wp:posOffset>
                </wp:positionH>
                <wp:positionV relativeFrom="paragraph">
                  <wp:posOffset>2520315</wp:posOffset>
                </wp:positionV>
                <wp:extent cx="914400" cy="1892300"/>
                <wp:effectExtent l="57150" t="38100" r="76200" b="88900"/>
                <wp:wrapNone/>
                <wp:docPr id="78" name="Rectangle 78"/>
                <wp:cNvGraphicFramePr/>
                <a:graphic xmlns:a="http://schemas.openxmlformats.org/drawingml/2006/main">
                  <a:graphicData uri="http://schemas.microsoft.com/office/word/2010/wordprocessingShape">
                    <wps:wsp>
                      <wps:cNvSpPr/>
                      <wps:spPr>
                        <a:xfrm>
                          <a:off x="0" y="0"/>
                          <a:ext cx="914400" cy="1892300"/>
                        </a:xfrm>
                        <a:prstGeom prst="rect">
                          <a:avLst/>
                        </a:prstGeom>
                      </wps:spPr>
                      <wps:style>
                        <a:lnRef idx="1">
                          <a:schemeClr val="accent4"/>
                        </a:lnRef>
                        <a:fillRef idx="2">
                          <a:schemeClr val="accent4"/>
                        </a:fillRef>
                        <a:effectRef idx="1">
                          <a:schemeClr val="accent4"/>
                        </a:effectRef>
                        <a:fontRef idx="minor">
                          <a:schemeClr val="dk1"/>
                        </a:fontRef>
                      </wps:style>
                      <wps:txbx>
                        <w:txbxContent>
                          <w:p w14:paraId="2D5CBDD0" w14:textId="0BA41838" w:rsidR="00C92C73" w:rsidRPr="00101F03" w:rsidRDefault="00C92C73" w:rsidP="004F787C">
                            <w:pPr>
                              <w:spacing w:line="240" w:lineRule="auto"/>
                              <w:jc w:val="center"/>
                              <w:rPr>
                                <w:rFonts w:cs="Arial"/>
                                <w:sz w:val="18"/>
                                <w:szCs w:val="18"/>
                              </w:rPr>
                            </w:pPr>
                            <w:r>
                              <w:rPr>
                                <w:rFonts w:cs="Arial"/>
                                <w:sz w:val="18"/>
                                <w:szCs w:val="18"/>
                              </w:rPr>
                              <w:t>Objective 2</w:t>
                            </w:r>
                            <w:r w:rsidRPr="00101F03">
                              <w:rPr>
                                <w:rFonts w:cs="Arial"/>
                                <w:sz w:val="18"/>
                                <w:szCs w:val="18"/>
                              </w:rPr>
                              <w:t xml:space="preserve">: </w:t>
                            </w:r>
                            <w:r>
                              <w:rPr>
                                <w:rFonts w:cs="Arial"/>
                                <w:sz w:val="18"/>
                                <w:szCs w:val="18"/>
                              </w:rPr>
                              <w:t>Implement a reformed SHP institutional structure with clearly defined roles and responsibility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79A369" id="Rectangle 78" o:spid="_x0000_s1063" style="position:absolute;margin-left:108pt;margin-top:198.45pt;width:1in;height:14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" fillcolor="#bfb1d0 [1623]" strokecolor="#795d9b [3047]">
                <v:fill color2="#ece7f1 [503]" rotate="t" angle="180" colors="0 #c9b5e8;22938f #d9cbee;1 #f0eaf9" focus="100%" type="gradient"/>
                <v:shadow on="t" color="black" opacity="24903f" origin=",.5" offset="0,.55556mm"/>
                <v:textbox>
                  <w:txbxContent>
                    <w:p w14:paraId="2D5CBDD0" w14:textId="0BA41838" w:rsidR="00C92C73" w:rsidRPr="00101F03" w:rsidRDefault="00C92C73" w:rsidP="004F787C">
                      <w:pPr>
                        <w:spacing w:line="240" w:lineRule="auto"/>
                        <w:jc w:val="center"/>
                        <w:rPr>
                          <w:rFonts w:cs="Arial"/>
                          <w:sz w:val="18"/>
                          <w:szCs w:val="18"/>
                        </w:rPr>
                      </w:pPr>
                      <w:r>
                        <w:rPr>
                          <w:rFonts w:cs="Arial"/>
                          <w:sz w:val="18"/>
                          <w:szCs w:val="18"/>
                        </w:rPr>
                        <w:t>Objective 2</w:t>
                      </w:r>
                      <w:r w:rsidRPr="00101F03">
                        <w:rPr>
                          <w:rFonts w:cs="Arial"/>
                          <w:sz w:val="18"/>
                          <w:szCs w:val="18"/>
                        </w:rPr>
                        <w:t xml:space="preserve">: </w:t>
                      </w:r>
                      <w:r>
                        <w:rPr>
                          <w:rFonts w:cs="Arial"/>
                          <w:sz w:val="18"/>
                          <w:szCs w:val="18"/>
                        </w:rPr>
                        <w:t>Implement a reformed SHP institutional structure with clearly defined roles and responsibility</w:t>
                      </w:r>
                    </w:p>
                  </w:txbxContent>
                </v:textbox>
              </v:rect>
            </w:pict>
          </mc:Fallback>
        </mc:AlternateContent>
      </w:r>
      <w:r w:rsidR="00B5160F" w:rsidRPr="00F93642">
        <w:rPr>
          <w:b/>
        </w:rPr>
        <w:t xml:space="preserve">Figure 8.2: </w:t>
      </w:r>
      <w:r w:rsidR="00B5160F">
        <w:rPr>
          <w:b/>
        </w:rPr>
        <w:t xml:space="preserve">Overarching </w:t>
      </w:r>
      <w:r w:rsidR="00450DDF">
        <w:rPr>
          <w:b/>
        </w:rPr>
        <w:t xml:space="preserve">HFS </w:t>
      </w:r>
      <w:r w:rsidR="00B5160F" w:rsidRPr="00F93642">
        <w:rPr>
          <w:b/>
        </w:rPr>
        <w:t xml:space="preserve">Results </w:t>
      </w:r>
      <w:r w:rsidR="00B5160F">
        <w:rPr>
          <w:b/>
        </w:rPr>
        <w:t>M</w:t>
      </w:r>
      <w:r w:rsidR="00B5160F" w:rsidRPr="00F93642">
        <w:rPr>
          <w:b/>
        </w:rPr>
        <w:t xml:space="preserve">onitoring </w:t>
      </w:r>
      <w:r w:rsidR="00B5160F">
        <w:rPr>
          <w:b/>
        </w:rPr>
        <w:t>S</w:t>
      </w:r>
      <w:r w:rsidR="00B5160F" w:rsidRPr="00F93642">
        <w:rPr>
          <w:b/>
        </w:rPr>
        <w:t>tructure</w:t>
      </w:r>
      <w:r w:rsidR="00B5160F" w:rsidRPr="00F93642">
        <w:rPr>
          <w:b/>
          <w:noProof/>
          <w:lang w:val="en-GB" w:eastAsia="en-GB"/>
        </w:rPr>
        <mc:AlternateContent>
          <mc:Choice Requires="wps">
            <w:drawing>
              <wp:anchor distT="0" distB="0" distL="114300" distR="114300" simplePos="0" relativeHeight="251730944" behindDoc="1" locked="0" layoutInCell="1" allowOverlap="1" wp14:anchorId="6CA4B8F8" wp14:editId="0658F5C9">
                <wp:simplePos x="0" y="0"/>
                <wp:positionH relativeFrom="column">
                  <wp:posOffset>170597</wp:posOffset>
                </wp:positionH>
                <wp:positionV relativeFrom="paragraph">
                  <wp:posOffset>130507</wp:posOffset>
                </wp:positionV>
                <wp:extent cx="9184924" cy="5609230"/>
                <wp:effectExtent l="0" t="0" r="16510" b="10795"/>
                <wp:wrapNone/>
                <wp:docPr id="112" name="Text Box 112"/>
                <wp:cNvGraphicFramePr/>
                <a:graphic xmlns:a="http://schemas.openxmlformats.org/drawingml/2006/main">
                  <a:graphicData uri="http://schemas.microsoft.com/office/word/2010/wordprocessingShape">
                    <wps:wsp>
                      <wps:cNvSpPr txBox="1"/>
                      <wps:spPr>
                        <a:xfrm>
                          <a:off x="0" y="0"/>
                          <a:ext cx="9184924" cy="56092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317296C" w14:textId="77777777" w:rsidR="00C92C73" w:rsidRDefault="00C92C73" w:rsidP="00B516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A4B8F8" id="Text Box 112" o:spid="_x0000_s1064" type="#_x0000_t202" style="position:absolute;margin-left:13.45pt;margin-top:10.3pt;width:723.2pt;height:441.6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" fillcolor="white [3201]" strokeweight=".5pt">
                <v:textbox>
                  <w:txbxContent>
                    <w:p w14:paraId="6317296C" w14:textId="77777777" w:rsidR="00C92C73" w:rsidRDefault="00C92C73" w:rsidP="00B5160F"/>
                  </w:txbxContent>
                </v:textbox>
              </v:shape>
            </w:pict>
          </mc:Fallback>
        </mc:AlternateContent>
      </w:r>
      <w:r w:rsidR="00B5160F" w:rsidRPr="00F93642">
        <w:rPr>
          <w:b/>
          <w:noProof/>
          <w:lang w:val="en-GB" w:eastAsia="en-GB"/>
        </w:rPr>
        <mc:AlternateContent>
          <mc:Choice Requires="wps">
            <w:drawing>
              <wp:anchor distT="0" distB="0" distL="114300" distR="114300" simplePos="0" relativeHeight="251729920" behindDoc="0" locked="0" layoutInCell="1" allowOverlap="1" wp14:anchorId="1DD9E4E2" wp14:editId="4B2E62CE">
                <wp:simplePos x="0" y="0"/>
                <wp:positionH relativeFrom="column">
                  <wp:posOffset>8891516</wp:posOffset>
                </wp:positionH>
                <wp:positionV relativeFrom="paragraph">
                  <wp:posOffset>4977481</wp:posOffset>
                </wp:positionV>
                <wp:extent cx="13648" cy="257288"/>
                <wp:effectExtent l="38100" t="0" r="62865" b="47625"/>
                <wp:wrapNone/>
                <wp:docPr id="111" name="Straight Arrow Connector 111"/>
                <wp:cNvGraphicFramePr/>
                <a:graphic xmlns:a="http://schemas.openxmlformats.org/drawingml/2006/main">
                  <a:graphicData uri="http://schemas.microsoft.com/office/word/2010/wordprocessingShape">
                    <wps:wsp>
                      <wps:cNvCnPr/>
                      <wps:spPr>
                        <a:xfrm>
                          <a:off x="0" y="0"/>
                          <a:ext cx="13648" cy="257288"/>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5AF6D616" id="Straight Arrow Connector 111" o:spid="_x0000_s1026" type="#_x0000_t32" style="position:absolute;margin-left:700.1pt;margin-top:391.95pt;width:1.05pt;height:20.25pt;z-index:251729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" strokecolor="#bc4542 [3045]">
                <v:stroke endarrow="block"/>
              </v:shape>
            </w:pict>
          </mc:Fallback>
        </mc:AlternateContent>
      </w:r>
      <w:r w:rsidR="00B5160F" w:rsidRPr="00F93642">
        <w:rPr>
          <w:b/>
          <w:noProof/>
          <w:lang w:val="en-GB" w:eastAsia="en-GB"/>
        </w:rPr>
        <mc:AlternateContent>
          <mc:Choice Requires="wps">
            <w:drawing>
              <wp:anchor distT="0" distB="0" distL="114300" distR="114300" simplePos="0" relativeHeight="251728896" behindDoc="0" locked="0" layoutInCell="1" allowOverlap="1" wp14:anchorId="4D915539" wp14:editId="5B7F441F">
                <wp:simplePos x="0" y="0"/>
                <wp:positionH relativeFrom="column">
                  <wp:posOffset>8099946</wp:posOffset>
                </wp:positionH>
                <wp:positionV relativeFrom="paragraph">
                  <wp:posOffset>4961814</wp:posOffset>
                </wp:positionV>
                <wp:extent cx="13648" cy="313899"/>
                <wp:effectExtent l="38100" t="0" r="62865" b="48260"/>
                <wp:wrapNone/>
                <wp:docPr id="110" name="Straight Arrow Connector 110"/>
                <wp:cNvGraphicFramePr/>
                <a:graphic xmlns:a="http://schemas.openxmlformats.org/drawingml/2006/main">
                  <a:graphicData uri="http://schemas.microsoft.com/office/word/2010/wordprocessingShape">
                    <wps:wsp>
                      <wps:cNvCnPr/>
                      <wps:spPr>
                        <a:xfrm>
                          <a:off x="0" y="0"/>
                          <a:ext cx="13648" cy="313899"/>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2A7EE7CA" id="Straight Arrow Connector 110" o:spid="_x0000_s1026" type="#_x0000_t32" style="position:absolute;margin-left:637.8pt;margin-top:390.7pt;width:1.05pt;height:24.7pt;z-index:251728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" strokecolor="#bc4542 [3045]">
                <v:stroke endarrow="block"/>
              </v:shape>
            </w:pict>
          </mc:Fallback>
        </mc:AlternateContent>
      </w:r>
      <w:r w:rsidR="00B5160F" w:rsidRPr="00F93642">
        <w:rPr>
          <w:b/>
          <w:noProof/>
          <w:lang w:val="en-GB" w:eastAsia="en-GB"/>
        </w:rPr>
        <mc:AlternateContent>
          <mc:Choice Requires="wps">
            <w:drawing>
              <wp:anchor distT="0" distB="0" distL="114300" distR="114300" simplePos="0" relativeHeight="251726848" behindDoc="0" locked="0" layoutInCell="1" allowOverlap="1" wp14:anchorId="3C653FFD" wp14:editId="1354A7E0">
                <wp:simplePos x="0" y="0"/>
                <wp:positionH relativeFrom="column">
                  <wp:posOffset>8154536</wp:posOffset>
                </wp:positionH>
                <wp:positionV relativeFrom="paragraph">
                  <wp:posOffset>4362279</wp:posOffset>
                </wp:positionV>
                <wp:extent cx="272956" cy="232079"/>
                <wp:effectExtent l="0" t="0" r="32385" b="34925"/>
                <wp:wrapNone/>
                <wp:docPr id="108" name="Straight Connector 108"/>
                <wp:cNvGraphicFramePr/>
                <a:graphic xmlns:a="http://schemas.openxmlformats.org/drawingml/2006/main">
                  <a:graphicData uri="http://schemas.microsoft.com/office/word/2010/wordprocessingShape">
                    <wps:wsp>
                      <wps:cNvCnPr/>
                      <wps:spPr>
                        <a:xfrm flipH="1">
                          <a:off x="0" y="0"/>
                          <a:ext cx="272956" cy="232079"/>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7CD05299" id="Straight Connector 108" o:spid="_x0000_s1026" style="position:absolute;flip:x;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42.1pt,343.5pt" to="663.6pt,3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" strokecolor="#bc4542 [3045]"/>
            </w:pict>
          </mc:Fallback>
        </mc:AlternateContent>
      </w:r>
      <w:r w:rsidR="00B5160F" w:rsidRPr="00F93642">
        <w:rPr>
          <w:b/>
          <w:noProof/>
          <w:lang w:val="en-GB" w:eastAsia="en-GB"/>
        </w:rPr>
        <mc:AlternateContent>
          <mc:Choice Requires="wps">
            <w:drawing>
              <wp:anchor distT="0" distB="0" distL="114300" distR="114300" simplePos="0" relativeHeight="251727872" behindDoc="0" locked="0" layoutInCell="1" allowOverlap="1" wp14:anchorId="31B9037C" wp14:editId="21C76DFC">
                <wp:simplePos x="0" y="0"/>
                <wp:positionH relativeFrom="column">
                  <wp:posOffset>8466133</wp:posOffset>
                </wp:positionH>
                <wp:positionV relativeFrom="paragraph">
                  <wp:posOffset>4362279</wp:posOffset>
                </wp:positionV>
                <wp:extent cx="327612" cy="202234"/>
                <wp:effectExtent l="0" t="0" r="34925" b="26670"/>
                <wp:wrapNone/>
                <wp:docPr id="109" name="Straight Connector 109"/>
                <wp:cNvGraphicFramePr/>
                <a:graphic xmlns:a="http://schemas.openxmlformats.org/drawingml/2006/main">
                  <a:graphicData uri="http://schemas.microsoft.com/office/word/2010/wordprocessingShape">
                    <wps:wsp>
                      <wps:cNvCnPr/>
                      <wps:spPr>
                        <a:xfrm>
                          <a:off x="0" y="0"/>
                          <a:ext cx="327612" cy="202234"/>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35DC8DBA" id="Straight Connector 109" o:spid="_x0000_s1026" style="position:absolute;z-index:251727872;visibility:visible;mso-wrap-style:square;mso-wrap-distance-left:9pt;mso-wrap-distance-top:0;mso-wrap-distance-right:9pt;mso-wrap-distance-bottom:0;mso-position-horizontal:absolute;mso-position-horizontal-relative:text;mso-position-vertical:absolute;mso-position-vertical-relative:text" from="666.6pt,343.5pt" to="692.4pt,35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" strokecolor="#bc4542 [3045]"/>
            </w:pict>
          </mc:Fallback>
        </mc:AlternateContent>
      </w:r>
      <w:r w:rsidR="00B5160F" w:rsidRPr="00F93642">
        <w:rPr>
          <w:b/>
          <w:noProof/>
          <w:lang w:val="en-GB" w:eastAsia="en-GB"/>
        </w:rPr>
        <mc:AlternateContent>
          <mc:Choice Requires="wps">
            <w:drawing>
              <wp:anchor distT="0" distB="0" distL="114300" distR="114300" simplePos="0" relativeHeight="251725824" behindDoc="0" locked="0" layoutInCell="1" allowOverlap="1" wp14:anchorId="7AD33063" wp14:editId="12F44FFC">
                <wp:simplePos x="0" y="0"/>
                <wp:positionH relativeFrom="column">
                  <wp:posOffset>7281081</wp:posOffset>
                </wp:positionH>
                <wp:positionV relativeFrom="paragraph">
                  <wp:posOffset>4975462</wp:posOffset>
                </wp:positionV>
                <wp:extent cx="27295" cy="272955"/>
                <wp:effectExtent l="57150" t="0" r="68580" b="51435"/>
                <wp:wrapNone/>
                <wp:docPr id="107" name="Straight Arrow Connector 107"/>
                <wp:cNvGraphicFramePr/>
                <a:graphic xmlns:a="http://schemas.openxmlformats.org/drawingml/2006/main">
                  <a:graphicData uri="http://schemas.microsoft.com/office/word/2010/wordprocessingShape">
                    <wps:wsp>
                      <wps:cNvCnPr/>
                      <wps:spPr>
                        <a:xfrm>
                          <a:off x="0" y="0"/>
                          <a:ext cx="27295" cy="272955"/>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4EE600AB" id="Straight Arrow Connector 107" o:spid="_x0000_s1026" type="#_x0000_t32" style="position:absolute;margin-left:573.3pt;margin-top:391.75pt;width:2.15pt;height:21.5pt;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" strokecolor="#bc4542 [3045]">
                <v:stroke endarrow="block"/>
              </v:shape>
            </w:pict>
          </mc:Fallback>
        </mc:AlternateContent>
      </w:r>
      <w:r w:rsidR="00B5160F" w:rsidRPr="00F93642">
        <w:rPr>
          <w:b/>
          <w:noProof/>
          <w:lang w:val="en-GB" w:eastAsia="en-GB"/>
        </w:rPr>
        <mc:AlternateContent>
          <mc:Choice Requires="wps">
            <w:drawing>
              <wp:anchor distT="0" distB="0" distL="114300" distR="114300" simplePos="0" relativeHeight="251724800" behindDoc="0" locked="0" layoutInCell="1" allowOverlap="1" wp14:anchorId="41AD405A" wp14:editId="2E8A9350">
                <wp:simplePos x="0" y="0"/>
                <wp:positionH relativeFrom="column">
                  <wp:posOffset>7307988</wp:posOffset>
                </wp:positionH>
                <wp:positionV relativeFrom="paragraph">
                  <wp:posOffset>4362279</wp:posOffset>
                </wp:positionV>
                <wp:extent cx="0" cy="203750"/>
                <wp:effectExtent l="0" t="0" r="19050" b="25400"/>
                <wp:wrapNone/>
                <wp:docPr id="106" name="Straight Connector 106"/>
                <wp:cNvGraphicFramePr/>
                <a:graphic xmlns:a="http://schemas.openxmlformats.org/drawingml/2006/main">
                  <a:graphicData uri="http://schemas.microsoft.com/office/word/2010/wordprocessingShape">
                    <wps:wsp>
                      <wps:cNvCnPr/>
                      <wps:spPr>
                        <a:xfrm>
                          <a:off x="0" y="0"/>
                          <a:ext cx="0" cy="20375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22371E40" id="Straight Connector 106" o:spid="_x0000_s1026" style="position:absolute;z-index:251724800;visibility:visible;mso-wrap-style:square;mso-wrap-distance-left:9pt;mso-wrap-distance-top:0;mso-wrap-distance-right:9pt;mso-wrap-distance-bottom:0;mso-position-horizontal:absolute;mso-position-horizontal-relative:text;mso-position-vertical:absolute;mso-position-vertical-relative:text" from="575.45pt,343.5pt" to="575.45pt,35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" strokecolor="#bc4542 [3045]"/>
            </w:pict>
          </mc:Fallback>
        </mc:AlternateContent>
      </w:r>
      <w:r w:rsidR="00B5160F" w:rsidRPr="00F93642">
        <w:rPr>
          <w:b/>
          <w:noProof/>
          <w:lang w:val="en-GB" w:eastAsia="en-GB"/>
        </w:rPr>
        <mc:AlternateContent>
          <mc:Choice Requires="wps">
            <w:drawing>
              <wp:anchor distT="0" distB="0" distL="114300" distR="114300" simplePos="0" relativeHeight="251723776" behindDoc="0" locked="0" layoutInCell="1" allowOverlap="1" wp14:anchorId="15423D01" wp14:editId="292B1A25">
                <wp:simplePos x="0" y="0"/>
                <wp:positionH relativeFrom="column">
                  <wp:posOffset>6257290</wp:posOffset>
                </wp:positionH>
                <wp:positionV relativeFrom="paragraph">
                  <wp:posOffset>4960952</wp:posOffset>
                </wp:positionV>
                <wp:extent cx="13648" cy="327546"/>
                <wp:effectExtent l="38100" t="0" r="81915" b="53975"/>
                <wp:wrapNone/>
                <wp:docPr id="105" name="Straight Arrow Connector 105"/>
                <wp:cNvGraphicFramePr/>
                <a:graphic xmlns:a="http://schemas.openxmlformats.org/drawingml/2006/main">
                  <a:graphicData uri="http://schemas.microsoft.com/office/word/2010/wordprocessingShape">
                    <wps:wsp>
                      <wps:cNvCnPr/>
                      <wps:spPr>
                        <a:xfrm>
                          <a:off x="0" y="0"/>
                          <a:ext cx="13648" cy="327546"/>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58999544" id="Straight Arrow Connector 105" o:spid="_x0000_s1026" type="#_x0000_t32" style="position:absolute;margin-left:492.7pt;margin-top:390.65pt;width:1.05pt;height:25.8pt;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" strokecolor="#bc4542 [3045]">
                <v:stroke endarrow="block"/>
              </v:shape>
            </w:pict>
          </mc:Fallback>
        </mc:AlternateContent>
      </w:r>
      <w:r w:rsidR="00B5160F" w:rsidRPr="00F93642">
        <w:rPr>
          <w:b/>
          <w:noProof/>
          <w:lang w:val="en-GB" w:eastAsia="en-GB"/>
        </w:rPr>
        <mc:AlternateContent>
          <mc:Choice Requires="wps">
            <w:drawing>
              <wp:anchor distT="0" distB="0" distL="114300" distR="114300" simplePos="0" relativeHeight="251722752" behindDoc="0" locked="0" layoutInCell="1" allowOverlap="1" wp14:anchorId="7596BB8E" wp14:editId="32A626AE">
                <wp:simplePos x="0" y="0"/>
                <wp:positionH relativeFrom="column">
                  <wp:posOffset>6242590</wp:posOffset>
                </wp:positionH>
                <wp:positionV relativeFrom="paragraph">
                  <wp:posOffset>4362279</wp:posOffset>
                </wp:positionV>
                <wp:extent cx="190" cy="256844"/>
                <wp:effectExtent l="0" t="0" r="19050" b="29210"/>
                <wp:wrapNone/>
                <wp:docPr id="104" name="Straight Connector 104"/>
                <wp:cNvGraphicFramePr/>
                <a:graphic xmlns:a="http://schemas.openxmlformats.org/drawingml/2006/main">
                  <a:graphicData uri="http://schemas.microsoft.com/office/word/2010/wordprocessingShape">
                    <wps:wsp>
                      <wps:cNvCnPr/>
                      <wps:spPr>
                        <a:xfrm flipH="1">
                          <a:off x="0" y="0"/>
                          <a:ext cx="190" cy="256844"/>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349CC115" id="Straight Connector 104" o:spid="_x0000_s1026" style="position:absolute;flip:x;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91.55pt,343.5pt" to="491.55pt,36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" strokecolor="#bc4542 [3045]"/>
            </w:pict>
          </mc:Fallback>
        </mc:AlternateContent>
      </w:r>
      <w:r w:rsidR="00B5160F" w:rsidRPr="00F93642">
        <w:rPr>
          <w:b/>
          <w:noProof/>
          <w:lang w:val="en-GB" w:eastAsia="en-GB"/>
        </w:rPr>
        <mc:AlternateContent>
          <mc:Choice Requires="wps">
            <w:drawing>
              <wp:anchor distT="0" distB="0" distL="114300" distR="114300" simplePos="0" relativeHeight="251681792" behindDoc="0" locked="0" layoutInCell="1" allowOverlap="1" wp14:anchorId="2B26B0DC" wp14:editId="065BC4FD">
                <wp:simplePos x="0" y="0"/>
                <wp:positionH relativeFrom="column">
                  <wp:posOffset>4939684</wp:posOffset>
                </wp:positionH>
                <wp:positionV relativeFrom="paragraph">
                  <wp:posOffset>4654228</wp:posOffset>
                </wp:positionV>
                <wp:extent cx="680484" cy="329610"/>
                <wp:effectExtent l="0" t="0" r="24765" b="13335"/>
                <wp:wrapNone/>
                <wp:docPr id="39" name="Rectangle 39"/>
                <wp:cNvGraphicFramePr/>
                <a:graphic xmlns:a="http://schemas.openxmlformats.org/drawingml/2006/main">
                  <a:graphicData uri="http://schemas.microsoft.com/office/word/2010/wordprocessingShape">
                    <wps:wsp>
                      <wps:cNvSpPr/>
                      <wps:spPr>
                        <a:xfrm>
                          <a:off x="0" y="0"/>
                          <a:ext cx="680484" cy="329610"/>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46B2E388" w14:textId="77777777" w:rsidR="00C92C73" w:rsidRDefault="00C92C73" w:rsidP="00B5160F">
                            <w:pPr>
                              <w:jc w:val="center"/>
                            </w:pPr>
                            <w:r>
                              <w:t>S 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B26B0DC" id="Rectangle 39" o:spid="_x0000_s1065" style="position:absolute;margin-left:388.95pt;margin-top:366.45pt;width:53.6pt;height:25.9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" fillcolor="#fbcaa2 [1625]" strokecolor="#f68c36 [3049]">
                <v:fill color2="#fdefe3 [505]" rotate="t" angle="180" colors="0 #ffbe86;22938f #ffd0aa;1 #ffebdb" focus="100%" type="gradient"/>
                <v:shadow on="t" color="black" opacity="24903f" origin=",.5" offset="0,.55556mm"/>
                <v:textbox>
                  <w:txbxContent>
                    <w:p w14:paraId="46B2E388" w14:textId="77777777" w:rsidR="00C92C73" w:rsidRDefault="00C92C73" w:rsidP="00B5160F">
                      <w:pPr>
                        <w:jc w:val="center"/>
                      </w:pPr>
                      <w:r>
                        <w:t>S 6</w:t>
                      </w:r>
                    </w:p>
                  </w:txbxContent>
                </v:textbox>
              </v:rect>
            </w:pict>
          </mc:Fallback>
        </mc:AlternateContent>
      </w:r>
      <w:r w:rsidR="00B5160F" w:rsidRPr="00F93642">
        <w:rPr>
          <w:b/>
          <w:noProof/>
          <w:lang w:val="en-GB" w:eastAsia="en-GB"/>
        </w:rPr>
        <mc:AlternateContent>
          <mc:Choice Requires="wps">
            <w:drawing>
              <wp:anchor distT="0" distB="0" distL="114300" distR="114300" simplePos="0" relativeHeight="251721728" behindDoc="0" locked="0" layoutInCell="1" allowOverlap="1" wp14:anchorId="09A0C1F4" wp14:editId="773D6F46">
                <wp:simplePos x="0" y="0"/>
                <wp:positionH relativeFrom="column">
                  <wp:posOffset>5301710</wp:posOffset>
                </wp:positionH>
                <wp:positionV relativeFrom="paragraph">
                  <wp:posOffset>5030053</wp:posOffset>
                </wp:positionV>
                <wp:extent cx="0" cy="272955"/>
                <wp:effectExtent l="76200" t="0" r="57150" b="51435"/>
                <wp:wrapNone/>
                <wp:docPr id="102" name="Straight Arrow Connector 102"/>
                <wp:cNvGraphicFramePr/>
                <a:graphic xmlns:a="http://schemas.openxmlformats.org/drawingml/2006/main">
                  <a:graphicData uri="http://schemas.microsoft.com/office/word/2010/wordprocessingShape">
                    <wps:wsp>
                      <wps:cNvCnPr/>
                      <wps:spPr>
                        <a:xfrm>
                          <a:off x="0" y="0"/>
                          <a:ext cx="0" cy="272955"/>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12542FBF" id="Straight Arrow Connector 102" o:spid="_x0000_s1026" type="#_x0000_t32" style="position:absolute;margin-left:417.45pt;margin-top:396.05pt;width:0;height:21.5pt;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" strokecolor="#bc4542 [3045]">
                <v:stroke endarrow="block"/>
              </v:shape>
            </w:pict>
          </mc:Fallback>
        </mc:AlternateContent>
      </w:r>
      <w:r w:rsidR="00B5160F" w:rsidRPr="00F93642">
        <w:rPr>
          <w:b/>
          <w:noProof/>
          <w:lang w:val="en-GB" w:eastAsia="en-GB"/>
        </w:rPr>
        <mc:AlternateContent>
          <mc:Choice Requires="wps">
            <w:drawing>
              <wp:anchor distT="0" distB="0" distL="114300" distR="114300" simplePos="0" relativeHeight="251720704" behindDoc="0" locked="0" layoutInCell="1" allowOverlap="1" wp14:anchorId="0AE2D522" wp14:editId="3B1720D7">
                <wp:simplePos x="0" y="0"/>
                <wp:positionH relativeFrom="column">
                  <wp:posOffset>5274860</wp:posOffset>
                </wp:positionH>
                <wp:positionV relativeFrom="paragraph">
                  <wp:posOffset>4402256</wp:posOffset>
                </wp:positionV>
                <wp:extent cx="0" cy="204716"/>
                <wp:effectExtent l="0" t="0" r="19050" b="24130"/>
                <wp:wrapNone/>
                <wp:docPr id="101" name="Straight Connector 101"/>
                <wp:cNvGraphicFramePr/>
                <a:graphic xmlns:a="http://schemas.openxmlformats.org/drawingml/2006/main">
                  <a:graphicData uri="http://schemas.microsoft.com/office/word/2010/wordprocessingShape">
                    <wps:wsp>
                      <wps:cNvCnPr/>
                      <wps:spPr>
                        <a:xfrm>
                          <a:off x="0" y="0"/>
                          <a:ext cx="0" cy="204716"/>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5BB4814E" id="Straight Connector 101" o:spid="_x0000_s1026" style="position:absolute;z-index:251720704;visibility:visible;mso-wrap-style:square;mso-wrap-distance-left:9pt;mso-wrap-distance-top:0;mso-wrap-distance-right:9pt;mso-wrap-distance-bottom:0;mso-position-horizontal:absolute;mso-position-horizontal-relative:text;mso-position-vertical:absolute;mso-position-vertical-relative:text" from="415.35pt,346.65pt" to="415.35pt,36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" strokecolor="#bc4542 [3045]"/>
            </w:pict>
          </mc:Fallback>
        </mc:AlternateContent>
      </w:r>
      <w:r w:rsidR="00B5160F" w:rsidRPr="00F93642">
        <w:rPr>
          <w:b/>
          <w:noProof/>
          <w:lang w:val="en-GB" w:eastAsia="en-GB"/>
        </w:rPr>
        <mc:AlternateContent>
          <mc:Choice Requires="wps">
            <w:drawing>
              <wp:anchor distT="0" distB="0" distL="114300" distR="114300" simplePos="0" relativeHeight="251719680" behindDoc="0" locked="0" layoutInCell="1" allowOverlap="1" wp14:anchorId="0153A762" wp14:editId="014914D3">
                <wp:simplePos x="0" y="0"/>
                <wp:positionH relativeFrom="column">
                  <wp:posOffset>4305869</wp:posOffset>
                </wp:positionH>
                <wp:positionV relativeFrom="paragraph">
                  <wp:posOffset>4977481</wp:posOffset>
                </wp:positionV>
                <wp:extent cx="0" cy="298232"/>
                <wp:effectExtent l="76200" t="0" r="57150" b="64135"/>
                <wp:wrapNone/>
                <wp:docPr id="100" name="Straight Arrow Connector 100"/>
                <wp:cNvGraphicFramePr/>
                <a:graphic xmlns:a="http://schemas.openxmlformats.org/drawingml/2006/main">
                  <a:graphicData uri="http://schemas.microsoft.com/office/word/2010/wordprocessingShape">
                    <wps:wsp>
                      <wps:cNvCnPr/>
                      <wps:spPr>
                        <a:xfrm>
                          <a:off x="0" y="0"/>
                          <a:ext cx="0" cy="298232"/>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29CE00A4" id="Straight Arrow Connector 100" o:spid="_x0000_s1026" type="#_x0000_t32" style="position:absolute;margin-left:339.05pt;margin-top:391.95pt;width:0;height:23.5pt;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" strokecolor="#bc4542 [3045]">
                <v:stroke endarrow="block"/>
              </v:shape>
            </w:pict>
          </mc:Fallback>
        </mc:AlternateContent>
      </w:r>
      <w:r w:rsidR="00B5160F" w:rsidRPr="00F93642">
        <w:rPr>
          <w:b/>
          <w:noProof/>
          <w:lang w:val="en-GB" w:eastAsia="en-GB"/>
        </w:rPr>
        <mc:AlternateContent>
          <mc:Choice Requires="wps">
            <w:drawing>
              <wp:anchor distT="0" distB="0" distL="114300" distR="114300" simplePos="0" relativeHeight="251718656" behindDoc="0" locked="0" layoutInCell="1" allowOverlap="1" wp14:anchorId="6BB09B4C" wp14:editId="7142A43C">
                <wp:simplePos x="0" y="0"/>
                <wp:positionH relativeFrom="column">
                  <wp:posOffset>4292221</wp:posOffset>
                </wp:positionH>
                <wp:positionV relativeFrom="paragraph">
                  <wp:posOffset>4394029</wp:posOffset>
                </wp:positionV>
                <wp:extent cx="0" cy="207617"/>
                <wp:effectExtent l="0" t="0" r="19050" b="21590"/>
                <wp:wrapNone/>
                <wp:docPr id="98" name="Straight Connector 98"/>
                <wp:cNvGraphicFramePr/>
                <a:graphic xmlns:a="http://schemas.openxmlformats.org/drawingml/2006/main">
                  <a:graphicData uri="http://schemas.microsoft.com/office/word/2010/wordprocessingShape">
                    <wps:wsp>
                      <wps:cNvCnPr/>
                      <wps:spPr>
                        <a:xfrm>
                          <a:off x="0" y="0"/>
                          <a:ext cx="0" cy="207617"/>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6009D7D6" id="Straight Connector 98" o:spid="_x0000_s1026" style="position:absolute;z-index:251718656;visibility:visible;mso-wrap-style:square;mso-wrap-distance-left:9pt;mso-wrap-distance-top:0;mso-wrap-distance-right:9pt;mso-wrap-distance-bottom:0;mso-position-horizontal:absolute;mso-position-horizontal-relative:text;mso-position-vertical:absolute;mso-position-vertical-relative:text" from="337.95pt,346pt" to="337.95pt,36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" strokecolor="#bc4542 [3045]"/>
            </w:pict>
          </mc:Fallback>
        </mc:AlternateContent>
      </w:r>
      <w:r w:rsidR="00B5160F" w:rsidRPr="00F93642">
        <w:rPr>
          <w:b/>
          <w:noProof/>
          <w:lang w:val="en-GB" w:eastAsia="en-GB"/>
        </w:rPr>
        <mc:AlternateContent>
          <mc:Choice Requires="wps">
            <w:drawing>
              <wp:anchor distT="0" distB="0" distL="114300" distR="114300" simplePos="0" relativeHeight="251717632" behindDoc="0" locked="0" layoutInCell="1" allowOverlap="1" wp14:anchorId="24A3796D" wp14:editId="2E76062B">
                <wp:simplePos x="0" y="0"/>
                <wp:positionH relativeFrom="column">
                  <wp:posOffset>3473355</wp:posOffset>
                </wp:positionH>
                <wp:positionV relativeFrom="paragraph">
                  <wp:posOffset>4975462</wp:posOffset>
                </wp:positionV>
                <wp:extent cx="0" cy="322902"/>
                <wp:effectExtent l="76200" t="0" r="76200" b="58420"/>
                <wp:wrapNone/>
                <wp:docPr id="97" name="Straight Arrow Connector 97"/>
                <wp:cNvGraphicFramePr/>
                <a:graphic xmlns:a="http://schemas.openxmlformats.org/drawingml/2006/main">
                  <a:graphicData uri="http://schemas.microsoft.com/office/word/2010/wordprocessingShape">
                    <wps:wsp>
                      <wps:cNvCnPr/>
                      <wps:spPr>
                        <a:xfrm>
                          <a:off x="0" y="0"/>
                          <a:ext cx="0" cy="322902"/>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6B1F28C6" id="Straight Arrow Connector 97" o:spid="_x0000_s1026" type="#_x0000_t32" style="position:absolute;margin-left:273.5pt;margin-top:391.75pt;width:0;height:25.45pt;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" strokecolor="#bc4542 [3045]">
                <v:stroke endarrow="block"/>
              </v:shape>
            </w:pict>
          </mc:Fallback>
        </mc:AlternateContent>
      </w:r>
      <w:r w:rsidR="00B5160F" w:rsidRPr="00F93642">
        <w:rPr>
          <w:b/>
          <w:noProof/>
          <w:lang w:val="en-GB" w:eastAsia="en-GB"/>
        </w:rPr>
        <mc:AlternateContent>
          <mc:Choice Requires="wps">
            <w:drawing>
              <wp:anchor distT="0" distB="0" distL="114300" distR="114300" simplePos="0" relativeHeight="251716608" behindDoc="0" locked="0" layoutInCell="1" allowOverlap="1" wp14:anchorId="00D7629C" wp14:editId="61EEBCFB">
                <wp:simplePos x="0" y="0"/>
                <wp:positionH relativeFrom="column">
                  <wp:posOffset>2681785</wp:posOffset>
                </wp:positionH>
                <wp:positionV relativeFrom="paragraph">
                  <wp:posOffset>4963833</wp:posOffset>
                </wp:positionV>
                <wp:extent cx="0" cy="336749"/>
                <wp:effectExtent l="76200" t="0" r="76200" b="63500"/>
                <wp:wrapNone/>
                <wp:docPr id="44" name="Straight Arrow Connector 44"/>
                <wp:cNvGraphicFramePr/>
                <a:graphic xmlns:a="http://schemas.openxmlformats.org/drawingml/2006/main">
                  <a:graphicData uri="http://schemas.microsoft.com/office/word/2010/wordprocessingShape">
                    <wps:wsp>
                      <wps:cNvCnPr/>
                      <wps:spPr>
                        <a:xfrm>
                          <a:off x="0" y="0"/>
                          <a:ext cx="0" cy="336749"/>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7F490D1A" id="Straight Arrow Connector 44" o:spid="_x0000_s1026" type="#_x0000_t32" style="position:absolute;margin-left:211.15pt;margin-top:390.85pt;width:0;height:26.5pt;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" strokecolor="#bc4542 [3045]">
                <v:stroke endarrow="block"/>
              </v:shape>
            </w:pict>
          </mc:Fallback>
        </mc:AlternateContent>
      </w:r>
      <w:r w:rsidR="00B5160F" w:rsidRPr="00F93642">
        <w:rPr>
          <w:b/>
          <w:noProof/>
          <w:lang w:val="en-GB" w:eastAsia="en-GB"/>
        </w:rPr>
        <mc:AlternateContent>
          <mc:Choice Requires="wps">
            <w:drawing>
              <wp:anchor distT="0" distB="0" distL="114300" distR="114300" simplePos="0" relativeHeight="251715584" behindDoc="0" locked="0" layoutInCell="1" allowOverlap="1" wp14:anchorId="1ED4DFE0" wp14:editId="679D4886">
                <wp:simplePos x="0" y="0"/>
                <wp:positionH relativeFrom="column">
                  <wp:posOffset>3118513</wp:posOffset>
                </wp:positionH>
                <wp:positionV relativeFrom="paragraph">
                  <wp:posOffset>4407042</wp:posOffset>
                </wp:positionV>
                <wp:extent cx="313899" cy="199930"/>
                <wp:effectExtent l="0" t="0" r="29210" b="29210"/>
                <wp:wrapNone/>
                <wp:docPr id="94" name="Straight Connector 94"/>
                <wp:cNvGraphicFramePr/>
                <a:graphic xmlns:a="http://schemas.openxmlformats.org/drawingml/2006/main">
                  <a:graphicData uri="http://schemas.microsoft.com/office/word/2010/wordprocessingShape">
                    <wps:wsp>
                      <wps:cNvCnPr/>
                      <wps:spPr>
                        <a:xfrm>
                          <a:off x="0" y="0"/>
                          <a:ext cx="313899" cy="19993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21A8A195" id="Straight Connector 94" o:spid="_x0000_s1026" style="position:absolute;z-index:251715584;visibility:visible;mso-wrap-style:square;mso-wrap-distance-left:9pt;mso-wrap-distance-top:0;mso-wrap-distance-right:9pt;mso-wrap-distance-bottom:0;mso-position-horizontal:absolute;mso-position-horizontal-relative:text;mso-position-vertical:absolute;mso-position-vertical-relative:text" from="245.55pt,347pt" to="270.25pt,36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" strokecolor="#bc4542 [3045]"/>
            </w:pict>
          </mc:Fallback>
        </mc:AlternateContent>
      </w:r>
      <w:r w:rsidR="00B5160F" w:rsidRPr="00F93642">
        <w:rPr>
          <w:b/>
          <w:noProof/>
          <w:lang w:val="en-GB" w:eastAsia="en-GB"/>
        </w:rPr>
        <mc:AlternateContent>
          <mc:Choice Requires="wps">
            <w:drawing>
              <wp:anchor distT="0" distB="0" distL="114300" distR="114300" simplePos="0" relativeHeight="251714560" behindDoc="0" locked="0" layoutInCell="1" allowOverlap="1" wp14:anchorId="17F426B5" wp14:editId="0C7DA20F">
                <wp:simplePos x="0" y="0"/>
                <wp:positionH relativeFrom="column">
                  <wp:posOffset>2709081</wp:posOffset>
                </wp:positionH>
                <wp:positionV relativeFrom="paragraph">
                  <wp:posOffset>4415904</wp:posOffset>
                </wp:positionV>
                <wp:extent cx="382137" cy="204716"/>
                <wp:effectExtent l="0" t="0" r="18415" b="24130"/>
                <wp:wrapNone/>
                <wp:docPr id="93" name="Straight Connector 93"/>
                <wp:cNvGraphicFramePr/>
                <a:graphic xmlns:a="http://schemas.openxmlformats.org/drawingml/2006/main">
                  <a:graphicData uri="http://schemas.microsoft.com/office/word/2010/wordprocessingShape">
                    <wps:wsp>
                      <wps:cNvCnPr/>
                      <wps:spPr>
                        <a:xfrm flipH="1">
                          <a:off x="0" y="0"/>
                          <a:ext cx="382137" cy="204716"/>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019BAB3E" id="Straight Connector 93" o:spid="_x0000_s1026" style="position:absolute;flip:x;z-index:251714560;visibility:visible;mso-wrap-style:square;mso-wrap-distance-left:9pt;mso-wrap-distance-top:0;mso-wrap-distance-right:9pt;mso-wrap-distance-bottom:0;mso-position-horizontal:absolute;mso-position-horizontal-relative:text;mso-position-vertical:absolute;mso-position-vertical-relative:text" from="213.3pt,347.7pt" to="243.4pt,3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" strokecolor="#bc4542 [3045]"/>
            </w:pict>
          </mc:Fallback>
        </mc:AlternateContent>
      </w:r>
      <w:r w:rsidR="00B5160F" w:rsidRPr="00F93642">
        <w:rPr>
          <w:b/>
          <w:noProof/>
          <w:lang w:val="en-GB" w:eastAsia="en-GB"/>
        </w:rPr>
        <mc:AlternateContent>
          <mc:Choice Requires="wps">
            <w:drawing>
              <wp:anchor distT="0" distB="0" distL="114300" distR="114300" simplePos="0" relativeHeight="251713536" behindDoc="0" locked="0" layoutInCell="1" allowOverlap="1" wp14:anchorId="4ABEC4AF" wp14:editId="138C4000">
                <wp:simplePos x="0" y="0"/>
                <wp:positionH relativeFrom="column">
                  <wp:posOffset>1781033</wp:posOffset>
                </wp:positionH>
                <wp:positionV relativeFrom="paragraph">
                  <wp:posOffset>4977481</wp:posOffset>
                </wp:positionV>
                <wp:extent cx="0" cy="325527"/>
                <wp:effectExtent l="76200" t="0" r="76200" b="55880"/>
                <wp:wrapNone/>
                <wp:docPr id="92" name="Straight Arrow Connector 92"/>
                <wp:cNvGraphicFramePr/>
                <a:graphic xmlns:a="http://schemas.openxmlformats.org/drawingml/2006/main">
                  <a:graphicData uri="http://schemas.microsoft.com/office/word/2010/wordprocessingShape">
                    <wps:wsp>
                      <wps:cNvCnPr/>
                      <wps:spPr>
                        <a:xfrm>
                          <a:off x="0" y="0"/>
                          <a:ext cx="0" cy="325527"/>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668F269D" id="Straight Arrow Connector 92" o:spid="_x0000_s1026" type="#_x0000_t32" style="position:absolute;margin-left:140.25pt;margin-top:391.95pt;width:0;height:25.65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" strokecolor="#bc4542 [3045]">
                <v:stroke endarrow="block"/>
              </v:shape>
            </w:pict>
          </mc:Fallback>
        </mc:AlternateContent>
      </w:r>
      <w:r w:rsidR="00B5160F" w:rsidRPr="00F93642">
        <w:rPr>
          <w:b/>
          <w:noProof/>
          <w:lang w:val="en-GB" w:eastAsia="en-GB"/>
        </w:rPr>
        <mc:AlternateContent>
          <mc:Choice Requires="wps">
            <w:drawing>
              <wp:anchor distT="0" distB="0" distL="114300" distR="114300" simplePos="0" relativeHeight="251712512" behindDoc="0" locked="0" layoutInCell="1" allowOverlap="1" wp14:anchorId="067FEBFD" wp14:editId="748CEDEC">
                <wp:simplePos x="0" y="0"/>
                <wp:positionH relativeFrom="column">
                  <wp:posOffset>1807238</wp:posOffset>
                </wp:positionH>
                <wp:positionV relativeFrom="paragraph">
                  <wp:posOffset>4443199</wp:posOffset>
                </wp:positionV>
                <wp:extent cx="0" cy="204717"/>
                <wp:effectExtent l="0" t="0" r="19050" b="24130"/>
                <wp:wrapNone/>
                <wp:docPr id="91" name="Straight Connector 91"/>
                <wp:cNvGraphicFramePr/>
                <a:graphic xmlns:a="http://schemas.openxmlformats.org/drawingml/2006/main">
                  <a:graphicData uri="http://schemas.microsoft.com/office/word/2010/wordprocessingShape">
                    <wps:wsp>
                      <wps:cNvCnPr/>
                      <wps:spPr>
                        <a:xfrm>
                          <a:off x="0" y="0"/>
                          <a:ext cx="0" cy="204717"/>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79F275B2" id="Straight Connector 91" o:spid="_x0000_s1026" style="position:absolute;z-index:251712512;visibility:visible;mso-wrap-style:square;mso-wrap-distance-left:9pt;mso-wrap-distance-top:0;mso-wrap-distance-right:9pt;mso-wrap-distance-bottom:0;mso-position-horizontal:absolute;mso-position-horizontal-relative:text;mso-position-vertical:absolute;mso-position-vertical-relative:text" from="142.3pt,349.85pt" to="142.3pt,36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" strokecolor="#bc4542 [3045]"/>
            </w:pict>
          </mc:Fallback>
        </mc:AlternateContent>
      </w:r>
      <w:r w:rsidR="00B5160F" w:rsidRPr="00F93642">
        <w:rPr>
          <w:b/>
          <w:noProof/>
          <w:lang w:val="en-GB" w:eastAsia="en-GB"/>
        </w:rPr>
        <mc:AlternateContent>
          <mc:Choice Requires="wps">
            <w:drawing>
              <wp:anchor distT="0" distB="0" distL="114300" distR="114300" simplePos="0" relativeHeight="251711488" behindDoc="0" locked="0" layoutInCell="1" allowOverlap="1" wp14:anchorId="5D906C98" wp14:editId="08A2F8C9">
                <wp:simplePos x="0" y="0"/>
                <wp:positionH relativeFrom="column">
                  <wp:posOffset>730155</wp:posOffset>
                </wp:positionH>
                <wp:positionV relativeFrom="paragraph">
                  <wp:posOffset>4977481</wp:posOffset>
                </wp:positionV>
                <wp:extent cx="0" cy="284584"/>
                <wp:effectExtent l="76200" t="0" r="57150" b="58420"/>
                <wp:wrapNone/>
                <wp:docPr id="89" name="Straight Arrow Connector 89"/>
                <wp:cNvGraphicFramePr/>
                <a:graphic xmlns:a="http://schemas.openxmlformats.org/drawingml/2006/main">
                  <a:graphicData uri="http://schemas.microsoft.com/office/word/2010/wordprocessingShape">
                    <wps:wsp>
                      <wps:cNvCnPr/>
                      <wps:spPr>
                        <a:xfrm>
                          <a:off x="0" y="0"/>
                          <a:ext cx="0" cy="284584"/>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68CC2793" id="Straight Arrow Connector 89" o:spid="_x0000_s1026" type="#_x0000_t32" style="position:absolute;margin-left:57.5pt;margin-top:391.95pt;width:0;height:22.4pt;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" strokecolor="#bc4542 [3045]">
                <v:stroke endarrow="block"/>
              </v:shape>
            </w:pict>
          </mc:Fallback>
        </mc:AlternateContent>
      </w:r>
      <w:r w:rsidR="00B5160F" w:rsidRPr="00F93642">
        <w:rPr>
          <w:b/>
          <w:noProof/>
          <w:lang w:val="en-GB" w:eastAsia="en-GB"/>
        </w:rPr>
        <mc:AlternateContent>
          <mc:Choice Requires="wps">
            <w:drawing>
              <wp:anchor distT="0" distB="0" distL="114300" distR="114300" simplePos="0" relativeHeight="251710464" behindDoc="0" locked="0" layoutInCell="1" allowOverlap="1" wp14:anchorId="6F2EEA45" wp14:editId="75DE3C32">
                <wp:simplePos x="0" y="0"/>
                <wp:positionH relativeFrom="column">
                  <wp:posOffset>743803</wp:posOffset>
                </wp:positionH>
                <wp:positionV relativeFrom="paragraph">
                  <wp:posOffset>4411165</wp:posOffset>
                </wp:positionV>
                <wp:extent cx="0" cy="195807"/>
                <wp:effectExtent l="0" t="0" r="19050" b="33020"/>
                <wp:wrapNone/>
                <wp:docPr id="88" name="Straight Connector 88"/>
                <wp:cNvGraphicFramePr/>
                <a:graphic xmlns:a="http://schemas.openxmlformats.org/drawingml/2006/main">
                  <a:graphicData uri="http://schemas.microsoft.com/office/word/2010/wordprocessingShape">
                    <wps:wsp>
                      <wps:cNvCnPr/>
                      <wps:spPr>
                        <a:xfrm>
                          <a:off x="0" y="0"/>
                          <a:ext cx="0" cy="195807"/>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4348A858" id="Straight Connector 88"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58.55pt,347.35pt" to="58.55pt,36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" strokecolor="#bc4542 [3045]"/>
            </w:pict>
          </mc:Fallback>
        </mc:AlternateContent>
      </w:r>
      <w:r w:rsidR="00B5160F" w:rsidRPr="00F93642">
        <w:rPr>
          <w:b/>
          <w:noProof/>
          <w:lang w:val="en-GB" w:eastAsia="en-GB"/>
        </w:rPr>
        <mc:AlternateContent>
          <mc:Choice Requires="wps">
            <w:drawing>
              <wp:anchor distT="0" distB="0" distL="114300" distR="114300" simplePos="0" relativeHeight="251667456" behindDoc="0" locked="0" layoutInCell="1" allowOverlap="1" wp14:anchorId="69B82FFD" wp14:editId="5A15F76B">
                <wp:simplePos x="0" y="0"/>
                <wp:positionH relativeFrom="column">
                  <wp:posOffset>1442720</wp:posOffset>
                </wp:positionH>
                <wp:positionV relativeFrom="paragraph">
                  <wp:posOffset>4652949</wp:posOffset>
                </wp:positionV>
                <wp:extent cx="680484" cy="329610"/>
                <wp:effectExtent l="0" t="0" r="24765" b="13335"/>
                <wp:wrapNone/>
                <wp:docPr id="47" name="Rectangle 47"/>
                <wp:cNvGraphicFramePr/>
                <a:graphic xmlns:a="http://schemas.openxmlformats.org/drawingml/2006/main">
                  <a:graphicData uri="http://schemas.microsoft.com/office/word/2010/wordprocessingShape">
                    <wps:wsp>
                      <wps:cNvSpPr/>
                      <wps:spPr>
                        <a:xfrm>
                          <a:off x="0" y="0"/>
                          <a:ext cx="680484" cy="329610"/>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579999AD" w14:textId="77777777" w:rsidR="00C92C73" w:rsidRDefault="00C92C73" w:rsidP="00B5160F">
                            <w:pPr>
                              <w:jc w:val="center"/>
                            </w:pPr>
                            <w:r>
                              <w:t>S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9B82FFD" id="Rectangle 47" o:spid="_x0000_s1066" style="position:absolute;margin-left:113.6pt;margin-top:366.35pt;width:53.6pt;height:25.9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" fillcolor="#fbcaa2 [1625]" strokecolor="#f68c36 [3049]">
                <v:fill color2="#fdefe3 [505]" rotate="t" angle="180" colors="0 #ffbe86;22938f #ffd0aa;1 #ffebdb" focus="100%" type="gradient"/>
                <v:shadow on="t" color="black" opacity="24903f" origin=",.5" offset="0,.55556mm"/>
                <v:textbox>
                  <w:txbxContent>
                    <w:p w14:paraId="579999AD" w14:textId="77777777" w:rsidR="00C92C73" w:rsidRDefault="00C92C73" w:rsidP="00B5160F">
                      <w:pPr>
                        <w:jc w:val="center"/>
                      </w:pPr>
                      <w:r>
                        <w:t>S 2</w:t>
                      </w:r>
                    </w:p>
                  </w:txbxContent>
                </v:textbox>
              </v:rect>
            </w:pict>
          </mc:Fallback>
        </mc:AlternateContent>
      </w:r>
      <w:r w:rsidR="00B5160F" w:rsidRPr="00F93642">
        <w:rPr>
          <w:b/>
          <w:noProof/>
          <w:lang w:val="en-GB" w:eastAsia="en-GB"/>
        </w:rPr>
        <mc:AlternateContent>
          <mc:Choice Requires="wps">
            <w:drawing>
              <wp:anchor distT="0" distB="0" distL="114300" distR="114300" simplePos="0" relativeHeight="251686912" behindDoc="0" locked="0" layoutInCell="1" allowOverlap="1" wp14:anchorId="17C19D0A" wp14:editId="79B241F3">
                <wp:simplePos x="0" y="0"/>
                <wp:positionH relativeFrom="margin">
                  <wp:posOffset>1434797</wp:posOffset>
                </wp:positionH>
                <wp:positionV relativeFrom="paragraph">
                  <wp:posOffset>5301283</wp:posOffset>
                </wp:positionV>
                <wp:extent cx="680484" cy="329610"/>
                <wp:effectExtent l="0" t="0" r="24765" b="13335"/>
                <wp:wrapNone/>
                <wp:docPr id="48" name="Rectangle 48"/>
                <wp:cNvGraphicFramePr/>
                <a:graphic xmlns:a="http://schemas.openxmlformats.org/drawingml/2006/main">
                  <a:graphicData uri="http://schemas.microsoft.com/office/word/2010/wordprocessingShape">
                    <wps:wsp>
                      <wps:cNvSpPr/>
                      <wps:spPr>
                        <a:xfrm>
                          <a:off x="0" y="0"/>
                          <a:ext cx="680484" cy="329610"/>
                        </a:xfrm>
                        <a:prstGeom prst="rect">
                          <a:avLst/>
                        </a:prstGeom>
                      </wps:spPr>
                      <wps:style>
                        <a:lnRef idx="1">
                          <a:schemeClr val="accent4"/>
                        </a:lnRef>
                        <a:fillRef idx="2">
                          <a:schemeClr val="accent4"/>
                        </a:fillRef>
                        <a:effectRef idx="1">
                          <a:schemeClr val="accent4"/>
                        </a:effectRef>
                        <a:fontRef idx="minor">
                          <a:schemeClr val="dk1"/>
                        </a:fontRef>
                      </wps:style>
                      <wps:txbx>
                        <w:txbxContent>
                          <w:p w14:paraId="0FEFAC70" w14:textId="77777777" w:rsidR="00C92C73" w:rsidRDefault="00C92C73" w:rsidP="00B5160F">
                            <w:pPr>
                              <w:jc w:val="center"/>
                            </w:pPr>
                            <w:r>
                              <w:t>T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7C19D0A" id="Rectangle 48" o:spid="_x0000_s1067" style="position:absolute;margin-left:113pt;margin-top:417.4pt;width:53.6pt;height:25.95pt;z-index:2516869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" fillcolor="#bfb1d0 [1623]" strokecolor="#795d9b [3047]">
                <v:fill color2="#ece7f1 [503]" rotate="t" angle="180" colors="0 #c9b5e8;22938f #d9cbee;1 #f0eaf9" focus="100%" type="gradient"/>
                <v:shadow on="t" color="black" opacity="24903f" origin=",.5" offset="0,.55556mm"/>
                <v:textbox>
                  <w:txbxContent>
                    <w:p w14:paraId="0FEFAC70" w14:textId="77777777" w:rsidR="00C92C73" w:rsidRDefault="00C92C73" w:rsidP="00B5160F">
                      <w:pPr>
                        <w:jc w:val="center"/>
                      </w:pPr>
                      <w:r>
                        <w:t>T 2</w:t>
                      </w:r>
                    </w:p>
                  </w:txbxContent>
                </v:textbox>
                <w10:wrap anchorx="margin"/>
              </v:rect>
            </w:pict>
          </mc:Fallback>
        </mc:AlternateContent>
      </w:r>
      <w:r w:rsidR="00B5160F" w:rsidRPr="00F93642">
        <w:rPr>
          <w:b/>
          <w:noProof/>
          <w:lang w:val="en-GB" w:eastAsia="en-GB"/>
        </w:rPr>
        <mc:AlternateContent>
          <mc:Choice Requires="wps">
            <w:drawing>
              <wp:anchor distT="0" distB="0" distL="114300" distR="114300" simplePos="0" relativeHeight="251709440" behindDoc="0" locked="0" layoutInCell="1" allowOverlap="1" wp14:anchorId="469905C2" wp14:editId="777EAE54">
                <wp:simplePos x="0" y="0"/>
                <wp:positionH relativeFrom="column">
                  <wp:posOffset>4797187</wp:posOffset>
                </wp:positionH>
                <wp:positionV relativeFrom="paragraph">
                  <wp:posOffset>1863772</wp:posOffset>
                </wp:positionV>
                <wp:extent cx="3561725" cy="585783"/>
                <wp:effectExtent l="0" t="0" r="19685" b="24130"/>
                <wp:wrapNone/>
                <wp:docPr id="68" name="Straight Connector 68"/>
                <wp:cNvGraphicFramePr/>
                <a:graphic xmlns:a="http://schemas.openxmlformats.org/drawingml/2006/main">
                  <a:graphicData uri="http://schemas.microsoft.com/office/word/2010/wordprocessingShape">
                    <wps:wsp>
                      <wps:cNvCnPr/>
                      <wps:spPr>
                        <a:xfrm>
                          <a:off x="0" y="0"/>
                          <a:ext cx="3561725" cy="585783"/>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030EB4" id="Straight Connector 68"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7.75pt,146.75pt" to="658.2pt,19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" strokecolor="#bc4542 [3045]"/>
            </w:pict>
          </mc:Fallback>
        </mc:AlternateContent>
      </w:r>
      <w:r w:rsidR="00B5160F" w:rsidRPr="00F93642">
        <w:rPr>
          <w:b/>
          <w:noProof/>
          <w:lang w:val="en-GB" w:eastAsia="en-GB"/>
        </w:rPr>
        <mc:AlternateContent>
          <mc:Choice Requires="wps">
            <w:drawing>
              <wp:anchor distT="0" distB="0" distL="114300" distR="114300" simplePos="0" relativeHeight="251708416" behindDoc="0" locked="0" layoutInCell="1" allowOverlap="1" wp14:anchorId="51F2B7F6" wp14:editId="67884456">
                <wp:simplePos x="0" y="0"/>
                <wp:positionH relativeFrom="column">
                  <wp:posOffset>4769892</wp:posOffset>
                </wp:positionH>
                <wp:positionV relativeFrom="paragraph">
                  <wp:posOffset>1863772</wp:posOffset>
                </wp:positionV>
                <wp:extent cx="2538483" cy="614150"/>
                <wp:effectExtent l="0" t="0" r="33655" b="33655"/>
                <wp:wrapNone/>
                <wp:docPr id="67" name="Straight Connector 67"/>
                <wp:cNvGraphicFramePr/>
                <a:graphic xmlns:a="http://schemas.openxmlformats.org/drawingml/2006/main">
                  <a:graphicData uri="http://schemas.microsoft.com/office/word/2010/wordprocessingShape">
                    <wps:wsp>
                      <wps:cNvCnPr/>
                      <wps:spPr>
                        <a:xfrm>
                          <a:off x="0" y="0"/>
                          <a:ext cx="2538483" cy="61415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6EB9CC49" id="Straight Connector 67" o:spid="_x0000_s1026" style="position:absolute;z-index:251708416;visibility:visible;mso-wrap-style:square;mso-wrap-distance-left:9pt;mso-wrap-distance-top:0;mso-wrap-distance-right:9pt;mso-wrap-distance-bottom:0;mso-position-horizontal:absolute;mso-position-horizontal-relative:text;mso-position-vertical:absolute;mso-position-vertical-relative:text" from="375.6pt,146.75pt" to="575.5pt,19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" strokecolor="#bc4542 [3045]"/>
            </w:pict>
          </mc:Fallback>
        </mc:AlternateContent>
      </w:r>
      <w:r w:rsidR="00B5160F" w:rsidRPr="00F93642">
        <w:rPr>
          <w:b/>
          <w:noProof/>
          <w:lang w:val="en-GB" w:eastAsia="en-GB"/>
        </w:rPr>
        <mc:AlternateContent>
          <mc:Choice Requires="wps">
            <w:drawing>
              <wp:anchor distT="0" distB="0" distL="114300" distR="114300" simplePos="0" relativeHeight="251707392" behindDoc="0" locked="0" layoutInCell="1" allowOverlap="1" wp14:anchorId="71B28DA0" wp14:editId="69F03306">
                <wp:simplePos x="0" y="0"/>
                <wp:positionH relativeFrom="column">
                  <wp:posOffset>4756246</wp:posOffset>
                </wp:positionH>
                <wp:positionV relativeFrom="paragraph">
                  <wp:posOffset>1877421</wp:posOffset>
                </wp:positionV>
                <wp:extent cx="1487160" cy="572438"/>
                <wp:effectExtent l="0" t="0" r="37465" b="37465"/>
                <wp:wrapNone/>
                <wp:docPr id="66" name="Straight Connector 66"/>
                <wp:cNvGraphicFramePr/>
                <a:graphic xmlns:a="http://schemas.openxmlformats.org/drawingml/2006/main">
                  <a:graphicData uri="http://schemas.microsoft.com/office/word/2010/wordprocessingShape">
                    <wps:wsp>
                      <wps:cNvCnPr/>
                      <wps:spPr>
                        <a:xfrm>
                          <a:off x="0" y="0"/>
                          <a:ext cx="1487160" cy="572438"/>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ADAF08" id="Straight Connector 66"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4.5pt,147.85pt" to="491.6pt,19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" strokecolor="#bc4542 [3045]"/>
            </w:pict>
          </mc:Fallback>
        </mc:AlternateContent>
      </w:r>
      <w:r w:rsidR="00B5160F" w:rsidRPr="00F93642">
        <w:rPr>
          <w:b/>
          <w:noProof/>
          <w:lang w:val="en-GB" w:eastAsia="en-GB"/>
        </w:rPr>
        <mc:AlternateContent>
          <mc:Choice Requires="wps">
            <w:drawing>
              <wp:anchor distT="0" distB="0" distL="114300" distR="114300" simplePos="0" relativeHeight="251706368" behindDoc="0" locked="0" layoutInCell="1" allowOverlap="1" wp14:anchorId="3EE26FC8" wp14:editId="0FE71623">
                <wp:simplePos x="0" y="0"/>
                <wp:positionH relativeFrom="column">
                  <wp:posOffset>4756245</wp:posOffset>
                </wp:positionH>
                <wp:positionV relativeFrom="paragraph">
                  <wp:posOffset>1918363</wp:posOffset>
                </wp:positionV>
                <wp:extent cx="545910" cy="573206"/>
                <wp:effectExtent l="0" t="0" r="26035" b="36830"/>
                <wp:wrapNone/>
                <wp:docPr id="65" name="Straight Connector 65"/>
                <wp:cNvGraphicFramePr/>
                <a:graphic xmlns:a="http://schemas.openxmlformats.org/drawingml/2006/main">
                  <a:graphicData uri="http://schemas.microsoft.com/office/word/2010/wordprocessingShape">
                    <wps:wsp>
                      <wps:cNvCnPr/>
                      <wps:spPr>
                        <a:xfrm>
                          <a:off x="0" y="0"/>
                          <a:ext cx="545910" cy="573206"/>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199DDDC5" id="Straight Connector 65"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374.5pt,151.05pt" to="417.5pt,19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" strokecolor="#bc4542 [3045]"/>
            </w:pict>
          </mc:Fallback>
        </mc:AlternateContent>
      </w:r>
      <w:r w:rsidR="00B5160F" w:rsidRPr="00F93642">
        <w:rPr>
          <w:b/>
          <w:noProof/>
          <w:lang w:val="en-GB" w:eastAsia="en-GB"/>
        </w:rPr>
        <mc:AlternateContent>
          <mc:Choice Requires="wps">
            <w:drawing>
              <wp:anchor distT="0" distB="0" distL="114300" distR="114300" simplePos="0" relativeHeight="251705344" behindDoc="0" locked="0" layoutInCell="1" allowOverlap="1" wp14:anchorId="2F490552" wp14:editId="1F5DF501">
                <wp:simplePos x="0" y="0"/>
                <wp:positionH relativeFrom="column">
                  <wp:posOffset>4305869</wp:posOffset>
                </wp:positionH>
                <wp:positionV relativeFrom="paragraph">
                  <wp:posOffset>1891068</wp:posOffset>
                </wp:positionV>
                <wp:extent cx="422767" cy="600501"/>
                <wp:effectExtent l="0" t="0" r="34925" b="28575"/>
                <wp:wrapNone/>
                <wp:docPr id="64" name="Straight Connector 64"/>
                <wp:cNvGraphicFramePr/>
                <a:graphic xmlns:a="http://schemas.openxmlformats.org/drawingml/2006/main">
                  <a:graphicData uri="http://schemas.microsoft.com/office/word/2010/wordprocessingShape">
                    <wps:wsp>
                      <wps:cNvCnPr/>
                      <wps:spPr>
                        <a:xfrm flipH="1">
                          <a:off x="0" y="0"/>
                          <a:ext cx="422767" cy="600501"/>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64313DD7" id="Straight Connector 64" o:spid="_x0000_s1026" style="position:absolute;flip:x;z-index:251705344;visibility:visible;mso-wrap-style:square;mso-wrap-distance-left:9pt;mso-wrap-distance-top:0;mso-wrap-distance-right:9pt;mso-wrap-distance-bottom:0;mso-position-horizontal:absolute;mso-position-horizontal-relative:text;mso-position-vertical:absolute;mso-position-vertical-relative:text" from="339.05pt,148.9pt" to="372.35pt,19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" strokecolor="#bc4542 [3045]"/>
            </w:pict>
          </mc:Fallback>
        </mc:AlternateContent>
      </w:r>
      <w:r w:rsidR="00B5160F" w:rsidRPr="00F93642">
        <w:rPr>
          <w:b/>
          <w:noProof/>
          <w:lang w:val="en-GB" w:eastAsia="en-GB"/>
        </w:rPr>
        <mc:AlternateContent>
          <mc:Choice Requires="wps">
            <w:drawing>
              <wp:anchor distT="0" distB="0" distL="114300" distR="114300" simplePos="0" relativeHeight="251704320" behindDoc="0" locked="0" layoutInCell="1" allowOverlap="1" wp14:anchorId="728CF583" wp14:editId="24B38DBD">
                <wp:simplePos x="0" y="0"/>
                <wp:positionH relativeFrom="column">
                  <wp:posOffset>3227696</wp:posOffset>
                </wp:positionH>
                <wp:positionV relativeFrom="paragraph">
                  <wp:posOffset>1863772</wp:posOffset>
                </wp:positionV>
                <wp:extent cx="1500940" cy="586409"/>
                <wp:effectExtent l="0" t="0" r="23495" b="23495"/>
                <wp:wrapNone/>
                <wp:docPr id="61" name="Straight Connector 61"/>
                <wp:cNvGraphicFramePr/>
                <a:graphic xmlns:a="http://schemas.openxmlformats.org/drawingml/2006/main">
                  <a:graphicData uri="http://schemas.microsoft.com/office/word/2010/wordprocessingShape">
                    <wps:wsp>
                      <wps:cNvCnPr/>
                      <wps:spPr>
                        <a:xfrm flipH="1">
                          <a:off x="0" y="0"/>
                          <a:ext cx="1500940" cy="586409"/>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E22BAD" id="Straight Connector 61" o:spid="_x0000_s1026" style="position:absolute;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4.15pt,146.75pt" to="372.35pt,19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" strokecolor="#bc4542 [3045]"/>
            </w:pict>
          </mc:Fallback>
        </mc:AlternateContent>
      </w:r>
      <w:r w:rsidR="00B5160F" w:rsidRPr="00F93642">
        <w:rPr>
          <w:b/>
          <w:noProof/>
          <w:lang w:val="en-GB" w:eastAsia="en-GB"/>
        </w:rPr>
        <mc:AlternateContent>
          <mc:Choice Requires="wps">
            <w:drawing>
              <wp:anchor distT="0" distB="0" distL="114300" distR="114300" simplePos="0" relativeHeight="251703296" behindDoc="0" locked="0" layoutInCell="1" allowOverlap="1" wp14:anchorId="17515BC3" wp14:editId="273A01FC">
                <wp:simplePos x="0" y="0"/>
                <wp:positionH relativeFrom="column">
                  <wp:posOffset>1821976</wp:posOffset>
                </wp:positionH>
                <wp:positionV relativeFrom="paragraph">
                  <wp:posOffset>1877420</wp:posOffset>
                </wp:positionV>
                <wp:extent cx="2872987" cy="627797"/>
                <wp:effectExtent l="0" t="0" r="22860" b="20320"/>
                <wp:wrapNone/>
                <wp:docPr id="54" name="Straight Connector 54"/>
                <wp:cNvGraphicFramePr/>
                <a:graphic xmlns:a="http://schemas.openxmlformats.org/drawingml/2006/main">
                  <a:graphicData uri="http://schemas.microsoft.com/office/word/2010/wordprocessingShape">
                    <wps:wsp>
                      <wps:cNvCnPr/>
                      <wps:spPr>
                        <a:xfrm flipH="1">
                          <a:off x="0" y="0"/>
                          <a:ext cx="2872987" cy="627797"/>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21BA1FFC" id="Straight Connector 54" o:spid="_x0000_s1026" style="position:absolute;flip:x;z-index:251703296;visibility:visible;mso-wrap-style:square;mso-wrap-distance-left:9pt;mso-wrap-distance-top:0;mso-wrap-distance-right:9pt;mso-wrap-distance-bottom:0;mso-position-horizontal:absolute;mso-position-horizontal-relative:text;mso-position-vertical:absolute;mso-position-vertical-relative:text" from="143.45pt,147.85pt" to="369.65pt,19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" strokecolor="#bc4542 [3045]"/>
            </w:pict>
          </mc:Fallback>
        </mc:AlternateContent>
      </w:r>
      <w:r w:rsidR="00B5160F" w:rsidRPr="00F93642">
        <w:rPr>
          <w:b/>
          <w:noProof/>
          <w:lang w:val="en-GB" w:eastAsia="en-GB"/>
        </w:rPr>
        <mc:AlternateContent>
          <mc:Choice Requires="wps">
            <w:drawing>
              <wp:anchor distT="0" distB="0" distL="114300" distR="114300" simplePos="0" relativeHeight="251702272" behindDoc="0" locked="0" layoutInCell="1" allowOverlap="1" wp14:anchorId="776AF896" wp14:editId="5DCF7CBD">
                <wp:simplePos x="0" y="0"/>
                <wp:positionH relativeFrom="column">
                  <wp:posOffset>784746</wp:posOffset>
                </wp:positionH>
                <wp:positionV relativeFrom="paragraph">
                  <wp:posOffset>1863772</wp:posOffset>
                </wp:positionV>
                <wp:extent cx="3910217" cy="627797"/>
                <wp:effectExtent l="0" t="0" r="14605" b="20320"/>
                <wp:wrapNone/>
                <wp:docPr id="53" name="Straight Connector 53"/>
                <wp:cNvGraphicFramePr/>
                <a:graphic xmlns:a="http://schemas.openxmlformats.org/drawingml/2006/main">
                  <a:graphicData uri="http://schemas.microsoft.com/office/word/2010/wordprocessingShape">
                    <wps:wsp>
                      <wps:cNvCnPr/>
                      <wps:spPr>
                        <a:xfrm flipH="1">
                          <a:off x="0" y="0"/>
                          <a:ext cx="3910217" cy="627797"/>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18EA5FED" id="Straight Connector 53" o:spid="_x0000_s1026" style="position:absolute;flip:x;z-index:251702272;visibility:visible;mso-wrap-style:square;mso-wrap-distance-left:9pt;mso-wrap-distance-top:0;mso-wrap-distance-right:9pt;mso-wrap-distance-bottom:0;mso-position-horizontal:absolute;mso-position-horizontal-relative:text;mso-position-vertical:absolute;mso-position-vertical-relative:text" from="61.8pt,146.75pt" to="369.7pt,19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" strokecolor="#bc4542 [3045]"/>
            </w:pict>
          </mc:Fallback>
        </mc:AlternateContent>
      </w:r>
      <w:r w:rsidR="00B5160F" w:rsidRPr="00F93642">
        <w:rPr>
          <w:b/>
          <w:noProof/>
          <w:lang w:val="en-GB" w:eastAsia="en-GB"/>
        </w:rPr>
        <mc:AlternateContent>
          <mc:Choice Requires="wps">
            <w:drawing>
              <wp:anchor distT="0" distB="0" distL="114300" distR="114300" simplePos="0" relativeHeight="251698176" behindDoc="0" locked="0" layoutInCell="1" allowOverlap="1" wp14:anchorId="7BF14E3A" wp14:editId="7352F2AA">
                <wp:simplePos x="0" y="0"/>
                <wp:positionH relativeFrom="column">
                  <wp:posOffset>3118513</wp:posOffset>
                </wp:positionH>
                <wp:positionV relativeFrom="paragraph">
                  <wp:posOffset>949371</wp:posOffset>
                </wp:positionV>
                <wp:extent cx="1553191" cy="354321"/>
                <wp:effectExtent l="19050" t="57150" r="28575" b="27305"/>
                <wp:wrapNone/>
                <wp:docPr id="49" name="Straight Arrow Connector 49"/>
                <wp:cNvGraphicFramePr/>
                <a:graphic xmlns:a="http://schemas.openxmlformats.org/drawingml/2006/main">
                  <a:graphicData uri="http://schemas.microsoft.com/office/word/2010/wordprocessingShape">
                    <wps:wsp>
                      <wps:cNvCnPr/>
                      <wps:spPr>
                        <a:xfrm flipH="1" flipV="1">
                          <a:off x="0" y="0"/>
                          <a:ext cx="1553191" cy="35432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20B822" id="Straight Arrow Connector 49" o:spid="_x0000_s1026" type="#_x0000_t32" style="position:absolute;margin-left:245.55pt;margin-top:74.75pt;width:122.3pt;height:27.9pt;flip:x 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" strokecolor="black [3040]">
                <v:stroke endarrow="block"/>
              </v:shape>
            </w:pict>
          </mc:Fallback>
        </mc:AlternateContent>
      </w:r>
      <w:r w:rsidR="00B5160F" w:rsidRPr="00F93642">
        <w:rPr>
          <w:b/>
          <w:noProof/>
          <w:lang w:val="en-GB" w:eastAsia="en-GB"/>
        </w:rPr>
        <mc:AlternateContent>
          <mc:Choice Requires="wps">
            <w:drawing>
              <wp:anchor distT="0" distB="0" distL="114300" distR="114300" simplePos="0" relativeHeight="251701248" behindDoc="0" locked="0" layoutInCell="1" allowOverlap="1" wp14:anchorId="50345DAA" wp14:editId="03FA30FB">
                <wp:simplePos x="0" y="0"/>
                <wp:positionH relativeFrom="column">
                  <wp:posOffset>4694962</wp:posOffset>
                </wp:positionH>
                <wp:positionV relativeFrom="paragraph">
                  <wp:posOffset>1017611</wp:posOffset>
                </wp:positionV>
                <wp:extent cx="3623347" cy="286082"/>
                <wp:effectExtent l="0" t="57150" r="15240" b="19050"/>
                <wp:wrapNone/>
                <wp:docPr id="50" name="Straight Arrow Connector 50"/>
                <wp:cNvGraphicFramePr/>
                <a:graphic xmlns:a="http://schemas.openxmlformats.org/drawingml/2006/main">
                  <a:graphicData uri="http://schemas.microsoft.com/office/word/2010/wordprocessingShape">
                    <wps:wsp>
                      <wps:cNvCnPr/>
                      <wps:spPr>
                        <a:xfrm flipV="1">
                          <a:off x="0" y="0"/>
                          <a:ext cx="3623347" cy="286082"/>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12C45AF1" id="Straight Arrow Connector 50" o:spid="_x0000_s1026" type="#_x0000_t32" style="position:absolute;margin-left:369.7pt;margin-top:80.15pt;width:285.3pt;height:22.55pt;flip:y;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" strokecolor="black [3200]" strokeweight="3pt">
                <v:stroke endarrow="block"/>
                <v:shadow on="t" color="black" opacity="22937f" origin=",.5" offset="0,.63889mm"/>
              </v:shape>
            </w:pict>
          </mc:Fallback>
        </mc:AlternateContent>
      </w:r>
      <w:r w:rsidR="00B5160F" w:rsidRPr="00F93642">
        <w:rPr>
          <w:b/>
          <w:noProof/>
          <w:lang w:val="en-GB" w:eastAsia="en-GB"/>
        </w:rPr>
        <mc:AlternateContent>
          <mc:Choice Requires="wps">
            <w:drawing>
              <wp:anchor distT="0" distB="0" distL="114300" distR="114300" simplePos="0" relativeHeight="251700224" behindDoc="0" locked="0" layoutInCell="1" allowOverlap="1" wp14:anchorId="3035C814" wp14:editId="1A497844">
                <wp:simplePos x="0" y="0"/>
                <wp:positionH relativeFrom="column">
                  <wp:posOffset>4742597</wp:posOffset>
                </wp:positionH>
                <wp:positionV relativeFrom="paragraph">
                  <wp:posOffset>976668</wp:posOffset>
                </wp:positionV>
                <wp:extent cx="1828800" cy="327546"/>
                <wp:effectExtent l="0" t="57150" r="0" b="34925"/>
                <wp:wrapNone/>
                <wp:docPr id="51" name="Straight Arrow Connector 51"/>
                <wp:cNvGraphicFramePr/>
                <a:graphic xmlns:a="http://schemas.openxmlformats.org/drawingml/2006/main">
                  <a:graphicData uri="http://schemas.microsoft.com/office/word/2010/wordprocessingShape">
                    <wps:wsp>
                      <wps:cNvCnPr/>
                      <wps:spPr>
                        <a:xfrm flipV="1">
                          <a:off x="0" y="0"/>
                          <a:ext cx="1828800" cy="32754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36F316D" id="Straight Arrow Connector 51" o:spid="_x0000_s1026" type="#_x0000_t32" style="position:absolute;margin-left:373.45pt;margin-top:76.9pt;width:2in;height:25.8pt;flip:y;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" strokecolor="black [3040]">
                <v:stroke endarrow="block"/>
              </v:shape>
            </w:pict>
          </mc:Fallback>
        </mc:AlternateContent>
      </w:r>
      <w:r w:rsidR="00B5160F" w:rsidRPr="00F93642">
        <w:rPr>
          <w:b/>
          <w:noProof/>
          <w:lang w:val="en-GB" w:eastAsia="en-GB"/>
        </w:rPr>
        <mc:AlternateContent>
          <mc:Choice Requires="wps">
            <w:drawing>
              <wp:anchor distT="0" distB="0" distL="114300" distR="114300" simplePos="0" relativeHeight="251699200" behindDoc="0" locked="0" layoutInCell="1" allowOverlap="1" wp14:anchorId="0F9789BF" wp14:editId="438C0AFA">
                <wp:simplePos x="0" y="0"/>
                <wp:positionH relativeFrom="column">
                  <wp:posOffset>4715301</wp:posOffset>
                </wp:positionH>
                <wp:positionV relativeFrom="paragraph">
                  <wp:posOffset>921044</wp:posOffset>
                </wp:positionV>
                <wp:extent cx="13648" cy="411233"/>
                <wp:effectExtent l="57150" t="38100" r="62865" b="27305"/>
                <wp:wrapNone/>
                <wp:docPr id="52" name="Straight Arrow Connector 52"/>
                <wp:cNvGraphicFramePr/>
                <a:graphic xmlns:a="http://schemas.openxmlformats.org/drawingml/2006/main">
                  <a:graphicData uri="http://schemas.microsoft.com/office/word/2010/wordprocessingShape">
                    <wps:wsp>
                      <wps:cNvCnPr/>
                      <wps:spPr>
                        <a:xfrm flipV="1">
                          <a:off x="0" y="0"/>
                          <a:ext cx="13648" cy="41123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B42D226" id="Straight Arrow Connector 52" o:spid="_x0000_s1026" type="#_x0000_t32" style="position:absolute;margin-left:371.3pt;margin-top:72.5pt;width:1.05pt;height:32.4pt;flip:y;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" strokecolor="black [3040]">
                <v:stroke endarrow="block"/>
              </v:shape>
            </w:pict>
          </mc:Fallback>
        </mc:AlternateContent>
      </w:r>
      <w:r w:rsidR="00B5160F" w:rsidRPr="00F93642">
        <w:rPr>
          <w:b/>
          <w:noProof/>
          <w:lang w:val="en-GB" w:eastAsia="en-GB"/>
        </w:rPr>
        <mc:AlternateContent>
          <mc:Choice Requires="wps">
            <w:drawing>
              <wp:anchor distT="0" distB="0" distL="114300" distR="114300" simplePos="0" relativeHeight="251697152" behindDoc="0" locked="0" layoutInCell="1" allowOverlap="1" wp14:anchorId="6E8DE133" wp14:editId="54054D33">
                <wp:simplePos x="0" y="0"/>
                <wp:positionH relativeFrom="column">
                  <wp:posOffset>1344304</wp:posOffset>
                </wp:positionH>
                <wp:positionV relativeFrom="paragraph">
                  <wp:posOffset>990316</wp:posOffset>
                </wp:positionV>
                <wp:extent cx="3327751" cy="300250"/>
                <wp:effectExtent l="0" t="57150" r="25400" b="24130"/>
                <wp:wrapNone/>
                <wp:docPr id="55" name="Straight Arrow Connector 55"/>
                <wp:cNvGraphicFramePr/>
                <a:graphic xmlns:a="http://schemas.openxmlformats.org/drawingml/2006/main">
                  <a:graphicData uri="http://schemas.microsoft.com/office/word/2010/wordprocessingShape">
                    <wps:wsp>
                      <wps:cNvCnPr/>
                      <wps:spPr>
                        <a:xfrm flipH="1" flipV="1">
                          <a:off x="0" y="0"/>
                          <a:ext cx="3327751" cy="3002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DC2A2A0" id="Straight Arrow Connector 55" o:spid="_x0000_s1026" type="#_x0000_t32" style="position:absolute;margin-left:105.85pt;margin-top:78pt;width:262.05pt;height:23.65pt;flip:x y;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" strokecolor="black [3040]">
                <v:stroke endarrow="block"/>
              </v:shape>
            </w:pict>
          </mc:Fallback>
        </mc:AlternateContent>
      </w:r>
      <w:r w:rsidR="00B5160F" w:rsidRPr="00F93642">
        <w:rPr>
          <w:b/>
          <w:noProof/>
          <w:lang w:val="en-GB" w:eastAsia="en-GB"/>
        </w:rPr>
        <mc:AlternateContent>
          <mc:Choice Requires="wps">
            <w:drawing>
              <wp:anchor distT="0" distB="0" distL="114300" distR="114300" simplePos="0" relativeHeight="251696128" behindDoc="0" locked="0" layoutInCell="1" allowOverlap="1" wp14:anchorId="6A6F781D" wp14:editId="515FE187">
                <wp:simplePos x="0" y="0"/>
                <wp:positionH relativeFrom="margin">
                  <wp:posOffset>8597891</wp:posOffset>
                </wp:positionH>
                <wp:positionV relativeFrom="paragraph">
                  <wp:posOffset>5239688</wp:posOffset>
                </wp:positionV>
                <wp:extent cx="680484" cy="329610"/>
                <wp:effectExtent l="0" t="0" r="24765" b="13335"/>
                <wp:wrapNone/>
                <wp:docPr id="56" name="Rectangle 56"/>
                <wp:cNvGraphicFramePr/>
                <a:graphic xmlns:a="http://schemas.openxmlformats.org/drawingml/2006/main">
                  <a:graphicData uri="http://schemas.microsoft.com/office/word/2010/wordprocessingShape">
                    <wps:wsp>
                      <wps:cNvSpPr/>
                      <wps:spPr>
                        <a:xfrm>
                          <a:off x="0" y="0"/>
                          <a:ext cx="680484" cy="329610"/>
                        </a:xfrm>
                        <a:prstGeom prst="rect">
                          <a:avLst/>
                        </a:prstGeom>
                      </wps:spPr>
                      <wps:style>
                        <a:lnRef idx="1">
                          <a:schemeClr val="accent4"/>
                        </a:lnRef>
                        <a:fillRef idx="2">
                          <a:schemeClr val="accent4"/>
                        </a:fillRef>
                        <a:effectRef idx="1">
                          <a:schemeClr val="accent4"/>
                        </a:effectRef>
                        <a:fontRef idx="minor">
                          <a:schemeClr val="dk1"/>
                        </a:fontRef>
                      </wps:style>
                      <wps:txbx>
                        <w:txbxContent>
                          <w:p w14:paraId="1FAE65AC" w14:textId="77777777" w:rsidR="00C92C73" w:rsidRDefault="00C92C73" w:rsidP="00B5160F">
                            <w:pPr>
                              <w:jc w:val="center"/>
                            </w:pPr>
                            <w:r>
                              <w:t>T 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A6F781D" id="Rectangle 56" o:spid="_x0000_s1068" style="position:absolute;margin-left:677pt;margin-top:412.55pt;width:53.6pt;height:25.95pt;z-index:2516961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" fillcolor="#bfb1d0 [1623]" strokecolor="#795d9b [3047]">
                <v:fill color2="#ece7f1 [503]" rotate="t" angle="180" colors="0 #c9b5e8;22938f #d9cbee;1 #f0eaf9" focus="100%" type="gradient"/>
                <v:shadow on="t" color="black" opacity="24903f" origin=",.5" offset="0,.55556mm"/>
                <v:textbox>
                  <w:txbxContent>
                    <w:p w14:paraId="1FAE65AC" w14:textId="77777777" w:rsidR="00C92C73" w:rsidRDefault="00C92C73" w:rsidP="00B5160F">
                      <w:pPr>
                        <w:jc w:val="center"/>
                      </w:pPr>
                      <w:r>
                        <w:t>T 10</w:t>
                      </w:r>
                    </w:p>
                  </w:txbxContent>
                </v:textbox>
                <w10:wrap anchorx="margin"/>
              </v:rect>
            </w:pict>
          </mc:Fallback>
        </mc:AlternateContent>
      </w:r>
      <w:r w:rsidR="00B5160F" w:rsidRPr="00F93642">
        <w:rPr>
          <w:b/>
          <w:noProof/>
          <w:lang w:val="en-GB" w:eastAsia="en-GB"/>
        </w:rPr>
        <mc:AlternateContent>
          <mc:Choice Requires="wps">
            <w:drawing>
              <wp:anchor distT="0" distB="0" distL="114300" distR="114300" simplePos="0" relativeHeight="251694080" behindDoc="0" locked="0" layoutInCell="1" allowOverlap="1" wp14:anchorId="665BCE95" wp14:editId="6B112276">
                <wp:simplePos x="0" y="0"/>
                <wp:positionH relativeFrom="margin">
                  <wp:posOffset>7789545</wp:posOffset>
                </wp:positionH>
                <wp:positionV relativeFrom="paragraph">
                  <wp:posOffset>5240010</wp:posOffset>
                </wp:positionV>
                <wp:extent cx="680484" cy="329610"/>
                <wp:effectExtent l="0" t="0" r="24765" b="13335"/>
                <wp:wrapNone/>
                <wp:docPr id="57" name="Rectangle 57"/>
                <wp:cNvGraphicFramePr/>
                <a:graphic xmlns:a="http://schemas.openxmlformats.org/drawingml/2006/main">
                  <a:graphicData uri="http://schemas.microsoft.com/office/word/2010/wordprocessingShape">
                    <wps:wsp>
                      <wps:cNvSpPr/>
                      <wps:spPr>
                        <a:xfrm>
                          <a:off x="0" y="0"/>
                          <a:ext cx="680484" cy="329610"/>
                        </a:xfrm>
                        <a:prstGeom prst="rect">
                          <a:avLst/>
                        </a:prstGeom>
                      </wps:spPr>
                      <wps:style>
                        <a:lnRef idx="1">
                          <a:schemeClr val="accent4"/>
                        </a:lnRef>
                        <a:fillRef idx="2">
                          <a:schemeClr val="accent4"/>
                        </a:fillRef>
                        <a:effectRef idx="1">
                          <a:schemeClr val="accent4"/>
                        </a:effectRef>
                        <a:fontRef idx="minor">
                          <a:schemeClr val="dk1"/>
                        </a:fontRef>
                      </wps:style>
                      <wps:txbx>
                        <w:txbxContent>
                          <w:p w14:paraId="2B6BDC59" w14:textId="77777777" w:rsidR="00C92C73" w:rsidRDefault="00C92C73" w:rsidP="00B5160F">
                            <w:pPr>
                              <w:jc w:val="center"/>
                            </w:pPr>
                            <w:r>
                              <w:t>T 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65BCE95" id="Rectangle 57" o:spid="_x0000_s1069" style="position:absolute;margin-left:613.35pt;margin-top:412.6pt;width:53.6pt;height:25.95pt;z-index:2516940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" fillcolor="#bfb1d0 [1623]" strokecolor="#795d9b [3047]">
                <v:fill color2="#ece7f1 [503]" rotate="t" angle="180" colors="0 #c9b5e8;22938f #d9cbee;1 #f0eaf9" focus="100%" type="gradient"/>
                <v:shadow on="t" color="black" opacity="24903f" origin=",.5" offset="0,.55556mm"/>
                <v:textbox>
                  <w:txbxContent>
                    <w:p w14:paraId="2B6BDC59" w14:textId="77777777" w:rsidR="00C92C73" w:rsidRDefault="00C92C73" w:rsidP="00B5160F">
                      <w:pPr>
                        <w:jc w:val="center"/>
                      </w:pPr>
                      <w:r>
                        <w:t>T 9</w:t>
                      </w:r>
                    </w:p>
                  </w:txbxContent>
                </v:textbox>
                <w10:wrap anchorx="margin"/>
              </v:rect>
            </w:pict>
          </mc:Fallback>
        </mc:AlternateContent>
      </w:r>
      <w:r w:rsidR="00B5160F" w:rsidRPr="00F93642">
        <w:rPr>
          <w:b/>
          <w:noProof/>
          <w:lang w:val="en-GB" w:eastAsia="en-GB"/>
        </w:rPr>
        <mc:AlternateContent>
          <mc:Choice Requires="wps">
            <w:drawing>
              <wp:anchor distT="0" distB="0" distL="114300" distR="114300" simplePos="0" relativeHeight="251695104" behindDoc="0" locked="0" layoutInCell="1" allowOverlap="1" wp14:anchorId="0B63FE22" wp14:editId="16191C2C">
                <wp:simplePos x="0" y="0"/>
                <wp:positionH relativeFrom="margin">
                  <wp:posOffset>6937375</wp:posOffset>
                </wp:positionH>
                <wp:positionV relativeFrom="paragraph">
                  <wp:posOffset>5255554</wp:posOffset>
                </wp:positionV>
                <wp:extent cx="680484" cy="329610"/>
                <wp:effectExtent l="0" t="0" r="24765" b="13335"/>
                <wp:wrapNone/>
                <wp:docPr id="58" name="Rectangle 58"/>
                <wp:cNvGraphicFramePr/>
                <a:graphic xmlns:a="http://schemas.openxmlformats.org/drawingml/2006/main">
                  <a:graphicData uri="http://schemas.microsoft.com/office/word/2010/wordprocessingShape">
                    <wps:wsp>
                      <wps:cNvSpPr/>
                      <wps:spPr>
                        <a:xfrm>
                          <a:off x="0" y="0"/>
                          <a:ext cx="680484" cy="329610"/>
                        </a:xfrm>
                        <a:prstGeom prst="rect">
                          <a:avLst/>
                        </a:prstGeom>
                      </wps:spPr>
                      <wps:style>
                        <a:lnRef idx="1">
                          <a:schemeClr val="accent4"/>
                        </a:lnRef>
                        <a:fillRef idx="2">
                          <a:schemeClr val="accent4"/>
                        </a:fillRef>
                        <a:effectRef idx="1">
                          <a:schemeClr val="accent4"/>
                        </a:effectRef>
                        <a:fontRef idx="minor">
                          <a:schemeClr val="dk1"/>
                        </a:fontRef>
                      </wps:style>
                      <wps:txbx>
                        <w:txbxContent>
                          <w:p w14:paraId="32AD6E5A" w14:textId="77777777" w:rsidR="00C92C73" w:rsidRDefault="00C92C73" w:rsidP="00B5160F">
                            <w:pPr>
                              <w:jc w:val="center"/>
                            </w:pPr>
                            <w:r>
                              <w:t>T 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B63FE22" id="Rectangle 58" o:spid="_x0000_s1070" style="position:absolute;margin-left:546.25pt;margin-top:413.8pt;width:53.6pt;height:25.95pt;z-index:2516951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" fillcolor="#bfb1d0 [1623]" strokecolor="#795d9b [3047]">
                <v:fill color2="#ece7f1 [503]" rotate="t" angle="180" colors="0 #c9b5e8;22938f #d9cbee;1 #f0eaf9" focus="100%" type="gradient"/>
                <v:shadow on="t" color="black" opacity="24903f" origin=",.5" offset="0,.55556mm"/>
                <v:textbox>
                  <w:txbxContent>
                    <w:p w14:paraId="32AD6E5A" w14:textId="77777777" w:rsidR="00C92C73" w:rsidRDefault="00C92C73" w:rsidP="00B5160F">
                      <w:pPr>
                        <w:jc w:val="center"/>
                      </w:pPr>
                      <w:r>
                        <w:t>T 8</w:t>
                      </w:r>
                    </w:p>
                  </w:txbxContent>
                </v:textbox>
                <w10:wrap anchorx="margin"/>
              </v:rect>
            </w:pict>
          </mc:Fallback>
        </mc:AlternateContent>
      </w:r>
      <w:r w:rsidR="00B5160F" w:rsidRPr="00F93642">
        <w:rPr>
          <w:b/>
          <w:noProof/>
          <w:lang w:val="en-GB" w:eastAsia="en-GB"/>
        </w:rPr>
        <mc:AlternateContent>
          <mc:Choice Requires="wps">
            <w:drawing>
              <wp:anchor distT="0" distB="0" distL="114300" distR="114300" simplePos="0" relativeHeight="251689984" behindDoc="0" locked="0" layoutInCell="1" allowOverlap="1" wp14:anchorId="5C5A71D7" wp14:editId="14CE253E">
                <wp:simplePos x="0" y="0"/>
                <wp:positionH relativeFrom="margin">
                  <wp:posOffset>5922645</wp:posOffset>
                </wp:positionH>
                <wp:positionV relativeFrom="paragraph">
                  <wp:posOffset>5280954</wp:posOffset>
                </wp:positionV>
                <wp:extent cx="680484" cy="329610"/>
                <wp:effectExtent l="0" t="0" r="24765" b="13335"/>
                <wp:wrapNone/>
                <wp:docPr id="59" name="Rectangle 59"/>
                <wp:cNvGraphicFramePr/>
                <a:graphic xmlns:a="http://schemas.openxmlformats.org/drawingml/2006/main">
                  <a:graphicData uri="http://schemas.microsoft.com/office/word/2010/wordprocessingShape">
                    <wps:wsp>
                      <wps:cNvSpPr/>
                      <wps:spPr>
                        <a:xfrm>
                          <a:off x="0" y="0"/>
                          <a:ext cx="680484" cy="329610"/>
                        </a:xfrm>
                        <a:prstGeom prst="rect">
                          <a:avLst/>
                        </a:prstGeom>
                      </wps:spPr>
                      <wps:style>
                        <a:lnRef idx="1">
                          <a:schemeClr val="accent4"/>
                        </a:lnRef>
                        <a:fillRef idx="2">
                          <a:schemeClr val="accent4"/>
                        </a:fillRef>
                        <a:effectRef idx="1">
                          <a:schemeClr val="accent4"/>
                        </a:effectRef>
                        <a:fontRef idx="minor">
                          <a:schemeClr val="dk1"/>
                        </a:fontRef>
                      </wps:style>
                      <wps:txbx>
                        <w:txbxContent>
                          <w:p w14:paraId="3EFB21EE" w14:textId="77777777" w:rsidR="00C92C73" w:rsidRDefault="00C92C73" w:rsidP="00B5160F">
                            <w:pPr>
                              <w:jc w:val="center"/>
                            </w:pPr>
                            <w:r>
                              <w:t>T 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C5A71D7" id="Rectangle 59" o:spid="_x0000_s1071" style="position:absolute;margin-left:466.35pt;margin-top:415.8pt;width:53.6pt;height:25.95pt;z-index:2516899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" fillcolor="#bfb1d0 [1623]" strokecolor="#795d9b [3047]">
                <v:fill color2="#ece7f1 [503]" rotate="t" angle="180" colors="0 #c9b5e8;22938f #d9cbee;1 #f0eaf9" focus="100%" type="gradient"/>
                <v:shadow on="t" color="black" opacity="24903f" origin=",.5" offset="0,.55556mm"/>
                <v:textbox>
                  <w:txbxContent>
                    <w:p w14:paraId="3EFB21EE" w14:textId="77777777" w:rsidR="00C92C73" w:rsidRDefault="00C92C73" w:rsidP="00B5160F">
                      <w:pPr>
                        <w:jc w:val="center"/>
                      </w:pPr>
                      <w:r>
                        <w:t>T 7</w:t>
                      </w:r>
                    </w:p>
                  </w:txbxContent>
                </v:textbox>
                <w10:wrap anchorx="margin"/>
              </v:rect>
            </w:pict>
          </mc:Fallback>
        </mc:AlternateContent>
      </w:r>
      <w:r w:rsidR="00B5160F" w:rsidRPr="00F93642">
        <w:rPr>
          <w:b/>
          <w:noProof/>
          <w:lang w:val="en-GB" w:eastAsia="en-GB"/>
        </w:rPr>
        <mc:AlternateContent>
          <mc:Choice Requires="wps">
            <w:drawing>
              <wp:anchor distT="0" distB="0" distL="114300" distR="114300" simplePos="0" relativeHeight="251691008" behindDoc="0" locked="0" layoutInCell="1" allowOverlap="1" wp14:anchorId="437770B9" wp14:editId="582C41B2">
                <wp:simplePos x="0" y="0"/>
                <wp:positionH relativeFrom="margin">
                  <wp:posOffset>4940225</wp:posOffset>
                </wp:positionH>
                <wp:positionV relativeFrom="paragraph">
                  <wp:posOffset>5269211</wp:posOffset>
                </wp:positionV>
                <wp:extent cx="680484" cy="329610"/>
                <wp:effectExtent l="0" t="0" r="24765" b="13335"/>
                <wp:wrapNone/>
                <wp:docPr id="60" name="Rectangle 60"/>
                <wp:cNvGraphicFramePr/>
                <a:graphic xmlns:a="http://schemas.openxmlformats.org/drawingml/2006/main">
                  <a:graphicData uri="http://schemas.microsoft.com/office/word/2010/wordprocessingShape">
                    <wps:wsp>
                      <wps:cNvSpPr/>
                      <wps:spPr>
                        <a:xfrm>
                          <a:off x="0" y="0"/>
                          <a:ext cx="680484" cy="329610"/>
                        </a:xfrm>
                        <a:prstGeom prst="rect">
                          <a:avLst/>
                        </a:prstGeom>
                      </wps:spPr>
                      <wps:style>
                        <a:lnRef idx="1">
                          <a:schemeClr val="accent4"/>
                        </a:lnRef>
                        <a:fillRef idx="2">
                          <a:schemeClr val="accent4"/>
                        </a:fillRef>
                        <a:effectRef idx="1">
                          <a:schemeClr val="accent4"/>
                        </a:effectRef>
                        <a:fontRef idx="minor">
                          <a:schemeClr val="dk1"/>
                        </a:fontRef>
                      </wps:style>
                      <wps:txbx>
                        <w:txbxContent>
                          <w:p w14:paraId="2883FC87" w14:textId="77777777" w:rsidR="00C92C73" w:rsidRDefault="00C92C73" w:rsidP="00B5160F">
                            <w:pPr>
                              <w:jc w:val="center"/>
                            </w:pPr>
                            <w:r>
                              <w:t>T 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37770B9" id="Rectangle 60" o:spid="_x0000_s1072" style="position:absolute;margin-left:389pt;margin-top:414.9pt;width:53.6pt;height:25.95pt;z-index:2516910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" fillcolor="#bfb1d0 [1623]" strokecolor="#795d9b [3047]">
                <v:fill color2="#ece7f1 [503]" rotate="t" angle="180" colors="0 #c9b5e8;22938f #d9cbee;1 #f0eaf9" focus="100%" type="gradient"/>
                <v:shadow on="t" color="black" opacity="24903f" origin=",.5" offset="0,.55556mm"/>
                <v:textbox>
                  <w:txbxContent>
                    <w:p w14:paraId="2883FC87" w14:textId="77777777" w:rsidR="00C92C73" w:rsidRDefault="00C92C73" w:rsidP="00B5160F">
                      <w:pPr>
                        <w:jc w:val="center"/>
                      </w:pPr>
                      <w:r>
                        <w:t>T 6</w:t>
                      </w:r>
                    </w:p>
                  </w:txbxContent>
                </v:textbox>
                <w10:wrap anchorx="margin"/>
              </v:rect>
            </w:pict>
          </mc:Fallback>
        </mc:AlternateContent>
      </w:r>
      <w:r w:rsidR="00B5160F" w:rsidRPr="00F93642">
        <w:rPr>
          <w:b/>
          <w:noProof/>
          <w:lang w:val="en-GB" w:eastAsia="en-GB"/>
        </w:rPr>
        <mc:AlternateContent>
          <mc:Choice Requires="wps">
            <w:drawing>
              <wp:anchor distT="0" distB="0" distL="114300" distR="114300" simplePos="0" relativeHeight="251692032" behindDoc="0" locked="0" layoutInCell="1" allowOverlap="1" wp14:anchorId="34E1375C" wp14:editId="3F159B44">
                <wp:simplePos x="0" y="0"/>
                <wp:positionH relativeFrom="margin">
                  <wp:posOffset>3989374</wp:posOffset>
                </wp:positionH>
                <wp:positionV relativeFrom="paragraph">
                  <wp:posOffset>5257175</wp:posOffset>
                </wp:positionV>
                <wp:extent cx="680484" cy="329610"/>
                <wp:effectExtent l="0" t="0" r="24765" b="13335"/>
                <wp:wrapNone/>
                <wp:docPr id="62" name="Rectangle 62"/>
                <wp:cNvGraphicFramePr/>
                <a:graphic xmlns:a="http://schemas.openxmlformats.org/drawingml/2006/main">
                  <a:graphicData uri="http://schemas.microsoft.com/office/word/2010/wordprocessingShape">
                    <wps:wsp>
                      <wps:cNvSpPr/>
                      <wps:spPr>
                        <a:xfrm>
                          <a:off x="0" y="0"/>
                          <a:ext cx="680484" cy="329610"/>
                        </a:xfrm>
                        <a:prstGeom prst="rect">
                          <a:avLst/>
                        </a:prstGeom>
                      </wps:spPr>
                      <wps:style>
                        <a:lnRef idx="1">
                          <a:schemeClr val="accent4"/>
                        </a:lnRef>
                        <a:fillRef idx="2">
                          <a:schemeClr val="accent4"/>
                        </a:fillRef>
                        <a:effectRef idx="1">
                          <a:schemeClr val="accent4"/>
                        </a:effectRef>
                        <a:fontRef idx="minor">
                          <a:schemeClr val="dk1"/>
                        </a:fontRef>
                      </wps:style>
                      <wps:txbx>
                        <w:txbxContent>
                          <w:p w14:paraId="1F4E8406" w14:textId="77777777" w:rsidR="00C92C73" w:rsidRDefault="00C92C73" w:rsidP="00B5160F">
                            <w:pPr>
                              <w:jc w:val="center"/>
                            </w:pPr>
                            <w:r>
                              <w:t>T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4E1375C" id="Rectangle 62" o:spid="_x0000_s1073" style="position:absolute;margin-left:314.1pt;margin-top:413.95pt;width:53.6pt;height:25.95pt;z-index:2516920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" fillcolor="#bfb1d0 [1623]" strokecolor="#795d9b [3047]">
                <v:fill color2="#ece7f1 [503]" rotate="t" angle="180" colors="0 #c9b5e8;22938f #d9cbee;1 #f0eaf9" focus="100%" type="gradient"/>
                <v:shadow on="t" color="black" opacity="24903f" origin=",.5" offset="0,.55556mm"/>
                <v:textbox>
                  <w:txbxContent>
                    <w:p w14:paraId="1F4E8406" w14:textId="77777777" w:rsidR="00C92C73" w:rsidRDefault="00C92C73" w:rsidP="00B5160F">
                      <w:pPr>
                        <w:jc w:val="center"/>
                      </w:pPr>
                      <w:r>
                        <w:t>T 5</w:t>
                      </w:r>
                    </w:p>
                  </w:txbxContent>
                </v:textbox>
                <w10:wrap anchorx="margin"/>
              </v:rect>
            </w:pict>
          </mc:Fallback>
        </mc:AlternateContent>
      </w:r>
      <w:r w:rsidR="00B5160F" w:rsidRPr="00F93642">
        <w:rPr>
          <w:b/>
          <w:noProof/>
          <w:lang w:val="en-GB" w:eastAsia="en-GB"/>
        </w:rPr>
        <mc:AlternateContent>
          <mc:Choice Requires="wps">
            <w:drawing>
              <wp:anchor distT="0" distB="0" distL="114300" distR="114300" simplePos="0" relativeHeight="251688960" behindDoc="0" locked="0" layoutInCell="1" allowOverlap="1" wp14:anchorId="3AF2472F" wp14:editId="7BA1BAD9">
                <wp:simplePos x="0" y="0"/>
                <wp:positionH relativeFrom="margin">
                  <wp:posOffset>2343159</wp:posOffset>
                </wp:positionH>
                <wp:positionV relativeFrom="paragraph">
                  <wp:posOffset>5273040</wp:posOffset>
                </wp:positionV>
                <wp:extent cx="680484" cy="329610"/>
                <wp:effectExtent l="0" t="0" r="24765" b="13335"/>
                <wp:wrapNone/>
                <wp:docPr id="63" name="Rectangle 63"/>
                <wp:cNvGraphicFramePr/>
                <a:graphic xmlns:a="http://schemas.openxmlformats.org/drawingml/2006/main">
                  <a:graphicData uri="http://schemas.microsoft.com/office/word/2010/wordprocessingShape">
                    <wps:wsp>
                      <wps:cNvSpPr/>
                      <wps:spPr>
                        <a:xfrm>
                          <a:off x="0" y="0"/>
                          <a:ext cx="680484" cy="329610"/>
                        </a:xfrm>
                        <a:prstGeom prst="rect">
                          <a:avLst/>
                        </a:prstGeom>
                      </wps:spPr>
                      <wps:style>
                        <a:lnRef idx="1">
                          <a:schemeClr val="accent4"/>
                        </a:lnRef>
                        <a:fillRef idx="2">
                          <a:schemeClr val="accent4"/>
                        </a:fillRef>
                        <a:effectRef idx="1">
                          <a:schemeClr val="accent4"/>
                        </a:effectRef>
                        <a:fontRef idx="minor">
                          <a:schemeClr val="dk1"/>
                        </a:fontRef>
                      </wps:style>
                      <wps:txbx>
                        <w:txbxContent>
                          <w:p w14:paraId="7E1F5E18" w14:textId="77777777" w:rsidR="00C92C73" w:rsidRDefault="00C92C73" w:rsidP="00B5160F">
                            <w:pPr>
                              <w:jc w:val="center"/>
                            </w:pPr>
                            <w:r>
                              <w:t>T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AF2472F" id="Rectangle 63" o:spid="_x0000_s1074" style="position:absolute;margin-left:184.5pt;margin-top:415.2pt;width:53.6pt;height:25.95pt;z-index:2516889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" fillcolor="#bfb1d0 [1623]" strokecolor="#795d9b [3047]">
                <v:fill color2="#ece7f1 [503]" rotate="t" angle="180" colors="0 #c9b5e8;22938f #d9cbee;1 #f0eaf9" focus="100%" type="gradient"/>
                <v:shadow on="t" color="black" opacity="24903f" origin=",.5" offset="0,.55556mm"/>
                <v:textbox>
                  <w:txbxContent>
                    <w:p w14:paraId="7E1F5E18" w14:textId="77777777" w:rsidR="00C92C73" w:rsidRDefault="00C92C73" w:rsidP="00B5160F">
                      <w:pPr>
                        <w:jc w:val="center"/>
                      </w:pPr>
                      <w:r>
                        <w:t>T 3</w:t>
                      </w:r>
                    </w:p>
                  </w:txbxContent>
                </v:textbox>
                <w10:wrap anchorx="margin"/>
              </v:rect>
            </w:pict>
          </mc:Fallback>
        </mc:AlternateContent>
      </w:r>
      <w:r w:rsidR="00B5160F" w:rsidRPr="00F93642">
        <w:rPr>
          <w:b/>
          <w:noProof/>
          <w:lang w:val="en-GB" w:eastAsia="en-GB"/>
        </w:rPr>
        <mc:AlternateContent>
          <mc:Choice Requires="wps">
            <w:drawing>
              <wp:anchor distT="0" distB="0" distL="114300" distR="114300" simplePos="0" relativeHeight="251693056" behindDoc="0" locked="0" layoutInCell="1" allowOverlap="1" wp14:anchorId="068A22CD" wp14:editId="7C65D1A2">
                <wp:simplePos x="0" y="0"/>
                <wp:positionH relativeFrom="margin">
                  <wp:posOffset>3179534</wp:posOffset>
                </wp:positionH>
                <wp:positionV relativeFrom="paragraph">
                  <wp:posOffset>5262481</wp:posOffset>
                </wp:positionV>
                <wp:extent cx="680484" cy="329610"/>
                <wp:effectExtent l="0" t="0" r="24765" b="13335"/>
                <wp:wrapNone/>
                <wp:docPr id="69" name="Rectangle 69"/>
                <wp:cNvGraphicFramePr/>
                <a:graphic xmlns:a="http://schemas.openxmlformats.org/drawingml/2006/main">
                  <a:graphicData uri="http://schemas.microsoft.com/office/word/2010/wordprocessingShape">
                    <wps:wsp>
                      <wps:cNvSpPr/>
                      <wps:spPr>
                        <a:xfrm>
                          <a:off x="0" y="0"/>
                          <a:ext cx="680484" cy="329610"/>
                        </a:xfrm>
                        <a:prstGeom prst="rect">
                          <a:avLst/>
                        </a:prstGeom>
                      </wps:spPr>
                      <wps:style>
                        <a:lnRef idx="1">
                          <a:schemeClr val="accent4"/>
                        </a:lnRef>
                        <a:fillRef idx="2">
                          <a:schemeClr val="accent4"/>
                        </a:fillRef>
                        <a:effectRef idx="1">
                          <a:schemeClr val="accent4"/>
                        </a:effectRef>
                        <a:fontRef idx="minor">
                          <a:schemeClr val="dk1"/>
                        </a:fontRef>
                      </wps:style>
                      <wps:txbx>
                        <w:txbxContent>
                          <w:p w14:paraId="3630481B" w14:textId="77777777" w:rsidR="00C92C73" w:rsidRDefault="00C92C73" w:rsidP="00B5160F">
                            <w:pPr>
                              <w:jc w:val="center"/>
                            </w:pPr>
                            <w:r>
                              <w:t>T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68A22CD" id="Rectangle 69" o:spid="_x0000_s1075" style="position:absolute;margin-left:250.35pt;margin-top:414.35pt;width:53.6pt;height:25.95pt;z-index:2516930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" fillcolor="#bfb1d0 [1623]" strokecolor="#795d9b [3047]">
                <v:fill color2="#ece7f1 [503]" rotate="t" angle="180" colors="0 #c9b5e8;22938f #d9cbee;1 #f0eaf9" focus="100%" type="gradient"/>
                <v:shadow on="t" color="black" opacity="24903f" origin=",.5" offset="0,.55556mm"/>
                <v:textbox>
                  <w:txbxContent>
                    <w:p w14:paraId="3630481B" w14:textId="77777777" w:rsidR="00C92C73" w:rsidRDefault="00C92C73" w:rsidP="00B5160F">
                      <w:pPr>
                        <w:jc w:val="center"/>
                      </w:pPr>
                      <w:r>
                        <w:t>T 4</w:t>
                      </w:r>
                    </w:p>
                  </w:txbxContent>
                </v:textbox>
                <w10:wrap anchorx="margin"/>
              </v:rect>
            </w:pict>
          </mc:Fallback>
        </mc:AlternateContent>
      </w:r>
      <w:r w:rsidR="00B5160F" w:rsidRPr="00F93642">
        <w:rPr>
          <w:b/>
          <w:noProof/>
          <w:lang w:val="en-GB" w:eastAsia="en-GB"/>
        </w:rPr>
        <mc:AlternateContent>
          <mc:Choice Requires="wps">
            <w:drawing>
              <wp:anchor distT="0" distB="0" distL="114300" distR="114300" simplePos="0" relativeHeight="251687936" behindDoc="0" locked="0" layoutInCell="1" allowOverlap="1" wp14:anchorId="692838C6" wp14:editId="4716E69C">
                <wp:simplePos x="0" y="0"/>
                <wp:positionH relativeFrom="margin">
                  <wp:posOffset>393405</wp:posOffset>
                </wp:positionH>
                <wp:positionV relativeFrom="paragraph">
                  <wp:posOffset>5275078</wp:posOffset>
                </wp:positionV>
                <wp:extent cx="680484" cy="329610"/>
                <wp:effectExtent l="0" t="0" r="24765" b="13335"/>
                <wp:wrapNone/>
                <wp:docPr id="70" name="Rectangle 70"/>
                <wp:cNvGraphicFramePr/>
                <a:graphic xmlns:a="http://schemas.openxmlformats.org/drawingml/2006/main">
                  <a:graphicData uri="http://schemas.microsoft.com/office/word/2010/wordprocessingShape">
                    <wps:wsp>
                      <wps:cNvSpPr/>
                      <wps:spPr>
                        <a:xfrm>
                          <a:off x="0" y="0"/>
                          <a:ext cx="680484" cy="329610"/>
                        </a:xfrm>
                        <a:prstGeom prst="rect">
                          <a:avLst/>
                        </a:prstGeom>
                      </wps:spPr>
                      <wps:style>
                        <a:lnRef idx="1">
                          <a:schemeClr val="accent4"/>
                        </a:lnRef>
                        <a:fillRef idx="2">
                          <a:schemeClr val="accent4"/>
                        </a:fillRef>
                        <a:effectRef idx="1">
                          <a:schemeClr val="accent4"/>
                        </a:effectRef>
                        <a:fontRef idx="minor">
                          <a:schemeClr val="dk1"/>
                        </a:fontRef>
                      </wps:style>
                      <wps:txbx>
                        <w:txbxContent>
                          <w:p w14:paraId="5943A2E7" w14:textId="77777777" w:rsidR="00C92C73" w:rsidRDefault="00C92C73" w:rsidP="00B5160F">
                            <w:pPr>
                              <w:jc w:val="center"/>
                            </w:pPr>
                            <w:r>
                              <w:t>T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92838C6" id="Rectangle 70" o:spid="_x0000_s1076" style="position:absolute;margin-left:31pt;margin-top:415.35pt;width:53.6pt;height:25.95pt;z-index:2516879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" fillcolor="#bfb1d0 [1623]" strokecolor="#795d9b [3047]">
                <v:fill color2="#ece7f1 [503]" rotate="t" angle="180" colors="0 #c9b5e8;22938f #d9cbee;1 #f0eaf9" focus="100%" type="gradient"/>
                <v:shadow on="t" color="black" opacity="24903f" origin=",.5" offset="0,.55556mm"/>
                <v:textbox>
                  <w:txbxContent>
                    <w:p w14:paraId="5943A2E7" w14:textId="77777777" w:rsidR="00C92C73" w:rsidRDefault="00C92C73" w:rsidP="00B5160F">
                      <w:pPr>
                        <w:jc w:val="center"/>
                      </w:pPr>
                      <w:r>
                        <w:t>T 1</w:t>
                      </w:r>
                    </w:p>
                  </w:txbxContent>
                </v:textbox>
                <w10:wrap anchorx="margin"/>
              </v:rect>
            </w:pict>
          </mc:Fallback>
        </mc:AlternateContent>
      </w:r>
      <w:r w:rsidR="00B5160F" w:rsidRPr="00F93642">
        <w:rPr>
          <w:b/>
          <w:noProof/>
          <w:lang w:val="en-GB" w:eastAsia="en-GB"/>
        </w:rPr>
        <mc:AlternateContent>
          <mc:Choice Requires="wps">
            <w:drawing>
              <wp:anchor distT="0" distB="0" distL="114300" distR="114300" simplePos="0" relativeHeight="251676672" behindDoc="0" locked="0" layoutInCell="1" allowOverlap="1" wp14:anchorId="5499D0FA" wp14:editId="2BF2ECA6">
                <wp:simplePos x="0" y="0"/>
                <wp:positionH relativeFrom="column">
                  <wp:posOffset>2700670</wp:posOffset>
                </wp:positionH>
                <wp:positionV relativeFrom="paragraph">
                  <wp:posOffset>2510613</wp:posOffset>
                </wp:positionV>
                <wp:extent cx="807720" cy="1902297"/>
                <wp:effectExtent l="0" t="0" r="11430" b="22225"/>
                <wp:wrapNone/>
                <wp:docPr id="71" name="Rectangle 71"/>
                <wp:cNvGraphicFramePr/>
                <a:graphic xmlns:a="http://schemas.openxmlformats.org/drawingml/2006/main">
                  <a:graphicData uri="http://schemas.microsoft.com/office/word/2010/wordprocessingShape">
                    <wps:wsp>
                      <wps:cNvSpPr/>
                      <wps:spPr>
                        <a:xfrm>
                          <a:off x="0" y="0"/>
                          <a:ext cx="807720" cy="1902297"/>
                        </a:xfrm>
                        <a:prstGeom prst="rect">
                          <a:avLst/>
                        </a:prstGeom>
                      </wps:spPr>
                      <wps:style>
                        <a:lnRef idx="1">
                          <a:schemeClr val="accent4"/>
                        </a:lnRef>
                        <a:fillRef idx="2">
                          <a:schemeClr val="accent4"/>
                        </a:fillRef>
                        <a:effectRef idx="1">
                          <a:schemeClr val="accent4"/>
                        </a:effectRef>
                        <a:fontRef idx="minor">
                          <a:schemeClr val="dk1"/>
                        </a:fontRef>
                      </wps:style>
                      <wps:txbx>
                        <w:txbxContent>
                          <w:p w14:paraId="68FD1A33" w14:textId="77777777" w:rsidR="00C92C73" w:rsidRPr="00101F03" w:rsidRDefault="00C92C73" w:rsidP="00B5160F">
                            <w:pPr>
                              <w:jc w:val="center"/>
                              <w:rPr>
                                <w:rFonts w:cs="Arial"/>
                                <w:sz w:val="18"/>
                                <w:szCs w:val="18"/>
                              </w:rPr>
                            </w:pPr>
                            <w:r>
                              <w:rPr>
                                <w:rFonts w:cs="Arial"/>
                                <w:sz w:val="18"/>
                                <w:szCs w:val="18"/>
                              </w:rPr>
                              <w:t>Objective 3</w:t>
                            </w:r>
                            <w:r w:rsidRPr="00101F03">
                              <w:rPr>
                                <w:rFonts w:cs="Arial"/>
                                <w:sz w:val="18"/>
                                <w:szCs w:val="18"/>
                              </w:rPr>
                              <w:t xml:space="preserve">: </w:t>
                            </w:r>
                            <w:r w:rsidRPr="00B1083D">
                              <w:rPr>
                                <w:rFonts w:cs="Arial"/>
                                <w:sz w:val="18"/>
                                <w:szCs w:val="18"/>
                              </w:rPr>
                              <w:t>Strengthen the revenue collection system for the health sector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9D0FA" id="Rectangle 71" o:spid="_x0000_s1077" style="position:absolute;margin-left:212.65pt;margin-top:197.7pt;width:63.6pt;height:149.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" fillcolor="#bfb1d0 [1623]" strokecolor="#795d9b [3047]">
                <v:fill color2="#ece7f1 [503]" rotate="t" angle="180" colors="0 #c9b5e8;22938f #d9cbee;1 #f0eaf9" focus="100%" type="gradient"/>
                <v:shadow on="t" color="black" opacity="24903f" origin=",.5" offset="0,.55556mm"/>
                <v:textbox>
                  <w:txbxContent>
                    <w:p w14:paraId="68FD1A33" w14:textId="77777777" w:rsidR="00C92C73" w:rsidRPr="00101F03" w:rsidRDefault="00C92C73" w:rsidP="00B5160F">
                      <w:pPr>
                        <w:jc w:val="center"/>
                        <w:rPr>
                          <w:rFonts w:cs="Arial"/>
                          <w:sz w:val="18"/>
                          <w:szCs w:val="18"/>
                        </w:rPr>
                      </w:pPr>
                      <w:r>
                        <w:rPr>
                          <w:rFonts w:cs="Arial"/>
                          <w:sz w:val="18"/>
                          <w:szCs w:val="18"/>
                        </w:rPr>
                        <w:t>Objective 3</w:t>
                      </w:r>
                      <w:r w:rsidRPr="00101F03">
                        <w:rPr>
                          <w:rFonts w:cs="Arial"/>
                          <w:sz w:val="18"/>
                          <w:szCs w:val="18"/>
                        </w:rPr>
                        <w:t xml:space="preserve">: </w:t>
                      </w:r>
                      <w:r w:rsidRPr="00B1083D">
                        <w:rPr>
                          <w:rFonts w:cs="Arial"/>
                          <w:sz w:val="18"/>
                          <w:szCs w:val="18"/>
                        </w:rPr>
                        <w:t>Strengthen the revenue collection system for the health sector</w:t>
                      </w:r>
                    </w:p>
                  </w:txbxContent>
                </v:textbox>
              </v:rect>
            </w:pict>
          </mc:Fallback>
        </mc:AlternateContent>
      </w:r>
      <w:r w:rsidR="00B5160F" w:rsidRPr="00F93642">
        <w:rPr>
          <w:b/>
          <w:noProof/>
          <w:lang w:val="en-GB" w:eastAsia="en-GB"/>
        </w:rPr>
        <mc:AlternateContent>
          <mc:Choice Requires="wps">
            <w:drawing>
              <wp:anchor distT="0" distB="0" distL="114300" distR="114300" simplePos="0" relativeHeight="251685888" behindDoc="0" locked="0" layoutInCell="1" allowOverlap="1" wp14:anchorId="216D7060" wp14:editId="7E7CE511">
                <wp:simplePos x="0" y="0"/>
                <wp:positionH relativeFrom="column">
                  <wp:posOffset>8522970</wp:posOffset>
                </wp:positionH>
                <wp:positionV relativeFrom="paragraph">
                  <wp:posOffset>4613910</wp:posOffset>
                </wp:positionV>
                <wp:extent cx="680085" cy="329565"/>
                <wp:effectExtent l="0" t="0" r="24765" b="13335"/>
                <wp:wrapNone/>
                <wp:docPr id="41" name="Rectangle 41"/>
                <wp:cNvGraphicFramePr/>
                <a:graphic xmlns:a="http://schemas.openxmlformats.org/drawingml/2006/main">
                  <a:graphicData uri="http://schemas.microsoft.com/office/word/2010/wordprocessingShape">
                    <wps:wsp>
                      <wps:cNvSpPr/>
                      <wps:spPr>
                        <a:xfrm>
                          <a:off x="0" y="0"/>
                          <a:ext cx="680085" cy="329565"/>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30177632" w14:textId="77777777" w:rsidR="00C92C73" w:rsidRDefault="00C92C73" w:rsidP="00B5160F">
                            <w:pPr>
                              <w:jc w:val="center"/>
                            </w:pPr>
                            <w:r>
                              <w:t>S 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6D7060" id="Rectangle 41" o:spid="_x0000_s1078" style="position:absolute;margin-left:671.1pt;margin-top:363.3pt;width:53.55pt;height:25.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" fillcolor="#fbcaa2 [1625]" strokecolor="#f68c36 [3049]">
                <v:fill color2="#fdefe3 [505]" rotate="t" angle="180" colors="0 #ffbe86;22938f #ffd0aa;1 #ffebdb" focus="100%" type="gradient"/>
                <v:shadow on="t" color="black" opacity="24903f" origin=",.5" offset="0,.55556mm"/>
                <v:textbox>
                  <w:txbxContent>
                    <w:p w14:paraId="30177632" w14:textId="77777777" w:rsidR="00C92C73" w:rsidRDefault="00C92C73" w:rsidP="00B5160F">
                      <w:pPr>
                        <w:jc w:val="center"/>
                      </w:pPr>
                      <w:r>
                        <w:t>S 10</w:t>
                      </w:r>
                    </w:p>
                  </w:txbxContent>
                </v:textbox>
              </v:rect>
            </w:pict>
          </mc:Fallback>
        </mc:AlternateContent>
      </w:r>
      <w:r w:rsidR="00B5160F" w:rsidRPr="00F93642">
        <w:rPr>
          <w:b/>
          <w:noProof/>
          <w:lang w:val="en-GB" w:eastAsia="en-GB"/>
        </w:rPr>
        <mc:AlternateContent>
          <mc:Choice Requires="wps">
            <w:drawing>
              <wp:anchor distT="0" distB="0" distL="114300" distR="114300" simplePos="0" relativeHeight="251684864" behindDoc="0" locked="0" layoutInCell="1" allowOverlap="1" wp14:anchorId="186CC759" wp14:editId="202852B6">
                <wp:simplePos x="0" y="0"/>
                <wp:positionH relativeFrom="margin">
                  <wp:posOffset>7770495</wp:posOffset>
                </wp:positionH>
                <wp:positionV relativeFrom="paragraph">
                  <wp:posOffset>4619137</wp:posOffset>
                </wp:positionV>
                <wp:extent cx="680484" cy="329610"/>
                <wp:effectExtent l="0" t="0" r="24765" b="13335"/>
                <wp:wrapNone/>
                <wp:docPr id="40" name="Rectangle 40"/>
                <wp:cNvGraphicFramePr/>
                <a:graphic xmlns:a="http://schemas.openxmlformats.org/drawingml/2006/main">
                  <a:graphicData uri="http://schemas.microsoft.com/office/word/2010/wordprocessingShape">
                    <wps:wsp>
                      <wps:cNvSpPr/>
                      <wps:spPr>
                        <a:xfrm>
                          <a:off x="0" y="0"/>
                          <a:ext cx="680484" cy="329610"/>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1560D229" w14:textId="77777777" w:rsidR="00C92C73" w:rsidRDefault="00C92C73" w:rsidP="00B5160F">
                            <w:pPr>
                              <w:jc w:val="center"/>
                            </w:pPr>
                            <w:r>
                              <w:t>S 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86CC759" id="Rectangle 40" o:spid="_x0000_s1079" style="position:absolute;margin-left:611.85pt;margin-top:363.7pt;width:53.6pt;height:25.95pt;z-index:2516848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" fillcolor="#fbcaa2 [1625]" strokecolor="#f68c36 [3049]">
                <v:fill color2="#fdefe3 [505]" rotate="t" angle="180" colors="0 #ffbe86;22938f #ffd0aa;1 #ffebdb" focus="100%" type="gradient"/>
                <v:shadow on="t" color="black" opacity="24903f" origin=",.5" offset="0,.55556mm"/>
                <v:textbox>
                  <w:txbxContent>
                    <w:p w14:paraId="1560D229" w14:textId="77777777" w:rsidR="00C92C73" w:rsidRDefault="00C92C73" w:rsidP="00B5160F">
                      <w:pPr>
                        <w:jc w:val="center"/>
                      </w:pPr>
                      <w:r>
                        <w:t>S 9</w:t>
                      </w:r>
                    </w:p>
                  </w:txbxContent>
                </v:textbox>
                <w10:wrap anchorx="margin"/>
              </v:rect>
            </w:pict>
          </mc:Fallback>
        </mc:AlternateContent>
      </w:r>
      <w:r w:rsidR="00B5160F" w:rsidRPr="00F93642">
        <w:rPr>
          <w:b/>
          <w:noProof/>
          <w:lang w:val="en-GB" w:eastAsia="en-GB"/>
        </w:rPr>
        <mc:AlternateContent>
          <mc:Choice Requires="wps">
            <w:drawing>
              <wp:anchor distT="0" distB="0" distL="114300" distR="114300" simplePos="0" relativeHeight="251680768" behindDoc="0" locked="0" layoutInCell="1" allowOverlap="1" wp14:anchorId="45F9DE7E" wp14:editId="1DD96177">
                <wp:simplePos x="0" y="0"/>
                <wp:positionH relativeFrom="margin">
                  <wp:posOffset>8006316</wp:posOffset>
                </wp:positionH>
                <wp:positionV relativeFrom="paragraph">
                  <wp:posOffset>2478405</wp:posOffset>
                </wp:positionV>
                <wp:extent cx="807720" cy="1870710"/>
                <wp:effectExtent l="0" t="0" r="11430" b="15240"/>
                <wp:wrapNone/>
                <wp:docPr id="72" name="Rectangle 72"/>
                <wp:cNvGraphicFramePr/>
                <a:graphic xmlns:a="http://schemas.openxmlformats.org/drawingml/2006/main">
                  <a:graphicData uri="http://schemas.microsoft.com/office/word/2010/wordprocessingShape">
                    <wps:wsp>
                      <wps:cNvSpPr/>
                      <wps:spPr>
                        <a:xfrm>
                          <a:off x="0" y="0"/>
                          <a:ext cx="807720" cy="1870710"/>
                        </a:xfrm>
                        <a:prstGeom prst="rect">
                          <a:avLst/>
                        </a:prstGeom>
                      </wps:spPr>
                      <wps:style>
                        <a:lnRef idx="1">
                          <a:schemeClr val="accent4"/>
                        </a:lnRef>
                        <a:fillRef idx="2">
                          <a:schemeClr val="accent4"/>
                        </a:fillRef>
                        <a:effectRef idx="1">
                          <a:schemeClr val="accent4"/>
                        </a:effectRef>
                        <a:fontRef idx="minor">
                          <a:schemeClr val="dk1"/>
                        </a:fontRef>
                      </wps:style>
                      <wps:txbx>
                        <w:txbxContent>
                          <w:p w14:paraId="2DB977B4" w14:textId="77777777" w:rsidR="00C92C73" w:rsidRPr="00101F03" w:rsidRDefault="00C92C73" w:rsidP="00B5160F">
                            <w:pPr>
                              <w:jc w:val="center"/>
                              <w:rPr>
                                <w:rFonts w:cs="Arial"/>
                                <w:sz w:val="18"/>
                                <w:szCs w:val="18"/>
                              </w:rPr>
                            </w:pPr>
                            <w:r>
                              <w:rPr>
                                <w:rFonts w:cs="Arial"/>
                                <w:sz w:val="18"/>
                                <w:szCs w:val="18"/>
                              </w:rPr>
                              <w:t xml:space="preserve">Objective 8: </w:t>
                            </w:r>
                            <w:r w:rsidRPr="00B1083D">
                              <w:rPr>
                                <w:rFonts w:cs="Arial"/>
                                <w:sz w:val="18"/>
                                <w:szCs w:val="18"/>
                              </w:rPr>
                              <w:t>Strengthen the overall public financial and resource data management systems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F9DE7E" id="Rectangle 72" o:spid="_x0000_s1080" style="position:absolute;margin-left:630.4pt;margin-top:195.15pt;width:63.6pt;height:147.3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" fillcolor="#bfb1d0 [1623]" strokecolor="#795d9b [3047]">
                <v:fill color2="#ece7f1 [503]" rotate="t" angle="180" colors="0 #c9b5e8;22938f #d9cbee;1 #f0eaf9" focus="100%" type="gradient"/>
                <v:shadow on="t" color="black" opacity="24903f" origin=",.5" offset="0,.55556mm"/>
                <v:textbox>
                  <w:txbxContent>
                    <w:p w14:paraId="2DB977B4" w14:textId="77777777" w:rsidR="00C92C73" w:rsidRPr="00101F03" w:rsidRDefault="00C92C73" w:rsidP="00B5160F">
                      <w:pPr>
                        <w:jc w:val="center"/>
                        <w:rPr>
                          <w:rFonts w:cs="Arial"/>
                          <w:sz w:val="18"/>
                          <w:szCs w:val="18"/>
                        </w:rPr>
                      </w:pPr>
                      <w:r>
                        <w:rPr>
                          <w:rFonts w:cs="Arial"/>
                          <w:sz w:val="18"/>
                          <w:szCs w:val="18"/>
                        </w:rPr>
                        <w:t xml:space="preserve">Objective 8: </w:t>
                      </w:r>
                      <w:r w:rsidRPr="00B1083D">
                        <w:rPr>
                          <w:rFonts w:cs="Arial"/>
                          <w:sz w:val="18"/>
                          <w:szCs w:val="18"/>
                        </w:rPr>
                        <w:t>Strengthen the overall public financial and resource data management systems</w:t>
                      </w:r>
                    </w:p>
                  </w:txbxContent>
                </v:textbox>
                <w10:wrap anchorx="margin"/>
              </v:rect>
            </w:pict>
          </mc:Fallback>
        </mc:AlternateContent>
      </w:r>
      <w:r w:rsidR="00B5160F" w:rsidRPr="00F93642">
        <w:rPr>
          <w:b/>
          <w:noProof/>
          <w:lang w:val="en-GB" w:eastAsia="en-GB"/>
        </w:rPr>
        <mc:AlternateContent>
          <mc:Choice Requires="wps">
            <w:drawing>
              <wp:anchor distT="0" distB="0" distL="114300" distR="114300" simplePos="0" relativeHeight="251669504" behindDoc="0" locked="0" layoutInCell="1" allowOverlap="1" wp14:anchorId="377CD5F7" wp14:editId="4B29465D">
                <wp:simplePos x="0" y="0"/>
                <wp:positionH relativeFrom="margin">
                  <wp:posOffset>329609</wp:posOffset>
                </wp:positionH>
                <wp:positionV relativeFrom="paragraph">
                  <wp:posOffset>2510613</wp:posOffset>
                </wp:positionV>
                <wp:extent cx="850605" cy="1902312"/>
                <wp:effectExtent l="0" t="0" r="26035" b="22225"/>
                <wp:wrapNone/>
                <wp:docPr id="73" name="Rectangle 73"/>
                <wp:cNvGraphicFramePr/>
                <a:graphic xmlns:a="http://schemas.openxmlformats.org/drawingml/2006/main">
                  <a:graphicData uri="http://schemas.microsoft.com/office/word/2010/wordprocessingShape">
                    <wps:wsp>
                      <wps:cNvSpPr/>
                      <wps:spPr>
                        <a:xfrm>
                          <a:off x="0" y="0"/>
                          <a:ext cx="850605" cy="1902312"/>
                        </a:xfrm>
                        <a:prstGeom prst="rect">
                          <a:avLst/>
                        </a:prstGeom>
                      </wps:spPr>
                      <wps:style>
                        <a:lnRef idx="1">
                          <a:schemeClr val="accent4"/>
                        </a:lnRef>
                        <a:fillRef idx="2">
                          <a:schemeClr val="accent4"/>
                        </a:fillRef>
                        <a:effectRef idx="1">
                          <a:schemeClr val="accent4"/>
                        </a:effectRef>
                        <a:fontRef idx="minor">
                          <a:schemeClr val="dk1"/>
                        </a:fontRef>
                      </wps:style>
                      <wps:txbx>
                        <w:txbxContent>
                          <w:p w14:paraId="7DA6871F" w14:textId="2D2B61C7" w:rsidR="00C92C73" w:rsidRPr="00101F03" w:rsidRDefault="00C92C73" w:rsidP="00B5160F">
                            <w:pPr>
                              <w:jc w:val="center"/>
                              <w:rPr>
                                <w:rFonts w:cs="Arial"/>
                                <w:sz w:val="18"/>
                                <w:szCs w:val="18"/>
                              </w:rPr>
                            </w:pPr>
                            <w:r w:rsidRPr="00101F03">
                              <w:rPr>
                                <w:rFonts w:cs="Arial"/>
                                <w:sz w:val="18"/>
                                <w:szCs w:val="18"/>
                              </w:rPr>
                              <w:t xml:space="preserve">Objective 1: Develop a sound, responsive and adequate health financing legal </w:t>
                            </w:r>
                            <w:r>
                              <w:rPr>
                                <w:rFonts w:cs="Arial"/>
                                <w:sz w:val="18"/>
                                <w:szCs w:val="18"/>
                              </w:rPr>
                              <w:t>framework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7CD5F7" id="Rectangle 73" o:spid="_x0000_s1081" style="position:absolute;margin-left:25.95pt;margin-top:197.7pt;width:67pt;height:149.8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" fillcolor="#bfb1d0 [1623]" strokecolor="#795d9b [3047]">
                <v:fill color2="#ece7f1 [503]" rotate="t" angle="180" colors="0 #c9b5e8;22938f #d9cbee;1 #f0eaf9" focus="100%" type="gradient"/>
                <v:shadow on="t" color="black" opacity="24903f" origin=",.5" offset="0,.55556mm"/>
                <v:textbox>
                  <w:txbxContent>
                    <w:p w14:paraId="7DA6871F" w14:textId="2D2B61C7" w:rsidR="00C92C73" w:rsidRPr="00101F03" w:rsidRDefault="00C92C73" w:rsidP="00B5160F">
                      <w:pPr>
                        <w:jc w:val="center"/>
                        <w:rPr>
                          <w:rFonts w:cs="Arial"/>
                          <w:sz w:val="18"/>
                          <w:szCs w:val="18"/>
                        </w:rPr>
                      </w:pPr>
                      <w:r w:rsidRPr="00101F03">
                        <w:rPr>
                          <w:rFonts w:cs="Arial"/>
                          <w:sz w:val="18"/>
                          <w:szCs w:val="18"/>
                        </w:rPr>
                        <w:t xml:space="preserve">Objective 1: Develop a sound, responsive and adequate health financing legal </w:t>
                      </w:r>
                      <w:r>
                        <w:rPr>
                          <w:rFonts w:cs="Arial"/>
                          <w:sz w:val="18"/>
                          <w:szCs w:val="18"/>
                        </w:rPr>
                        <w:t>framework</w:t>
                      </w:r>
                    </w:p>
                  </w:txbxContent>
                </v:textbox>
                <w10:wrap anchorx="margin"/>
              </v:rect>
            </w:pict>
          </mc:Fallback>
        </mc:AlternateContent>
      </w:r>
      <w:r w:rsidR="00B5160F" w:rsidRPr="00F93642">
        <w:rPr>
          <w:b/>
          <w:noProof/>
          <w:lang w:val="en-GB" w:eastAsia="en-GB"/>
        </w:rPr>
        <mc:AlternateContent>
          <mc:Choice Requires="wps">
            <w:drawing>
              <wp:anchor distT="0" distB="0" distL="114300" distR="114300" simplePos="0" relativeHeight="251683840" behindDoc="0" locked="0" layoutInCell="1" allowOverlap="1" wp14:anchorId="097D2B44" wp14:editId="21F17C23">
                <wp:simplePos x="0" y="0"/>
                <wp:positionH relativeFrom="column">
                  <wp:posOffset>6929135</wp:posOffset>
                </wp:positionH>
                <wp:positionV relativeFrom="paragraph">
                  <wp:posOffset>4621042</wp:posOffset>
                </wp:positionV>
                <wp:extent cx="680484" cy="329610"/>
                <wp:effectExtent l="0" t="0" r="24765" b="13335"/>
                <wp:wrapNone/>
                <wp:docPr id="74" name="Rectangle 74"/>
                <wp:cNvGraphicFramePr/>
                <a:graphic xmlns:a="http://schemas.openxmlformats.org/drawingml/2006/main">
                  <a:graphicData uri="http://schemas.microsoft.com/office/word/2010/wordprocessingShape">
                    <wps:wsp>
                      <wps:cNvSpPr/>
                      <wps:spPr>
                        <a:xfrm>
                          <a:off x="0" y="0"/>
                          <a:ext cx="680484" cy="329610"/>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5F6B2E41" w14:textId="77777777" w:rsidR="00C92C73" w:rsidRDefault="00C92C73" w:rsidP="00B5160F">
                            <w:pPr>
                              <w:jc w:val="center"/>
                            </w:pPr>
                            <w:r>
                              <w:t>S 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97D2B44" id="Rectangle 74" o:spid="_x0000_s1082" style="position:absolute;margin-left:545.6pt;margin-top:363.85pt;width:53.6pt;height:25.9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" fillcolor="#fbcaa2 [1625]" strokecolor="#f68c36 [3049]">
                <v:fill color2="#fdefe3 [505]" rotate="t" angle="180" colors="0 #ffbe86;22938f #ffd0aa;1 #ffebdb" focus="100%" type="gradient"/>
                <v:shadow on="t" color="black" opacity="24903f" origin=",.5" offset="0,.55556mm"/>
                <v:textbox>
                  <w:txbxContent>
                    <w:p w14:paraId="5F6B2E41" w14:textId="77777777" w:rsidR="00C92C73" w:rsidRDefault="00C92C73" w:rsidP="00B5160F">
                      <w:pPr>
                        <w:jc w:val="center"/>
                      </w:pPr>
                      <w:r>
                        <w:t>S 8</w:t>
                      </w:r>
                    </w:p>
                  </w:txbxContent>
                </v:textbox>
              </v:rect>
            </w:pict>
          </mc:Fallback>
        </mc:AlternateContent>
      </w:r>
      <w:r w:rsidR="00B5160F" w:rsidRPr="00F93642">
        <w:rPr>
          <w:b/>
          <w:noProof/>
          <w:lang w:val="en-GB" w:eastAsia="en-GB"/>
        </w:rPr>
        <mc:AlternateContent>
          <mc:Choice Requires="wps">
            <w:drawing>
              <wp:anchor distT="0" distB="0" distL="114300" distR="114300" simplePos="0" relativeHeight="251679744" behindDoc="0" locked="0" layoutInCell="1" allowOverlap="1" wp14:anchorId="4834198A" wp14:editId="11C4A046">
                <wp:simplePos x="0" y="0"/>
                <wp:positionH relativeFrom="margin">
                  <wp:posOffset>6847367</wp:posOffset>
                </wp:positionH>
                <wp:positionV relativeFrom="paragraph">
                  <wp:posOffset>2468083</wp:posOffset>
                </wp:positionV>
                <wp:extent cx="850265" cy="1881342"/>
                <wp:effectExtent l="0" t="0" r="26035" b="24130"/>
                <wp:wrapNone/>
                <wp:docPr id="75" name="Rectangle 75"/>
                <wp:cNvGraphicFramePr/>
                <a:graphic xmlns:a="http://schemas.openxmlformats.org/drawingml/2006/main">
                  <a:graphicData uri="http://schemas.microsoft.com/office/word/2010/wordprocessingShape">
                    <wps:wsp>
                      <wps:cNvSpPr/>
                      <wps:spPr>
                        <a:xfrm>
                          <a:off x="0" y="0"/>
                          <a:ext cx="850265" cy="1881342"/>
                        </a:xfrm>
                        <a:prstGeom prst="rect">
                          <a:avLst/>
                        </a:prstGeom>
                      </wps:spPr>
                      <wps:style>
                        <a:lnRef idx="1">
                          <a:schemeClr val="accent4"/>
                        </a:lnRef>
                        <a:fillRef idx="2">
                          <a:schemeClr val="accent4"/>
                        </a:fillRef>
                        <a:effectRef idx="1">
                          <a:schemeClr val="accent4"/>
                        </a:effectRef>
                        <a:fontRef idx="minor">
                          <a:schemeClr val="dk1"/>
                        </a:fontRef>
                      </wps:style>
                      <wps:txbx>
                        <w:txbxContent>
                          <w:p w14:paraId="2DC58B30" w14:textId="77777777" w:rsidR="00C92C73" w:rsidRPr="00101F03" w:rsidRDefault="00C92C73" w:rsidP="00B5160F">
                            <w:pPr>
                              <w:jc w:val="center"/>
                              <w:rPr>
                                <w:rFonts w:cs="Arial"/>
                                <w:sz w:val="18"/>
                                <w:szCs w:val="18"/>
                              </w:rPr>
                            </w:pPr>
                            <w:r>
                              <w:rPr>
                                <w:rFonts w:cs="Arial"/>
                                <w:sz w:val="18"/>
                                <w:szCs w:val="18"/>
                              </w:rPr>
                              <w:t>Objective 7</w:t>
                            </w:r>
                            <w:r w:rsidRPr="00101F03">
                              <w:rPr>
                                <w:rFonts w:cs="Arial"/>
                                <w:sz w:val="18"/>
                                <w:szCs w:val="18"/>
                              </w:rPr>
                              <w:t xml:space="preserve">: </w:t>
                            </w:r>
                            <w:r w:rsidRPr="00B1083D">
                              <w:rPr>
                                <w:rFonts w:cs="Arial"/>
                                <w:sz w:val="18"/>
                                <w:szCs w:val="18"/>
                              </w:rPr>
                              <w:t>Adapt and shape the purchasing structure within the health system (focus on RBF)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34198A" id="Rectangle 75" o:spid="_x0000_s1083" style="position:absolute;margin-left:539.15pt;margin-top:194.35pt;width:66.95pt;height:148.1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" fillcolor="#bfb1d0 [1623]" strokecolor="#795d9b [3047]">
                <v:fill color2="#ece7f1 [503]" rotate="t" angle="180" colors="0 #c9b5e8;22938f #d9cbee;1 #f0eaf9" focus="100%" type="gradient"/>
                <v:shadow on="t" color="black" opacity="24903f" origin=",.5" offset="0,.55556mm"/>
                <v:textbox>
                  <w:txbxContent>
                    <w:p w14:paraId="2DC58B30" w14:textId="77777777" w:rsidR="00C92C73" w:rsidRPr="00101F03" w:rsidRDefault="00C92C73" w:rsidP="00B5160F">
                      <w:pPr>
                        <w:jc w:val="center"/>
                        <w:rPr>
                          <w:rFonts w:cs="Arial"/>
                          <w:sz w:val="18"/>
                          <w:szCs w:val="18"/>
                        </w:rPr>
                      </w:pPr>
                      <w:r>
                        <w:rPr>
                          <w:rFonts w:cs="Arial"/>
                          <w:sz w:val="18"/>
                          <w:szCs w:val="18"/>
                        </w:rPr>
                        <w:t>Objective 7</w:t>
                      </w:r>
                      <w:r w:rsidRPr="00101F03">
                        <w:rPr>
                          <w:rFonts w:cs="Arial"/>
                          <w:sz w:val="18"/>
                          <w:szCs w:val="18"/>
                        </w:rPr>
                        <w:t xml:space="preserve">: </w:t>
                      </w:r>
                      <w:r w:rsidRPr="00B1083D">
                        <w:rPr>
                          <w:rFonts w:cs="Arial"/>
                          <w:sz w:val="18"/>
                          <w:szCs w:val="18"/>
                        </w:rPr>
                        <w:t>Adapt and shape the purchasing structure within the health system (focus on RBF)</w:t>
                      </w:r>
                    </w:p>
                  </w:txbxContent>
                </v:textbox>
                <w10:wrap anchorx="margin"/>
              </v:rect>
            </w:pict>
          </mc:Fallback>
        </mc:AlternateContent>
      </w:r>
      <w:r w:rsidR="00B5160F" w:rsidRPr="00F93642">
        <w:rPr>
          <w:b/>
          <w:noProof/>
          <w:lang w:val="en-GB" w:eastAsia="en-GB"/>
        </w:rPr>
        <mc:AlternateContent>
          <mc:Choice Requires="wps">
            <w:drawing>
              <wp:anchor distT="0" distB="0" distL="114300" distR="114300" simplePos="0" relativeHeight="251682816" behindDoc="0" locked="0" layoutInCell="1" allowOverlap="1" wp14:anchorId="3F454870" wp14:editId="5FF8D491">
                <wp:simplePos x="0" y="0"/>
                <wp:positionH relativeFrom="column">
                  <wp:posOffset>5918746</wp:posOffset>
                </wp:positionH>
                <wp:positionV relativeFrom="paragraph">
                  <wp:posOffset>4616760</wp:posOffset>
                </wp:positionV>
                <wp:extent cx="680484" cy="329610"/>
                <wp:effectExtent l="0" t="0" r="24765" b="13335"/>
                <wp:wrapNone/>
                <wp:docPr id="76" name="Rectangle 76"/>
                <wp:cNvGraphicFramePr/>
                <a:graphic xmlns:a="http://schemas.openxmlformats.org/drawingml/2006/main">
                  <a:graphicData uri="http://schemas.microsoft.com/office/word/2010/wordprocessingShape">
                    <wps:wsp>
                      <wps:cNvSpPr/>
                      <wps:spPr>
                        <a:xfrm>
                          <a:off x="0" y="0"/>
                          <a:ext cx="680484" cy="329610"/>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6810D395" w14:textId="77777777" w:rsidR="00C92C73" w:rsidRDefault="00C92C73" w:rsidP="00B5160F">
                            <w:pPr>
                              <w:jc w:val="center"/>
                            </w:pPr>
                            <w:r>
                              <w:t>S 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F454870" id="Rectangle 76" o:spid="_x0000_s1084" style="position:absolute;margin-left:466.05pt;margin-top:363.5pt;width:53.6pt;height:25.95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" fillcolor="#fbcaa2 [1625]" strokecolor="#f68c36 [3049]">
                <v:fill color2="#fdefe3 [505]" rotate="t" angle="180" colors="0 #ffbe86;22938f #ffd0aa;1 #ffebdb" focus="100%" type="gradient"/>
                <v:shadow on="t" color="black" opacity="24903f" origin=",.5" offset="0,.55556mm"/>
                <v:textbox>
                  <w:txbxContent>
                    <w:p w14:paraId="6810D395" w14:textId="77777777" w:rsidR="00C92C73" w:rsidRDefault="00C92C73" w:rsidP="00B5160F">
                      <w:pPr>
                        <w:jc w:val="center"/>
                      </w:pPr>
                      <w:r>
                        <w:t>S 7</w:t>
                      </w:r>
                    </w:p>
                  </w:txbxContent>
                </v:textbox>
              </v:rect>
            </w:pict>
          </mc:Fallback>
        </mc:AlternateContent>
      </w:r>
      <w:r w:rsidR="00B5160F" w:rsidRPr="00F93642">
        <w:rPr>
          <w:b/>
          <w:noProof/>
          <w:lang w:val="en-GB" w:eastAsia="en-GB"/>
        </w:rPr>
        <mc:AlternateContent>
          <mc:Choice Requires="wps">
            <w:drawing>
              <wp:anchor distT="0" distB="0" distL="114300" distR="114300" simplePos="0" relativeHeight="251678720" behindDoc="0" locked="0" layoutInCell="1" allowOverlap="1" wp14:anchorId="67FF9D62" wp14:editId="4991CD72">
                <wp:simplePos x="0" y="0"/>
                <wp:positionH relativeFrom="margin">
                  <wp:posOffset>5847774</wp:posOffset>
                </wp:positionH>
                <wp:positionV relativeFrom="paragraph">
                  <wp:posOffset>2489038</wp:posOffset>
                </wp:positionV>
                <wp:extent cx="829339" cy="1870710"/>
                <wp:effectExtent l="0" t="0" r="27940" b="15240"/>
                <wp:wrapNone/>
                <wp:docPr id="77" name="Rectangle 77"/>
                <wp:cNvGraphicFramePr/>
                <a:graphic xmlns:a="http://schemas.openxmlformats.org/drawingml/2006/main">
                  <a:graphicData uri="http://schemas.microsoft.com/office/word/2010/wordprocessingShape">
                    <wps:wsp>
                      <wps:cNvSpPr/>
                      <wps:spPr>
                        <a:xfrm>
                          <a:off x="0" y="0"/>
                          <a:ext cx="829339" cy="1870710"/>
                        </a:xfrm>
                        <a:prstGeom prst="rect">
                          <a:avLst/>
                        </a:prstGeom>
                      </wps:spPr>
                      <wps:style>
                        <a:lnRef idx="1">
                          <a:schemeClr val="accent4"/>
                        </a:lnRef>
                        <a:fillRef idx="2">
                          <a:schemeClr val="accent4"/>
                        </a:fillRef>
                        <a:effectRef idx="1">
                          <a:schemeClr val="accent4"/>
                        </a:effectRef>
                        <a:fontRef idx="minor">
                          <a:schemeClr val="dk1"/>
                        </a:fontRef>
                      </wps:style>
                      <wps:txbx>
                        <w:txbxContent>
                          <w:p w14:paraId="420ACD12" w14:textId="77777777" w:rsidR="00C92C73" w:rsidRPr="00101F03" w:rsidRDefault="00C92C73" w:rsidP="00B5160F">
                            <w:pPr>
                              <w:jc w:val="center"/>
                              <w:rPr>
                                <w:rFonts w:cs="Arial"/>
                                <w:sz w:val="18"/>
                                <w:szCs w:val="18"/>
                              </w:rPr>
                            </w:pPr>
                            <w:r>
                              <w:rPr>
                                <w:rFonts w:cs="Arial"/>
                                <w:sz w:val="18"/>
                                <w:szCs w:val="18"/>
                              </w:rPr>
                              <w:t>Objective 6</w:t>
                            </w:r>
                            <w:r w:rsidRPr="00101F03">
                              <w:rPr>
                                <w:rFonts w:cs="Arial"/>
                                <w:sz w:val="18"/>
                                <w:szCs w:val="18"/>
                              </w:rPr>
                              <w:t xml:space="preserve">: </w:t>
                            </w:r>
                            <w:r w:rsidRPr="00B1083D">
                              <w:rPr>
                                <w:rFonts w:cs="Arial"/>
                                <w:sz w:val="18"/>
                                <w:szCs w:val="18"/>
                              </w:rPr>
                              <w:t>Ensure appropriate resources allocations and expenditures for health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FF9D62" id="Rectangle 77" o:spid="_x0000_s1085" style="position:absolute;margin-left:460.45pt;margin-top:196pt;width:65.3pt;height:147.3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" fillcolor="#bfb1d0 [1623]" strokecolor="#795d9b [3047]">
                <v:fill color2="#ece7f1 [503]" rotate="t" angle="180" colors="0 #c9b5e8;22938f #d9cbee;1 #f0eaf9" focus="100%" type="gradient"/>
                <v:shadow on="t" color="black" opacity="24903f" origin=",.5" offset="0,.55556mm"/>
                <v:textbox>
                  <w:txbxContent>
                    <w:p w14:paraId="420ACD12" w14:textId="77777777" w:rsidR="00C92C73" w:rsidRPr="00101F03" w:rsidRDefault="00C92C73" w:rsidP="00B5160F">
                      <w:pPr>
                        <w:jc w:val="center"/>
                        <w:rPr>
                          <w:rFonts w:cs="Arial"/>
                          <w:sz w:val="18"/>
                          <w:szCs w:val="18"/>
                        </w:rPr>
                      </w:pPr>
                      <w:r>
                        <w:rPr>
                          <w:rFonts w:cs="Arial"/>
                          <w:sz w:val="18"/>
                          <w:szCs w:val="18"/>
                        </w:rPr>
                        <w:t>Objective 6</w:t>
                      </w:r>
                      <w:r w:rsidRPr="00101F03">
                        <w:rPr>
                          <w:rFonts w:cs="Arial"/>
                          <w:sz w:val="18"/>
                          <w:szCs w:val="18"/>
                        </w:rPr>
                        <w:t xml:space="preserve">: </w:t>
                      </w:r>
                      <w:r w:rsidRPr="00B1083D">
                        <w:rPr>
                          <w:rFonts w:cs="Arial"/>
                          <w:sz w:val="18"/>
                          <w:szCs w:val="18"/>
                        </w:rPr>
                        <w:t>Ensure appropriate resources allocations and expenditures for health</w:t>
                      </w:r>
                    </w:p>
                  </w:txbxContent>
                </v:textbox>
                <w10:wrap anchorx="margin"/>
              </v:rect>
            </w:pict>
          </mc:Fallback>
        </mc:AlternateContent>
      </w:r>
      <w:r w:rsidR="00B5160F" w:rsidRPr="00F93642">
        <w:rPr>
          <w:b/>
          <w:noProof/>
          <w:lang w:val="en-GB" w:eastAsia="en-GB"/>
        </w:rPr>
        <mc:AlternateContent>
          <mc:Choice Requires="wps">
            <w:drawing>
              <wp:anchor distT="0" distB="0" distL="114300" distR="114300" simplePos="0" relativeHeight="251670528" behindDoc="0" locked="0" layoutInCell="1" allowOverlap="1" wp14:anchorId="3FB39D73" wp14:editId="68AC1420">
                <wp:simplePos x="0" y="0"/>
                <wp:positionH relativeFrom="column">
                  <wp:posOffset>4858577</wp:posOffset>
                </wp:positionH>
                <wp:positionV relativeFrom="paragraph">
                  <wp:posOffset>2489038</wp:posOffset>
                </wp:positionV>
                <wp:extent cx="818707" cy="1903095"/>
                <wp:effectExtent l="0" t="0" r="19685" b="20955"/>
                <wp:wrapNone/>
                <wp:docPr id="79" name="Rectangle 79"/>
                <wp:cNvGraphicFramePr/>
                <a:graphic xmlns:a="http://schemas.openxmlformats.org/drawingml/2006/main">
                  <a:graphicData uri="http://schemas.microsoft.com/office/word/2010/wordprocessingShape">
                    <wps:wsp>
                      <wps:cNvSpPr/>
                      <wps:spPr>
                        <a:xfrm>
                          <a:off x="0" y="0"/>
                          <a:ext cx="818707" cy="1903095"/>
                        </a:xfrm>
                        <a:prstGeom prst="rect">
                          <a:avLst/>
                        </a:prstGeom>
                      </wps:spPr>
                      <wps:style>
                        <a:lnRef idx="1">
                          <a:schemeClr val="accent4"/>
                        </a:lnRef>
                        <a:fillRef idx="2">
                          <a:schemeClr val="accent4"/>
                        </a:fillRef>
                        <a:effectRef idx="1">
                          <a:schemeClr val="accent4"/>
                        </a:effectRef>
                        <a:fontRef idx="minor">
                          <a:schemeClr val="dk1"/>
                        </a:fontRef>
                      </wps:style>
                      <wps:txbx>
                        <w:txbxContent>
                          <w:p w14:paraId="1BB89104" w14:textId="77777777" w:rsidR="00C92C73" w:rsidRPr="00101F03" w:rsidRDefault="00C92C73" w:rsidP="00B5160F">
                            <w:pPr>
                              <w:jc w:val="center"/>
                              <w:rPr>
                                <w:rFonts w:cs="Arial"/>
                                <w:sz w:val="18"/>
                                <w:szCs w:val="18"/>
                              </w:rPr>
                            </w:pPr>
                            <w:r>
                              <w:rPr>
                                <w:rFonts w:cs="Arial"/>
                                <w:sz w:val="18"/>
                                <w:szCs w:val="18"/>
                              </w:rPr>
                              <w:t>Objective 5</w:t>
                            </w:r>
                            <w:r w:rsidRPr="00101F03">
                              <w:rPr>
                                <w:rFonts w:cs="Arial"/>
                                <w:sz w:val="18"/>
                                <w:szCs w:val="18"/>
                              </w:rPr>
                              <w:t xml:space="preserve">: Develop a </w:t>
                            </w:r>
                            <w:r>
                              <w:rPr>
                                <w:rFonts w:cs="Arial"/>
                                <w:sz w:val="18"/>
                                <w:szCs w:val="18"/>
                              </w:rPr>
                              <w:t>health financing system which is responsive to the needs of the poor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B39D73" id="Rectangle 79" o:spid="_x0000_s1086" style="position:absolute;margin-left:382.55pt;margin-top:196pt;width:64.45pt;height:149.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" fillcolor="#bfb1d0 [1623]" strokecolor="#795d9b [3047]">
                <v:fill color2="#ece7f1 [503]" rotate="t" angle="180" colors="0 #c9b5e8;22938f #d9cbee;1 #f0eaf9" focus="100%" type="gradient"/>
                <v:shadow on="t" color="black" opacity="24903f" origin=",.5" offset="0,.55556mm"/>
                <v:textbox>
                  <w:txbxContent>
                    <w:p w14:paraId="1BB89104" w14:textId="77777777" w:rsidR="00C92C73" w:rsidRPr="00101F03" w:rsidRDefault="00C92C73" w:rsidP="00B5160F">
                      <w:pPr>
                        <w:jc w:val="center"/>
                        <w:rPr>
                          <w:rFonts w:cs="Arial"/>
                          <w:sz w:val="18"/>
                          <w:szCs w:val="18"/>
                        </w:rPr>
                      </w:pPr>
                      <w:r>
                        <w:rPr>
                          <w:rFonts w:cs="Arial"/>
                          <w:sz w:val="18"/>
                          <w:szCs w:val="18"/>
                        </w:rPr>
                        <w:t>Objective 5</w:t>
                      </w:r>
                      <w:r w:rsidRPr="00101F03">
                        <w:rPr>
                          <w:rFonts w:cs="Arial"/>
                          <w:sz w:val="18"/>
                          <w:szCs w:val="18"/>
                        </w:rPr>
                        <w:t xml:space="preserve">: Develop a </w:t>
                      </w:r>
                      <w:r>
                        <w:rPr>
                          <w:rFonts w:cs="Arial"/>
                          <w:sz w:val="18"/>
                          <w:szCs w:val="18"/>
                        </w:rPr>
                        <w:t>health financing system which is responsive to the needs of the poor</w:t>
                      </w:r>
                    </w:p>
                  </w:txbxContent>
                </v:textbox>
              </v:rect>
            </w:pict>
          </mc:Fallback>
        </mc:AlternateContent>
      </w:r>
      <w:r w:rsidR="00B5160F" w:rsidRPr="00F93642">
        <w:rPr>
          <w:b/>
          <w:noProof/>
          <w:lang w:val="en-GB" w:eastAsia="en-GB"/>
        </w:rPr>
        <mc:AlternateContent>
          <mc:Choice Requires="wps">
            <w:drawing>
              <wp:anchor distT="0" distB="0" distL="114300" distR="114300" simplePos="0" relativeHeight="251677696" behindDoc="0" locked="0" layoutInCell="1" allowOverlap="1" wp14:anchorId="2C8CF72D" wp14:editId="36F3543D">
                <wp:simplePos x="0" y="0"/>
                <wp:positionH relativeFrom="column">
                  <wp:posOffset>3859619</wp:posOffset>
                </wp:positionH>
                <wp:positionV relativeFrom="paragraph">
                  <wp:posOffset>2489349</wp:posOffset>
                </wp:positionV>
                <wp:extent cx="839470" cy="1902770"/>
                <wp:effectExtent l="0" t="0" r="17780" b="21590"/>
                <wp:wrapNone/>
                <wp:docPr id="80" name="Rectangle 80"/>
                <wp:cNvGraphicFramePr/>
                <a:graphic xmlns:a="http://schemas.openxmlformats.org/drawingml/2006/main">
                  <a:graphicData uri="http://schemas.microsoft.com/office/word/2010/wordprocessingShape">
                    <wps:wsp>
                      <wps:cNvSpPr/>
                      <wps:spPr>
                        <a:xfrm>
                          <a:off x="0" y="0"/>
                          <a:ext cx="839470" cy="1902770"/>
                        </a:xfrm>
                        <a:prstGeom prst="rect">
                          <a:avLst/>
                        </a:prstGeom>
                      </wps:spPr>
                      <wps:style>
                        <a:lnRef idx="1">
                          <a:schemeClr val="accent4"/>
                        </a:lnRef>
                        <a:fillRef idx="2">
                          <a:schemeClr val="accent4"/>
                        </a:fillRef>
                        <a:effectRef idx="1">
                          <a:schemeClr val="accent4"/>
                        </a:effectRef>
                        <a:fontRef idx="minor">
                          <a:schemeClr val="dk1"/>
                        </a:fontRef>
                      </wps:style>
                      <wps:txbx>
                        <w:txbxContent>
                          <w:p w14:paraId="1DEAD525" w14:textId="77777777" w:rsidR="00C92C73" w:rsidRPr="00101F03" w:rsidRDefault="00C92C73" w:rsidP="00B5160F">
                            <w:pPr>
                              <w:jc w:val="center"/>
                              <w:rPr>
                                <w:rFonts w:cs="Arial"/>
                                <w:sz w:val="18"/>
                                <w:szCs w:val="18"/>
                              </w:rPr>
                            </w:pPr>
                            <w:r>
                              <w:rPr>
                                <w:rFonts w:cs="Arial"/>
                                <w:sz w:val="18"/>
                                <w:szCs w:val="18"/>
                              </w:rPr>
                              <w:t>Objective 4</w:t>
                            </w:r>
                            <w:r w:rsidRPr="00101F03">
                              <w:rPr>
                                <w:rFonts w:cs="Arial"/>
                                <w:sz w:val="18"/>
                                <w:szCs w:val="18"/>
                              </w:rPr>
                              <w:t xml:space="preserve">: </w:t>
                            </w:r>
                            <w:r w:rsidRPr="00B1083D">
                              <w:rPr>
                                <w:rFonts w:cs="Arial"/>
                                <w:sz w:val="18"/>
                                <w:szCs w:val="18"/>
                              </w:rPr>
                              <w:t>Improve financial and risk pooling mechanisms within the health sector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8CF72D" id="Rectangle 80" o:spid="_x0000_s1087" style="position:absolute;margin-left:303.9pt;margin-top:196pt;width:66.1pt;height:149.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" fillcolor="#bfb1d0 [1623]" strokecolor="#795d9b [3047]">
                <v:fill color2="#ece7f1 [503]" rotate="t" angle="180" colors="0 #c9b5e8;22938f #d9cbee;1 #f0eaf9" focus="100%" type="gradient"/>
                <v:shadow on="t" color="black" opacity="24903f" origin=",.5" offset="0,.55556mm"/>
                <v:textbox>
                  <w:txbxContent>
                    <w:p w14:paraId="1DEAD525" w14:textId="77777777" w:rsidR="00C92C73" w:rsidRPr="00101F03" w:rsidRDefault="00C92C73" w:rsidP="00B5160F">
                      <w:pPr>
                        <w:jc w:val="center"/>
                        <w:rPr>
                          <w:rFonts w:cs="Arial"/>
                          <w:sz w:val="18"/>
                          <w:szCs w:val="18"/>
                        </w:rPr>
                      </w:pPr>
                      <w:r>
                        <w:rPr>
                          <w:rFonts w:cs="Arial"/>
                          <w:sz w:val="18"/>
                          <w:szCs w:val="18"/>
                        </w:rPr>
                        <w:t>Objective 4</w:t>
                      </w:r>
                      <w:r w:rsidRPr="00101F03">
                        <w:rPr>
                          <w:rFonts w:cs="Arial"/>
                          <w:sz w:val="18"/>
                          <w:szCs w:val="18"/>
                        </w:rPr>
                        <w:t xml:space="preserve">: </w:t>
                      </w:r>
                      <w:r w:rsidRPr="00B1083D">
                        <w:rPr>
                          <w:rFonts w:cs="Arial"/>
                          <w:sz w:val="18"/>
                          <w:szCs w:val="18"/>
                        </w:rPr>
                        <w:t>Improve financial and risk pooling mechanisms within the health sector</w:t>
                      </w:r>
                    </w:p>
                  </w:txbxContent>
                </v:textbox>
              </v:rect>
            </w:pict>
          </mc:Fallback>
        </mc:AlternateContent>
      </w:r>
      <w:r w:rsidR="00B5160F" w:rsidRPr="00F93642">
        <w:rPr>
          <w:b/>
          <w:noProof/>
          <w:lang w:val="en-GB" w:eastAsia="en-GB"/>
        </w:rPr>
        <mc:AlternateContent>
          <mc:Choice Requires="wps">
            <w:drawing>
              <wp:anchor distT="0" distB="0" distL="114300" distR="114300" simplePos="0" relativeHeight="251665408" behindDoc="0" locked="0" layoutInCell="1" allowOverlap="1" wp14:anchorId="2FF3684D" wp14:editId="27F51808">
                <wp:simplePos x="0" y="0"/>
                <wp:positionH relativeFrom="column">
                  <wp:posOffset>3152952</wp:posOffset>
                </wp:positionH>
                <wp:positionV relativeFrom="paragraph">
                  <wp:posOffset>4632960</wp:posOffset>
                </wp:positionV>
                <wp:extent cx="680085" cy="329565"/>
                <wp:effectExtent l="0" t="0" r="24765" b="13335"/>
                <wp:wrapNone/>
                <wp:docPr id="81" name="Rectangle 81"/>
                <wp:cNvGraphicFramePr/>
                <a:graphic xmlns:a="http://schemas.openxmlformats.org/drawingml/2006/main">
                  <a:graphicData uri="http://schemas.microsoft.com/office/word/2010/wordprocessingShape">
                    <wps:wsp>
                      <wps:cNvSpPr/>
                      <wps:spPr>
                        <a:xfrm>
                          <a:off x="0" y="0"/>
                          <a:ext cx="680085" cy="329565"/>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6F7B56F6" w14:textId="77777777" w:rsidR="00C92C73" w:rsidRDefault="00C92C73" w:rsidP="00B5160F">
                            <w:pPr>
                              <w:jc w:val="center"/>
                            </w:pPr>
                            <w:r>
                              <w:t>S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FF3684D" id="Rectangle 81" o:spid="_x0000_s1088" style="position:absolute;margin-left:248.25pt;margin-top:364.8pt;width:53.55pt;height:25.9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" fillcolor="#fbcaa2 [1625]" strokecolor="#f68c36 [3049]">
                <v:fill color2="#fdefe3 [505]" rotate="t" angle="180" colors="0 #ffbe86;22938f #ffd0aa;1 #ffebdb" focus="100%" type="gradient"/>
                <v:shadow on="t" color="black" opacity="24903f" origin=",.5" offset="0,.55556mm"/>
                <v:textbox>
                  <w:txbxContent>
                    <w:p w14:paraId="6F7B56F6" w14:textId="77777777" w:rsidR="00C92C73" w:rsidRDefault="00C92C73" w:rsidP="00B5160F">
                      <w:pPr>
                        <w:jc w:val="center"/>
                      </w:pPr>
                      <w:r>
                        <w:t>S 4</w:t>
                      </w:r>
                    </w:p>
                  </w:txbxContent>
                </v:textbox>
              </v:rect>
            </w:pict>
          </mc:Fallback>
        </mc:AlternateContent>
      </w:r>
      <w:r w:rsidR="00B5160F" w:rsidRPr="00F93642">
        <w:rPr>
          <w:b/>
          <w:noProof/>
          <w:lang w:val="en-GB" w:eastAsia="en-GB"/>
        </w:rPr>
        <mc:AlternateContent>
          <mc:Choice Requires="wps">
            <w:drawing>
              <wp:anchor distT="0" distB="0" distL="114300" distR="114300" simplePos="0" relativeHeight="251666432" behindDoc="0" locked="0" layoutInCell="1" allowOverlap="1" wp14:anchorId="00A7BE61" wp14:editId="3E3F500D">
                <wp:simplePos x="0" y="0"/>
                <wp:positionH relativeFrom="column">
                  <wp:posOffset>2344434</wp:posOffset>
                </wp:positionH>
                <wp:positionV relativeFrom="paragraph">
                  <wp:posOffset>4638512</wp:posOffset>
                </wp:positionV>
                <wp:extent cx="680484" cy="329610"/>
                <wp:effectExtent l="0" t="0" r="24765" b="13335"/>
                <wp:wrapNone/>
                <wp:docPr id="82" name="Rectangle 82"/>
                <wp:cNvGraphicFramePr/>
                <a:graphic xmlns:a="http://schemas.openxmlformats.org/drawingml/2006/main">
                  <a:graphicData uri="http://schemas.microsoft.com/office/word/2010/wordprocessingShape">
                    <wps:wsp>
                      <wps:cNvSpPr/>
                      <wps:spPr>
                        <a:xfrm>
                          <a:off x="0" y="0"/>
                          <a:ext cx="680484" cy="329610"/>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2063043E" w14:textId="77777777" w:rsidR="00C92C73" w:rsidRDefault="00C92C73" w:rsidP="00B5160F">
                            <w:pPr>
                              <w:jc w:val="center"/>
                            </w:pPr>
                            <w:r>
                              <w:t>S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0A7BE61" id="Rectangle 82" o:spid="_x0000_s1089" style="position:absolute;margin-left:184.6pt;margin-top:365.25pt;width:53.6pt;height:25.9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" fillcolor="#fbcaa2 [1625]" strokecolor="#f68c36 [3049]">
                <v:fill color2="#fdefe3 [505]" rotate="t" angle="180" colors="0 #ffbe86;22938f #ffd0aa;1 #ffebdb" focus="100%" type="gradient"/>
                <v:shadow on="t" color="black" opacity="24903f" origin=",.5" offset="0,.55556mm"/>
                <v:textbox>
                  <w:txbxContent>
                    <w:p w14:paraId="2063043E" w14:textId="77777777" w:rsidR="00C92C73" w:rsidRDefault="00C92C73" w:rsidP="00B5160F">
                      <w:pPr>
                        <w:jc w:val="center"/>
                      </w:pPr>
                      <w:r>
                        <w:t>S 3</w:t>
                      </w:r>
                    </w:p>
                  </w:txbxContent>
                </v:textbox>
              </v:rect>
            </w:pict>
          </mc:Fallback>
        </mc:AlternateContent>
      </w:r>
      <w:r w:rsidR="00B5160F" w:rsidRPr="00F93642">
        <w:rPr>
          <w:b/>
          <w:noProof/>
          <w:lang w:val="en-GB" w:eastAsia="en-GB"/>
        </w:rPr>
        <mc:AlternateContent>
          <mc:Choice Requires="wps">
            <w:drawing>
              <wp:anchor distT="0" distB="0" distL="114300" distR="114300" simplePos="0" relativeHeight="251664384" behindDoc="0" locked="0" layoutInCell="1" allowOverlap="1" wp14:anchorId="1DEEE123" wp14:editId="703FB58F">
                <wp:simplePos x="0" y="0"/>
                <wp:positionH relativeFrom="column">
                  <wp:posOffset>3953997</wp:posOffset>
                </wp:positionH>
                <wp:positionV relativeFrom="paragraph">
                  <wp:posOffset>4641584</wp:posOffset>
                </wp:positionV>
                <wp:extent cx="680484" cy="329610"/>
                <wp:effectExtent l="0" t="0" r="24765" b="13335"/>
                <wp:wrapNone/>
                <wp:docPr id="83" name="Rectangle 83"/>
                <wp:cNvGraphicFramePr/>
                <a:graphic xmlns:a="http://schemas.openxmlformats.org/drawingml/2006/main">
                  <a:graphicData uri="http://schemas.microsoft.com/office/word/2010/wordprocessingShape">
                    <wps:wsp>
                      <wps:cNvSpPr/>
                      <wps:spPr>
                        <a:xfrm>
                          <a:off x="0" y="0"/>
                          <a:ext cx="680484" cy="329610"/>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3D4A2F50" w14:textId="77777777" w:rsidR="00C92C73" w:rsidRDefault="00C92C73" w:rsidP="00B5160F">
                            <w:pPr>
                              <w:jc w:val="center"/>
                            </w:pPr>
                            <w:r>
                              <w:t>S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DEEE123" id="Rectangle 83" o:spid="_x0000_s1090" style="position:absolute;margin-left:311.35pt;margin-top:365.5pt;width:53.6pt;height:25.9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" fillcolor="#fbcaa2 [1625]" strokecolor="#f68c36 [3049]">
                <v:fill color2="#fdefe3 [505]" rotate="t" angle="180" colors="0 #ffbe86;22938f #ffd0aa;1 #ffebdb" focus="100%" type="gradient"/>
                <v:shadow on="t" color="black" opacity="24903f" origin=",.5" offset="0,.55556mm"/>
                <v:textbox>
                  <w:txbxContent>
                    <w:p w14:paraId="3D4A2F50" w14:textId="77777777" w:rsidR="00C92C73" w:rsidRDefault="00C92C73" w:rsidP="00B5160F">
                      <w:pPr>
                        <w:jc w:val="center"/>
                      </w:pPr>
                      <w:r>
                        <w:t>S 5</w:t>
                      </w:r>
                    </w:p>
                  </w:txbxContent>
                </v:textbox>
              </v:rect>
            </w:pict>
          </mc:Fallback>
        </mc:AlternateContent>
      </w:r>
      <w:r w:rsidR="00B5160F" w:rsidRPr="00F93642">
        <w:rPr>
          <w:b/>
          <w:noProof/>
          <w:lang w:val="en-GB" w:eastAsia="en-GB"/>
        </w:rPr>
        <mc:AlternateContent>
          <mc:Choice Requires="wps">
            <w:drawing>
              <wp:anchor distT="0" distB="0" distL="114300" distR="114300" simplePos="0" relativeHeight="251663360" behindDoc="0" locked="0" layoutInCell="1" allowOverlap="1" wp14:anchorId="5725117B" wp14:editId="441C7021">
                <wp:simplePos x="0" y="0"/>
                <wp:positionH relativeFrom="margin">
                  <wp:posOffset>395383</wp:posOffset>
                </wp:positionH>
                <wp:positionV relativeFrom="paragraph">
                  <wp:posOffset>4617927</wp:posOffset>
                </wp:positionV>
                <wp:extent cx="680484" cy="329610"/>
                <wp:effectExtent l="0" t="0" r="24765" b="13335"/>
                <wp:wrapNone/>
                <wp:docPr id="84" name="Rectangle 84"/>
                <wp:cNvGraphicFramePr/>
                <a:graphic xmlns:a="http://schemas.openxmlformats.org/drawingml/2006/main">
                  <a:graphicData uri="http://schemas.microsoft.com/office/word/2010/wordprocessingShape">
                    <wps:wsp>
                      <wps:cNvSpPr/>
                      <wps:spPr>
                        <a:xfrm>
                          <a:off x="0" y="0"/>
                          <a:ext cx="680484" cy="329610"/>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18BCEB27" w14:textId="77777777" w:rsidR="00C92C73" w:rsidRDefault="00C92C73" w:rsidP="00B5160F">
                            <w:pPr>
                              <w:jc w:val="center"/>
                            </w:pPr>
                            <w:r>
                              <w:t>S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725117B" id="Rectangle 84" o:spid="_x0000_s1091" style="position:absolute;margin-left:31.15pt;margin-top:363.6pt;width:53.6pt;height:25.95pt;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" fillcolor="#fbcaa2 [1625]" strokecolor="#f68c36 [3049]">
                <v:fill color2="#fdefe3 [505]" rotate="t" angle="180" colors="0 #ffbe86;22938f #ffd0aa;1 #ffebdb" focus="100%" type="gradient"/>
                <v:shadow on="t" color="black" opacity="24903f" origin=",.5" offset="0,.55556mm"/>
                <v:textbox>
                  <w:txbxContent>
                    <w:p w14:paraId="18BCEB27" w14:textId="77777777" w:rsidR="00C92C73" w:rsidRDefault="00C92C73" w:rsidP="00B5160F">
                      <w:pPr>
                        <w:jc w:val="center"/>
                      </w:pPr>
                      <w:r>
                        <w:t>S 1</w:t>
                      </w:r>
                    </w:p>
                  </w:txbxContent>
                </v:textbox>
                <w10:wrap anchorx="margin"/>
              </v:rect>
            </w:pict>
          </mc:Fallback>
        </mc:AlternateContent>
      </w:r>
      <w:r w:rsidR="00B5160F" w:rsidRPr="00F93642">
        <w:rPr>
          <w:b/>
          <w:noProof/>
          <w:lang w:val="en-GB" w:eastAsia="en-GB"/>
        </w:rPr>
        <mc:AlternateContent>
          <mc:Choice Requires="wps">
            <w:drawing>
              <wp:anchor distT="0" distB="0" distL="114300" distR="114300" simplePos="0" relativeHeight="251674624" behindDoc="0" locked="0" layoutInCell="1" allowOverlap="1" wp14:anchorId="120670AB" wp14:editId="1C1CF8F6">
                <wp:simplePos x="0" y="0"/>
                <wp:positionH relativeFrom="column">
                  <wp:posOffset>374311</wp:posOffset>
                </wp:positionH>
                <wp:positionV relativeFrom="paragraph">
                  <wp:posOffset>265090</wp:posOffset>
                </wp:positionV>
                <wp:extent cx="1431985" cy="681487"/>
                <wp:effectExtent l="0" t="0" r="15875" b="23495"/>
                <wp:wrapNone/>
                <wp:docPr id="85" name="Rectangle 85"/>
                <wp:cNvGraphicFramePr/>
                <a:graphic xmlns:a="http://schemas.openxmlformats.org/drawingml/2006/main">
                  <a:graphicData uri="http://schemas.microsoft.com/office/word/2010/wordprocessingShape">
                    <wps:wsp>
                      <wps:cNvSpPr/>
                      <wps:spPr>
                        <a:xfrm>
                          <a:off x="0" y="0"/>
                          <a:ext cx="1431985" cy="681487"/>
                        </a:xfrm>
                        <a:prstGeom prst="rect">
                          <a:avLst/>
                        </a:prstGeom>
                      </wps:spPr>
                      <wps:style>
                        <a:lnRef idx="2">
                          <a:schemeClr val="dk1"/>
                        </a:lnRef>
                        <a:fillRef idx="1">
                          <a:schemeClr val="lt1"/>
                        </a:fillRef>
                        <a:effectRef idx="0">
                          <a:schemeClr val="dk1"/>
                        </a:effectRef>
                        <a:fontRef idx="minor">
                          <a:schemeClr val="dk1"/>
                        </a:fontRef>
                      </wps:style>
                      <wps:txbx>
                        <w:txbxContent>
                          <w:p w14:paraId="6D2F23E9" w14:textId="77777777" w:rsidR="00C92C73" w:rsidRPr="0050673D" w:rsidRDefault="00C92C73" w:rsidP="00B5160F">
                            <w:pPr>
                              <w:jc w:val="center"/>
                              <w:rPr>
                                <w:rFonts w:cs="Arial"/>
                                <w:sz w:val="18"/>
                                <w:szCs w:val="18"/>
                              </w:rPr>
                            </w:pPr>
                            <w:r>
                              <w:rPr>
                                <w:rFonts w:cs="Arial"/>
                                <w:sz w:val="18"/>
                                <w:szCs w:val="18"/>
                              </w:rPr>
                              <w:t>%</w:t>
                            </w:r>
                            <w:r w:rsidRPr="00987C67">
                              <w:rPr>
                                <w:rFonts w:cs="Arial"/>
                                <w:sz w:val="18"/>
                                <w:szCs w:val="18"/>
                              </w:rPr>
                              <w:t xml:space="preserve"> of households facing catastrophic health expenditure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0670AB" id="Rectangle 85" o:spid="_x0000_s1092" style="position:absolute;margin-left:29.45pt;margin-top:20.85pt;width:112.75pt;height:53.6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" fillcolor="white [3201]" strokecolor="black [3200]" strokeweight="2pt">
                <v:textbox>
                  <w:txbxContent>
                    <w:p w14:paraId="6D2F23E9" w14:textId="77777777" w:rsidR="00C92C73" w:rsidRPr="0050673D" w:rsidRDefault="00C92C73" w:rsidP="00B5160F">
                      <w:pPr>
                        <w:jc w:val="center"/>
                        <w:rPr>
                          <w:rFonts w:cs="Arial"/>
                          <w:sz w:val="18"/>
                          <w:szCs w:val="18"/>
                        </w:rPr>
                      </w:pPr>
                      <w:r>
                        <w:rPr>
                          <w:rFonts w:cs="Arial"/>
                          <w:sz w:val="18"/>
                          <w:szCs w:val="18"/>
                        </w:rPr>
                        <w:t>%</w:t>
                      </w:r>
                      <w:r w:rsidRPr="00987C67">
                        <w:rPr>
                          <w:rFonts w:cs="Arial"/>
                          <w:sz w:val="18"/>
                          <w:szCs w:val="18"/>
                        </w:rPr>
                        <w:t xml:space="preserve"> of households facing catastrophic health expenditure</w:t>
                      </w:r>
                    </w:p>
                  </w:txbxContent>
                </v:textbox>
              </v:rect>
            </w:pict>
          </mc:Fallback>
        </mc:AlternateContent>
      </w:r>
      <w:r w:rsidR="00B5160F" w:rsidRPr="00F93642">
        <w:rPr>
          <w:b/>
          <w:noProof/>
          <w:lang w:val="en-GB" w:eastAsia="en-GB"/>
        </w:rPr>
        <mc:AlternateContent>
          <mc:Choice Requires="wps">
            <w:drawing>
              <wp:anchor distT="0" distB="0" distL="114300" distR="114300" simplePos="0" relativeHeight="251671552" behindDoc="0" locked="0" layoutInCell="1" allowOverlap="1" wp14:anchorId="1E87A89F" wp14:editId="555C9887">
                <wp:simplePos x="0" y="0"/>
                <wp:positionH relativeFrom="column">
                  <wp:posOffset>2174196</wp:posOffset>
                </wp:positionH>
                <wp:positionV relativeFrom="paragraph">
                  <wp:posOffset>242718</wp:posOffset>
                </wp:positionV>
                <wp:extent cx="1431985" cy="681487"/>
                <wp:effectExtent l="0" t="0" r="15875" b="23495"/>
                <wp:wrapNone/>
                <wp:docPr id="86" name="Rectangle 86"/>
                <wp:cNvGraphicFramePr/>
                <a:graphic xmlns:a="http://schemas.openxmlformats.org/drawingml/2006/main">
                  <a:graphicData uri="http://schemas.microsoft.com/office/word/2010/wordprocessingShape">
                    <wps:wsp>
                      <wps:cNvSpPr/>
                      <wps:spPr>
                        <a:xfrm>
                          <a:off x="0" y="0"/>
                          <a:ext cx="1431985" cy="681487"/>
                        </a:xfrm>
                        <a:prstGeom prst="rect">
                          <a:avLst/>
                        </a:prstGeom>
                      </wps:spPr>
                      <wps:style>
                        <a:lnRef idx="2">
                          <a:schemeClr val="dk1"/>
                        </a:lnRef>
                        <a:fillRef idx="1">
                          <a:schemeClr val="lt1"/>
                        </a:fillRef>
                        <a:effectRef idx="0">
                          <a:schemeClr val="dk1"/>
                        </a:effectRef>
                        <a:fontRef idx="minor">
                          <a:schemeClr val="dk1"/>
                        </a:fontRef>
                      </wps:style>
                      <wps:txbx>
                        <w:txbxContent>
                          <w:p w14:paraId="3BC63808" w14:textId="77777777" w:rsidR="00C92C73" w:rsidRPr="0050673D" w:rsidRDefault="00C92C73" w:rsidP="00B5160F">
                            <w:pPr>
                              <w:jc w:val="center"/>
                              <w:rPr>
                                <w:rFonts w:cs="Arial"/>
                                <w:sz w:val="18"/>
                                <w:szCs w:val="18"/>
                              </w:rPr>
                            </w:pPr>
                            <w:r>
                              <w:rPr>
                                <w:rFonts w:cs="Arial"/>
                                <w:sz w:val="18"/>
                                <w:szCs w:val="18"/>
                              </w:rPr>
                              <w:t xml:space="preserve">% </w:t>
                            </w:r>
                            <w:r w:rsidRPr="0050673D">
                              <w:rPr>
                                <w:rFonts w:cs="Arial"/>
                                <w:sz w:val="18"/>
                                <w:szCs w:val="18"/>
                              </w:rPr>
                              <w:t>of households facing impoverishment due to health expenditure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87A89F" id="Rectangle 86" o:spid="_x0000_s1093" style="position:absolute;margin-left:171.2pt;margin-top:19.1pt;width:112.75pt;height:53.6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" fillcolor="white [3201]" strokecolor="black [3200]" strokeweight="2pt">
                <v:textbox>
                  <w:txbxContent>
                    <w:p w14:paraId="3BC63808" w14:textId="77777777" w:rsidR="00C92C73" w:rsidRPr="0050673D" w:rsidRDefault="00C92C73" w:rsidP="00B5160F">
                      <w:pPr>
                        <w:jc w:val="center"/>
                        <w:rPr>
                          <w:rFonts w:cs="Arial"/>
                          <w:sz w:val="18"/>
                          <w:szCs w:val="18"/>
                        </w:rPr>
                      </w:pPr>
                      <w:r>
                        <w:rPr>
                          <w:rFonts w:cs="Arial"/>
                          <w:sz w:val="18"/>
                          <w:szCs w:val="18"/>
                        </w:rPr>
                        <w:t xml:space="preserve">% </w:t>
                      </w:r>
                      <w:r w:rsidRPr="0050673D">
                        <w:rPr>
                          <w:rFonts w:cs="Arial"/>
                          <w:sz w:val="18"/>
                          <w:szCs w:val="18"/>
                        </w:rPr>
                        <w:t>of households facing impoverishment due to health expenditure</w:t>
                      </w:r>
                    </w:p>
                  </w:txbxContent>
                </v:textbox>
              </v:rect>
            </w:pict>
          </mc:Fallback>
        </mc:AlternateContent>
      </w:r>
      <w:r w:rsidR="00B5160F" w:rsidRPr="00F93642">
        <w:rPr>
          <w:b/>
          <w:noProof/>
          <w:lang w:val="en-GB" w:eastAsia="en-GB"/>
        </w:rPr>
        <mc:AlternateContent>
          <mc:Choice Requires="wps">
            <w:drawing>
              <wp:anchor distT="0" distB="0" distL="114300" distR="114300" simplePos="0" relativeHeight="251672576" behindDoc="0" locked="0" layoutInCell="1" allowOverlap="1" wp14:anchorId="5C5458CB" wp14:editId="2ADF5736">
                <wp:simplePos x="0" y="0"/>
                <wp:positionH relativeFrom="margin">
                  <wp:posOffset>4024556</wp:posOffset>
                </wp:positionH>
                <wp:positionV relativeFrom="paragraph">
                  <wp:posOffset>242570</wp:posOffset>
                </wp:positionV>
                <wp:extent cx="1431985" cy="681487"/>
                <wp:effectExtent l="0" t="0" r="15875" b="23495"/>
                <wp:wrapNone/>
                <wp:docPr id="87" name="Rectangle 87"/>
                <wp:cNvGraphicFramePr/>
                <a:graphic xmlns:a="http://schemas.openxmlformats.org/drawingml/2006/main">
                  <a:graphicData uri="http://schemas.microsoft.com/office/word/2010/wordprocessingShape">
                    <wps:wsp>
                      <wps:cNvSpPr/>
                      <wps:spPr>
                        <a:xfrm>
                          <a:off x="0" y="0"/>
                          <a:ext cx="1431985" cy="681487"/>
                        </a:xfrm>
                        <a:prstGeom prst="rect">
                          <a:avLst/>
                        </a:prstGeom>
                      </wps:spPr>
                      <wps:style>
                        <a:lnRef idx="2">
                          <a:schemeClr val="dk1"/>
                        </a:lnRef>
                        <a:fillRef idx="1">
                          <a:schemeClr val="lt1"/>
                        </a:fillRef>
                        <a:effectRef idx="0">
                          <a:schemeClr val="dk1"/>
                        </a:effectRef>
                        <a:fontRef idx="minor">
                          <a:schemeClr val="dk1"/>
                        </a:fontRef>
                      </wps:style>
                      <wps:txbx>
                        <w:txbxContent>
                          <w:p w14:paraId="1192F5BF" w14:textId="77777777" w:rsidR="00C92C73" w:rsidRPr="0050673D" w:rsidRDefault="00C92C73" w:rsidP="00B5160F">
                            <w:pPr>
                              <w:jc w:val="center"/>
                              <w:rPr>
                                <w:rFonts w:cs="Arial"/>
                                <w:sz w:val="18"/>
                                <w:szCs w:val="18"/>
                              </w:rPr>
                            </w:pPr>
                            <w:r>
                              <w:rPr>
                                <w:rFonts w:cs="Arial"/>
                                <w:sz w:val="18"/>
                                <w:szCs w:val="18"/>
                              </w:rPr>
                              <w:t>%</w:t>
                            </w:r>
                            <w:r w:rsidRPr="007B1E5D">
                              <w:rPr>
                                <w:rFonts w:cs="Arial"/>
                                <w:sz w:val="18"/>
                                <w:szCs w:val="18"/>
                              </w:rPr>
                              <w:t xml:space="preserve"> of government expenditures allocated to health in </w:t>
                            </w:r>
                            <w:r>
                              <w:rPr>
                                <w:rFonts w:cs="Arial"/>
                                <w:sz w:val="18"/>
                                <w:szCs w:val="18"/>
                              </w:rPr>
                              <w:t>TGE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5458CB" id="Rectangle 87" o:spid="_x0000_s1094" style="position:absolute;margin-left:316.9pt;margin-top:19.1pt;width:112.75pt;height:53.65pt;z-index:25167257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" fillcolor="white [3201]" strokecolor="black [3200]" strokeweight="2pt">
                <v:textbox>
                  <w:txbxContent>
                    <w:p w14:paraId="1192F5BF" w14:textId="77777777" w:rsidR="00C92C73" w:rsidRPr="0050673D" w:rsidRDefault="00C92C73" w:rsidP="00B5160F">
                      <w:pPr>
                        <w:jc w:val="center"/>
                        <w:rPr>
                          <w:rFonts w:cs="Arial"/>
                          <w:sz w:val="18"/>
                          <w:szCs w:val="18"/>
                        </w:rPr>
                      </w:pPr>
                      <w:r>
                        <w:rPr>
                          <w:rFonts w:cs="Arial"/>
                          <w:sz w:val="18"/>
                          <w:szCs w:val="18"/>
                        </w:rPr>
                        <w:t>%</w:t>
                      </w:r>
                      <w:r w:rsidRPr="007B1E5D">
                        <w:rPr>
                          <w:rFonts w:cs="Arial"/>
                          <w:sz w:val="18"/>
                          <w:szCs w:val="18"/>
                        </w:rPr>
                        <w:t xml:space="preserve"> of government expenditures allocated to health in </w:t>
                      </w:r>
                      <w:r>
                        <w:rPr>
                          <w:rFonts w:cs="Arial"/>
                          <w:sz w:val="18"/>
                          <w:szCs w:val="18"/>
                        </w:rPr>
                        <w:t>TGE</w:t>
                      </w:r>
                    </w:p>
                  </w:txbxContent>
                </v:textbox>
                <w10:wrap anchorx="margin"/>
              </v:rect>
            </w:pict>
          </mc:Fallback>
        </mc:AlternateContent>
      </w:r>
      <w:r w:rsidR="00B5160F" w:rsidRPr="00F93642">
        <w:rPr>
          <w:b/>
          <w:noProof/>
          <w:lang w:val="en-GB" w:eastAsia="en-GB"/>
        </w:rPr>
        <mc:AlternateContent>
          <mc:Choice Requires="wps">
            <w:drawing>
              <wp:anchor distT="0" distB="0" distL="114300" distR="114300" simplePos="0" relativeHeight="251675648" behindDoc="0" locked="0" layoutInCell="1" allowOverlap="1" wp14:anchorId="552188EF" wp14:editId="028F1C42">
                <wp:simplePos x="0" y="0"/>
                <wp:positionH relativeFrom="margin">
                  <wp:align>right</wp:align>
                </wp:positionH>
                <wp:positionV relativeFrom="paragraph">
                  <wp:posOffset>286518</wp:posOffset>
                </wp:positionV>
                <wp:extent cx="1431985" cy="681487"/>
                <wp:effectExtent l="0" t="0" r="15875" b="23495"/>
                <wp:wrapNone/>
                <wp:docPr id="90" name="Rectangle 90"/>
                <wp:cNvGraphicFramePr/>
                <a:graphic xmlns:a="http://schemas.openxmlformats.org/drawingml/2006/main">
                  <a:graphicData uri="http://schemas.microsoft.com/office/word/2010/wordprocessingShape">
                    <wps:wsp>
                      <wps:cNvSpPr/>
                      <wps:spPr>
                        <a:xfrm>
                          <a:off x="0" y="0"/>
                          <a:ext cx="1431985" cy="681487"/>
                        </a:xfrm>
                        <a:prstGeom prst="rect">
                          <a:avLst/>
                        </a:prstGeom>
                      </wps:spPr>
                      <wps:style>
                        <a:lnRef idx="2">
                          <a:schemeClr val="dk1"/>
                        </a:lnRef>
                        <a:fillRef idx="1">
                          <a:schemeClr val="lt1"/>
                        </a:fillRef>
                        <a:effectRef idx="0">
                          <a:schemeClr val="dk1"/>
                        </a:effectRef>
                        <a:fontRef idx="minor">
                          <a:schemeClr val="dk1"/>
                        </a:fontRef>
                      </wps:style>
                      <wps:txbx>
                        <w:txbxContent>
                          <w:p w14:paraId="30BD012D" w14:textId="77777777" w:rsidR="00C92C73" w:rsidRPr="0050673D" w:rsidRDefault="00C92C73" w:rsidP="00B5160F">
                            <w:pPr>
                              <w:jc w:val="center"/>
                              <w:rPr>
                                <w:rFonts w:cs="Arial"/>
                                <w:sz w:val="18"/>
                                <w:szCs w:val="18"/>
                              </w:rPr>
                            </w:pPr>
                            <w:r>
                              <w:rPr>
                                <w:rFonts w:cs="Arial"/>
                                <w:sz w:val="18"/>
                                <w:szCs w:val="18"/>
                              </w:rPr>
                              <w:t>% of</w:t>
                            </w:r>
                            <w:r w:rsidRPr="00BA54E2">
                              <w:rPr>
                                <w:rFonts w:cs="Arial"/>
                                <w:sz w:val="18"/>
                                <w:szCs w:val="18"/>
                              </w:rPr>
                              <w:t xml:space="preserve"> population </w:t>
                            </w:r>
                            <w:r>
                              <w:rPr>
                                <w:rFonts w:cs="Arial"/>
                                <w:sz w:val="18"/>
                                <w:szCs w:val="18"/>
                              </w:rPr>
                              <w:t>with</w:t>
                            </w:r>
                            <w:r w:rsidRPr="00BA54E2">
                              <w:rPr>
                                <w:rFonts w:cs="Arial"/>
                                <w:sz w:val="18"/>
                                <w:szCs w:val="18"/>
                              </w:rPr>
                              <w:t xml:space="preserve"> access to essential health </w:t>
                            </w:r>
                            <w:r>
                              <w:rPr>
                                <w:rFonts w:cs="Arial"/>
                                <w:sz w:val="18"/>
                                <w:szCs w:val="18"/>
                              </w:rPr>
                              <w:t>services (</w:t>
                            </w:r>
                            <w:r w:rsidRPr="00BA54E2">
                              <w:rPr>
                                <w:rFonts w:cs="Arial"/>
                                <w:sz w:val="18"/>
                                <w:szCs w:val="18"/>
                              </w:rPr>
                              <w:t>MBP</w:t>
                            </w:r>
                            <w:r>
                              <w:rPr>
                                <w:rFonts w:cs="Arial"/>
                                <w:sz w:val="18"/>
                                <w:szCs w:val="18"/>
                              </w:rPr>
                              <w:t>)</w:t>
                            </w:r>
                            <w:r w:rsidRPr="00BA54E2">
                              <w:rPr>
                                <w:rFonts w:cs="Arial"/>
                                <w:sz w:val="18"/>
                                <w:szCs w:val="18"/>
                              </w:rPr>
                              <w:t>, by quintile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2188EF" id="Rectangle 90" o:spid="_x0000_s1095" style="position:absolute;margin-left:61.55pt;margin-top:22.55pt;width:112.75pt;height:53.65pt;z-index:251675648;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" fillcolor="white [3201]" strokecolor="black [3200]" strokeweight="2pt">
                <v:textbox>
                  <w:txbxContent>
                    <w:p w14:paraId="30BD012D" w14:textId="77777777" w:rsidR="00C92C73" w:rsidRPr="0050673D" w:rsidRDefault="00C92C73" w:rsidP="00B5160F">
                      <w:pPr>
                        <w:jc w:val="center"/>
                        <w:rPr>
                          <w:rFonts w:cs="Arial"/>
                          <w:sz w:val="18"/>
                          <w:szCs w:val="18"/>
                        </w:rPr>
                      </w:pPr>
                      <w:r>
                        <w:rPr>
                          <w:rFonts w:cs="Arial"/>
                          <w:sz w:val="18"/>
                          <w:szCs w:val="18"/>
                        </w:rPr>
                        <w:t>% of</w:t>
                      </w:r>
                      <w:r w:rsidRPr="00BA54E2">
                        <w:rPr>
                          <w:rFonts w:cs="Arial"/>
                          <w:sz w:val="18"/>
                          <w:szCs w:val="18"/>
                        </w:rPr>
                        <w:t xml:space="preserve"> population </w:t>
                      </w:r>
                      <w:r>
                        <w:rPr>
                          <w:rFonts w:cs="Arial"/>
                          <w:sz w:val="18"/>
                          <w:szCs w:val="18"/>
                        </w:rPr>
                        <w:t>with</w:t>
                      </w:r>
                      <w:r w:rsidRPr="00BA54E2">
                        <w:rPr>
                          <w:rFonts w:cs="Arial"/>
                          <w:sz w:val="18"/>
                          <w:szCs w:val="18"/>
                        </w:rPr>
                        <w:t xml:space="preserve"> access to essential health </w:t>
                      </w:r>
                      <w:r>
                        <w:rPr>
                          <w:rFonts w:cs="Arial"/>
                          <w:sz w:val="18"/>
                          <w:szCs w:val="18"/>
                        </w:rPr>
                        <w:t>services (</w:t>
                      </w:r>
                      <w:r w:rsidRPr="00BA54E2">
                        <w:rPr>
                          <w:rFonts w:cs="Arial"/>
                          <w:sz w:val="18"/>
                          <w:szCs w:val="18"/>
                        </w:rPr>
                        <w:t>MBP</w:t>
                      </w:r>
                      <w:r>
                        <w:rPr>
                          <w:rFonts w:cs="Arial"/>
                          <w:sz w:val="18"/>
                          <w:szCs w:val="18"/>
                        </w:rPr>
                        <w:t>)</w:t>
                      </w:r>
                      <w:r w:rsidRPr="00BA54E2">
                        <w:rPr>
                          <w:rFonts w:cs="Arial"/>
                          <w:sz w:val="18"/>
                          <w:szCs w:val="18"/>
                        </w:rPr>
                        <w:t>, by quintile</w:t>
                      </w:r>
                    </w:p>
                  </w:txbxContent>
                </v:textbox>
                <w10:wrap anchorx="margin"/>
              </v:rect>
            </w:pict>
          </mc:Fallback>
        </mc:AlternateContent>
      </w:r>
      <w:r w:rsidR="00B5160F" w:rsidRPr="00F93642">
        <w:rPr>
          <w:b/>
          <w:noProof/>
          <w:lang w:val="en-GB" w:eastAsia="en-GB"/>
        </w:rPr>
        <mc:AlternateContent>
          <mc:Choice Requires="wps">
            <w:drawing>
              <wp:anchor distT="0" distB="0" distL="114300" distR="114300" simplePos="0" relativeHeight="251673600" behindDoc="0" locked="0" layoutInCell="1" allowOverlap="1" wp14:anchorId="473BC4E0" wp14:editId="5AFCA85B">
                <wp:simplePos x="0" y="0"/>
                <wp:positionH relativeFrom="column">
                  <wp:posOffset>5803973</wp:posOffset>
                </wp:positionH>
                <wp:positionV relativeFrom="paragraph">
                  <wp:posOffset>262875</wp:posOffset>
                </wp:positionV>
                <wp:extent cx="1431985" cy="681487"/>
                <wp:effectExtent l="0" t="0" r="15875" b="23495"/>
                <wp:wrapNone/>
                <wp:docPr id="95" name="Rectangle 95"/>
                <wp:cNvGraphicFramePr/>
                <a:graphic xmlns:a="http://schemas.openxmlformats.org/drawingml/2006/main">
                  <a:graphicData uri="http://schemas.microsoft.com/office/word/2010/wordprocessingShape">
                    <wps:wsp>
                      <wps:cNvSpPr/>
                      <wps:spPr>
                        <a:xfrm>
                          <a:off x="0" y="0"/>
                          <a:ext cx="1431985" cy="681487"/>
                        </a:xfrm>
                        <a:prstGeom prst="rect">
                          <a:avLst/>
                        </a:prstGeom>
                      </wps:spPr>
                      <wps:style>
                        <a:lnRef idx="2">
                          <a:schemeClr val="dk1"/>
                        </a:lnRef>
                        <a:fillRef idx="1">
                          <a:schemeClr val="lt1"/>
                        </a:fillRef>
                        <a:effectRef idx="0">
                          <a:schemeClr val="dk1"/>
                        </a:effectRef>
                        <a:fontRef idx="minor">
                          <a:schemeClr val="dk1"/>
                        </a:fontRef>
                      </wps:style>
                      <wps:txbx>
                        <w:txbxContent>
                          <w:p w14:paraId="63DFC6E5" w14:textId="77777777" w:rsidR="00C92C73" w:rsidRPr="0050673D" w:rsidRDefault="00C92C73" w:rsidP="00B5160F">
                            <w:pPr>
                              <w:jc w:val="center"/>
                              <w:rPr>
                                <w:rFonts w:cs="Arial"/>
                                <w:sz w:val="18"/>
                                <w:szCs w:val="18"/>
                              </w:rPr>
                            </w:pPr>
                            <w:r>
                              <w:rPr>
                                <w:rFonts w:cs="Arial"/>
                                <w:sz w:val="18"/>
                                <w:szCs w:val="18"/>
                              </w:rPr>
                              <w:t xml:space="preserve">% of THE allocated to </w:t>
                            </w:r>
                            <w:r w:rsidRPr="007B1E5D">
                              <w:rPr>
                                <w:rFonts w:cs="Arial"/>
                                <w:sz w:val="18"/>
                                <w:szCs w:val="18"/>
                              </w:rPr>
                              <w:t xml:space="preserve">Public Health Centers and Dispensaries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3BC4E0" id="Rectangle 95" o:spid="_x0000_s1096" style="position:absolute;margin-left:457pt;margin-top:20.7pt;width:112.75pt;height:53.6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" fillcolor="white [3201]" strokecolor="black [3200]" strokeweight="2pt">
                <v:textbox>
                  <w:txbxContent>
                    <w:p w14:paraId="63DFC6E5" w14:textId="77777777" w:rsidR="00C92C73" w:rsidRPr="0050673D" w:rsidRDefault="00C92C73" w:rsidP="00B5160F">
                      <w:pPr>
                        <w:jc w:val="center"/>
                        <w:rPr>
                          <w:rFonts w:cs="Arial"/>
                          <w:sz w:val="18"/>
                          <w:szCs w:val="18"/>
                        </w:rPr>
                      </w:pPr>
                      <w:r>
                        <w:rPr>
                          <w:rFonts w:cs="Arial"/>
                          <w:sz w:val="18"/>
                          <w:szCs w:val="18"/>
                        </w:rPr>
                        <w:t xml:space="preserve">% of THE allocated to </w:t>
                      </w:r>
                      <w:r w:rsidRPr="007B1E5D">
                        <w:rPr>
                          <w:rFonts w:cs="Arial"/>
                          <w:sz w:val="18"/>
                          <w:szCs w:val="18"/>
                        </w:rPr>
                        <w:t xml:space="preserve">Public Health Centers and Dispensaries </w:t>
                      </w:r>
                    </w:p>
                  </w:txbxContent>
                </v:textbox>
              </v:rect>
            </w:pict>
          </mc:Fallback>
        </mc:AlternateContent>
      </w:r>
      <w:r w:rsidR="00B5160F" w:rsidRPr="00F93642">
        <w:rPr>
          <w:b/>
          <w:noProof/>
          <w:lang w:val="en-GB" w:eastAsia="en-GB"/>
        </w:rPr>
        <mc:AlternateContent>
          <mc:Choice Requires="wps">
            <w:drawing>
              <wp:anchor distT="0" distB="0" distL="114300" distR="114300" simplePos="0" relativeHeight="251662336" behindDoc="0" locked="0" layoutInCell="1" allowOverlap="1" wp14:anchorId="29D399E1" wp14:editId="35C31904">
                <wp:simplePos x="0" y="0"/>
                <wp:positionH relativeFrom="margin">
                  <wp:posOffset>611284</wp:posOffset>
                </wp:positionH>
                <wp:positionV relativeFrom="paragraph">
                  <wp:posOffset>1294440</wp:posOffset>
                </wp:positionV>
                <wp:extent cx="8186468" cy="543824"/>
                <wp:effectExtent l="0" t="0" r="24130" b="27940"/>
                <wp:wrapNone/>
                <wp:docPr id="99" name="Rectangle 99"/>
                <wp:cNvGraphicFramePr/>
                <a:graphic xmlns:a="http://schemas.openxmlformats.org/drawingml/2006/main">
                  <a:graphicData uri="http://schemas.microsoft.com/office/word/2010/wordprocessingShape">
                    <wps:wsp>
                      <wps:cNvSpPr/>
                      <wps:spPr>
                        <a:xfrm>
                          <a:off x="0" y="0"/>
                          <a:ext cx="8186468" cy="543824"/>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5A893EFE" w14:textId="77777777" w:rsidR="00C92C73" w:rsidRPr="00473A0A" w:rsidRDefault="00C92C73" w:rsidP="00B5160F">
                            <w:pPr>
                              <w:jc w:val="center"/>
                              <w:rPr>
                                <w:rFonts w:cs="Arial"/>
                                <w:sz w:val="18"/>
                                <w:szCs w:val="18"/>
                              </w:rPr>
                            </w:pPr>
                            <w:r w:rsidRPr="00473A0A">
                              <w:rPr>
                                <w:rFonts w:cs="Arial"/>
                                <w:sz w:val="18"/>
                                <w:szCs w:val="18"/>
                              </w:rPr>
                              <w:t>Goal: The HFS goal is to enable equitable access to affordable and cost-effective quality care and financial protection in case of ill health, according to nationally defined essential health services package.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D399E1" id="Rectangle 99" o:spid="_x0000_s1097" style="position:absolute;margin-left:48.15pt;margin-top:101.9pt;width:644.6pt;height:42.8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" fillcolor="#cdddac [1622]" strokecolor="#94b64e [3046]">
                <v:fill color2="#f0f4e6 [502]" rotate="t" angle="180" colors="0 #dafda7;22938f #e4fdc2;1 #f5ffe6" focus="100%" type="gradient"/>
                <v:shadow on="t" color="black" opacity="24903f" origin=",.5" offset="0,.55556mm"/>
                <v:textbox>
                  <w:txbxContent>
                    <w:p w14:paraId="5A893EFE" w14:textId="77777777" w:rsidR="00C92C73" w:rsidRPr="00473A0A" w:rsidRDefault="00C92C73" w:rsidP="00B5160F">
                      <w:pPr>
                        <w:jc w:val="center"/>
                        <w:rPr>
                          <w:rFonts w:cs="Arial"/>
                          <w:sz w:val="18"/>
                          <w:szCs w:val="18"/>
                        </w:rPr>
                      </w:pPr>
                      <w:r w:rsidRPr="00473A0A">
                        <w:rPr>
                          <w:rFonts w:cs="Arial"/>
                          <w:sz w:val="18"/>
                          <w:szCs w:val="18"/>
                        </w:rPr>
                        <w:t>Goal: The HFS goal is to enable equitable access to affordable and cost-effective quality care and financial protection in case of ill health, according to nationally defined essential health services package.</w:t>
                      </w:r>
                    </w:p>
                  </w:txbxContent>
                </v:textbox>
                <w10:wrap anchorx="margin"/>
              </v:rect>
            </w:pict>
          </mc:Fallback>
        </mc:AlternateContent>
      </w:r>
    </w:p>
    <w:p w14:paraId="66893126" w14:textId="77777777" w:rsidR="00A9551F" w:rsidRPr="008610C4" w:rsidRDefault="00A61457" w:rsidP="00A62A27">
      <w:pPr>
        <w:pStyle w:val="Title"/>
        <w:rPr>
          <w:lang w:val="es-ES"/>
        </w:rPr>
      </w:pPr>
      <w:proofErr w:type="spellStart"/>
      <w:r w:rsidRPr="008610C4">
        <w:rPr>
          <w:lang w:val="es-ES"/>
        </w:rPr>
        <w:lastRenderedPageBreak/>
        <w:t>References</w:t>
      </w:r>
      <w:proofErr w:type="spellEnd"/>
    </w:p>
    <w:p w14:paraId="70647ADA" w14:textId="77777777" w:rsidR="00DB7FA2" w:rsidRPr="006F36EF" w:rsidRDefault="00D06B02" w:rsidP="006F36EF">
      <w:pPr>
        <w:pStyle w:val="ListParagraph"/>
        <w:spacing w:line="240" w:lineRule="auto"/>
        <w:ind w:left="0"/>
        <w:contextualSpacing w:val="0"/>
        <w:rPr>
          <w:rFonts w:cs="Arial"/>
          <w:sz w:val="22"/>
        </w:rPr>
      </w:pPr>
      <w:r w:rsidRPr="008610C4">
        <w:rPr>
          <w:rFonts w:cs="Arial"/>
          <w:sz w:val="22"/>
          <w:lang w:val="es-ES"/>
        </w:rPr>
        <w:t xml:space="preserve">Fuenzalida H and </w:t>
      </w:r>
      <w:proofErr w:type="spellStart"/>
      <w:r w:rsidRPr="008610C4">
        <w:rPr>
          <w:rFonts w:cs="Arial"/>
          <w:sz w:val="22"/>
          <w:lang w:val="es-ES"/>
        </w:rPr>
        <w:t>Kuper</w:t>
      </w:r>
      <w:proofErr w:type="spellEnd"/>
      <w:r w:rsidRPr="008610C4">
        <w:rPr>
          <w:rFonts w:cs="Arial"/>
          <w:sz w:val="22"/>
          <w:lang w:val="es-ES"/>
        </w:rPr>
        <w:t xml:space="preserve"> M (2013).  </w:t>
      </w:r>
      <w:r w:rsidR="00DB7FA2" w:rsidRPr="006F36EF">
        <w:rPr>
          <w:rFonts w:cs="Arial"/>
          <w:sz w:val="22"/>
        </w:rPr>
        <w:t xml:space="preserve">Study on Provider Autonomy (Local and Primary Health Care Levels).  Report prepared for the Tanzanian Health Financing Strategy.  Oct/Dec 2013. </w:t>
      </w:r>
    </w:p>
    <w:p w14:paraId="59CA0018" w14:textId="748B6E25" w:rsidR="00894733" w:rsidRPr="006F36EF" w:rsidRDefault="00894733" w:rsidP="006F36EF">
      <w:pPr>
        <w:pStyle w:val="ListParagraph"/>
        <w:tabs>
          <w:tab w:val="left" w:pos="0"/>
        </w:tabs>
        <w:spacing w:line="240" w:lineRule="auto"/>
        <w:ind w:left="0"/>
        <w:contextualSpacing w:val="0"/>
        <w:rPr>
          <w:rFonts w:cs="Arial"/>
          <w:sz w:val="22"/>
        </w:rPr>
      </w:pPr>
      <w:r w:rsidRPr="006F36EF">
        <w:rPr>
          <w:rFonts w:cs="Arial"/>
          <w:sz w:val="22"/>
        </w:rPr>
        <w:t>MOF (2013). Macroeconomic Policy Framework for the Fi</w:t>
      </w:r>
      <w:r w:rsidR="006F36EF" w:rsidRPr="006F36EF">
        <w:rPr>
          <w:rFonts w:cs="Arial"/>
          <w:sz w:val="22"/>
        </w:rPr>
        <w:t>ve Year Development Plan/Budget 2013/14 – 2016/17.  March 2013</w:t>
      </w:r>
    </w:p>
    <w:p w14:paraId="35727F26" w14:textId="77777777" w:rsidR="0064699C" w:rsidRPr="006F36EF" w:rsidRDefault="00A62A27" w:rsidP="006F36EF">
      <w:pPr>
        <w:pStyle w:val="ListParagraph"/>
        <w:spacing w:line="240" w:lineRule="auto"/>
        <w:ind w:left="0"/>
        <w:contextualSpacing w:val="0"/>
        <w:rPr>
          <w:rFonts w:cs="Arial"/>
          <w:sz w:val="22"/>
        </w:rPr>
      </w:pPr>
      <w:r w:rsidRPr="006F36EF">
        <w:rPr>
          <w:rFonts w:cs="Arial"/>
          <w:sz w:val="22"/>
        </w:rPr>
        <w:t>MOHSW (2009) Health Sector Strategic Plan III (2009 – 2015)</w:t>
      </w:r>
    </w:p>
    <w:p w14:paraId="048493E6" w14:textId="77777777" w:rsidR="00830EB8" w:rsidRPr="006F36EF" w:rsidRDefault="00830EB8" w:rsidP="006F36EF">
      <w:pPr>
        <w:pStyle w:val="ListParagraph"/>
        <w:spacing w:line="240" w:lineRule="auto"/>
        <w:ind w:left="0"/>
        <w:contextualSpacing w:val="0"/>
        <w:rPr>
          <w:rFonts w:cs="Arial"/>
          <w:sz w:val="22"/>
        </w:rPr>
      </w:pPr>
      <w:r w:rsidRPr="006F36EF">
        <w:rPr>
          <w:rFonts w:cs="Arial"/>
          <w:sz w:val="22"/>
        </w:rPr>
        <w:t>MOHSW (20</w:t>
      </w:r>
      <w:r w:rsidR="008E78B5" w:rsidRPr="006F36EF">
        <w:rPr>
          <w:rFonts w:cs="Arial"/>
          <w:sz w:val="22"/>
        </w:rPr>
        <w:t>12</w:t>
      </w:r>
      <w:r w:rsidRPr="006F36EF">
        <w:rPr>
          <w:rFonts w:cs="Arial"/>
          <w:sz w:val="22"/>
        </w:rPr>
        <w:t>) National Health Accounts 2009/10</w:t>
      </w:r>
    </w:p>
    <w:p w14:paraId="6D2A8FC8" w14:textId="7381567B" w:rsidR="005D4257" w:rsidRPr="006F36EF" w:rsidRDefault="005D4257" w:rsidP="006F36EF">
      <w:pPr>
        <w:pStyle w:val="ListParagraph"/>
        <w:spacing w:line="240" w:lineRule="auto"/>
        <w:ind w:hanging="720"/>
        <w:contextualSpacing w:val="0"/>
        <w:rPr>
          <w:rFonts w:cs="Arial"/>
          <w:sz w:val="22"/>
        </w:rPr>
      </w:pPr>
      <w:r w:rsidRPr="006F36EF">
        <w:rPr>
          <w:rFonts w:cs="Arial"/>
          <w:sz w:val="22"/>
        </w:rPr>
        <w:t>MOHSW (2013)</w:t>
      </w:r>
      <w:r w:rsidR="00112E3E" w:rsidRPr="006F36EF">
        <w:rPr>
          <w:rFonts w:cs="Arial"/>
          <w:sz w:val="22"/>
        </w:rPr>
        <w:t>.</w:t>
      </w:r>
      <w:r w:rsidR="00B505C2" w:rsidRPr="006F36EF">
        <w:rPr>
          <w:rFonts w:cs="Arial"/>
          <w:sz w:val="22"/>
        </w:rPr>
        <w:t xml:space="preserve">  Mid Term Review of the Health Sector Strategic Plan III 2009-2015</w:t>
      </w:r>
    </w:p>
    <w:p w14:paraId="14DAD276" w14:textId="77777777" w:rsidR="003F2AF4" w:rsidRPr="006F36EF" w:rsidRDefault="003F2AF4" w:rsidP="006F36EF">
      <w:pPr>
        <w:pStyle w:val="ListParagraph"/>
        <w:spacing w:line="240" w:lineRule="auto"/>
        <w:ind w:left="0"/>
        <w:contextualSpacing w:val="0"/>
        <w:rPr>
          <w:rFonts w:cs="Arial"/>
          <w:sz w:val="22"/>
        </w:rPr>
      </w:pPr>
      <w:r w:rsidRPr="006F36EF">
        <w:rPr>
          <w:rFonts w:cs="Arial"/>
          <w:sz w:val="22"/>
        </w:rPr>
        <w:t>MOHSW, 2013. Mid Term Review of the Health Sector Strategic Plan III 2009 – 2015, Health Care Financing, Technical Report, Ministry of Health and Social Welfare, United Republic of Tanzania.</w:t>
      </w:r>
    </w:p>
    <w:p w14:paraId="29C8B470" w14:textId="77777777" w:rsidR="00950458" w:rsidRPr="006F36EF" w:rsidRDefault="00950458" w:rsidP="006F36EF">
      <w:pPr>
        <w:pStyle w:val="ListParagraph"/>
        <w:spacing w:line="240" w:lineRule="auto"/>
        <w:ind w:left="0"/>
        <w:contextualSpacing w:val="0"/>
        <w:rPr>
          <w:rFonts w:cs="Arial"/>
          <w:sz w:val="22"/>
        </w:rPr>
      </w:pPr>
      <w:r w:rsidRPr="006F36EF">
        <w:rPr>
          <w:rFonts w:cs="Arial"/>
          <w:sz w:val="22"/>
        </w:rPr>
        <w:t>MOHSW (2014</w:t>
      </w:r>
      <w:r w:rsidR="007640BD" w:rsidRPr="006F36EF">
        <w:rPr>
          <w:rFonts w:cs="Arial"/>
          <w:sz w:val="22"/>
        </w:rPr>
        <w:t>a</w:t>
      </w:r>
      <w:r w:rsidRPr="006F36EF">
        <w:rPr>
          <w:rFonts w:cs="Arial"/>
          <w:sz w:val="22"/>
        </w:rPr>
        <w:t>)</w:t>
      </w:r>
      <w:r w:rsidR="00B505C2" w:rsidRPr="006F36EF">
        <w:rPr>
          <w:rFonts w:cs="Arial"/>
          <w:sz w:val="22"/>
        </w:rPr>
        <w:t>.</w:t>
      </w:r>
      <w:r w:rsidRPr="006F36EF">
        <w:rPr>
          <w:rFonts w:cs="Arial"/>
          <w:sz w:val="22"/>
        </w:rPr>
        <w:t xml:space="preserve">  National Health Accounts FY 2011/12</w:t>
      </w:r>
    </w:p>
    <w:p w14:paraId="13BEEFAD" w14:textId="77777777" w:rsidR="007640BD" w:rsidRPr="006F36EF" w:rsidRDefault="007640BD" w:rsidP="006F36EF">
      <w:pPr>
        <w:pStyle w:val="ListParagraph"/>
        <w:spacing w:line="240" w:lineRule="auto"/>
        <w:ind w:left="0"/>
        <w:contextualSpacing w:val="0"/>
        <w:rPr>
          <w:rFonts w:cs="Arial"/>
          <w:sz w:val="22"/>
        </w:rPr>
      </w:pPr>
      <w:r w:rsidRPr="006F36EF">
        <w:rPr>
          <w:rFonts w:cs="Arial"/>
          <w:sz w:val="22"/>
        </w:rPr>
        <w:t>MOHSW (2014b)</w:t>
      </w:r>
      <w:r w:rsidR="00B505C2" w:rsidRPr="006F36EF">
        <w:rPr>
          <w:rFonts w:cs="Arial"/>
          <w:sz w:val="22"/>
        </w:rPr>
        <w:t>.</w:t>
      </w:r>
      <w:r w:rsidRPr="006F36EF">
        <w:rPr>
          <w:rFonts w:cs="Arial"/>
          <w:sz w:val="22"/>
        </w:rPr>
        <w:t xml:space="preserve"> Health Sector Public Expenditure Review FY 2012/13</w:t>
      </w:r>
    </w:p>
    <w:p w14:paraId="1EFD8229" w14:textId="77777777" w:rsidR="00950458" w:rsidRPr="006F36EF" w:rsidRDefault="00950458" w:rsidP="006F36EF">
      <w:pPr>
        <w:pStyle w:val="ListParagraph"/>
        <w:spacing w:line="240" w:lineRule="auto"/>
        <w:ind w:left="0"/>
        <w:rPr>
          <w:rFonts w:cs="Arial"/>
          <w:sz w:val="22"/>
        </w:rPr>
      </w:pPr>
      <w:proofErr w:type="spellStart"/>
      <w:r w:rsidRPr="006F36EF">
        <w:rPr>
          <w:rFonts w:cs="Arial"/>
          <w:sz w:val="22"/>
        </w:rPr>
        <w:t>Mtei</w:t>
      </w:r>
      <w:proofErr w:type="spellEnd"/>
      <w:r w:rsidRPr="006F36EF">
        <w:rPr>
          <w:rFonts w:cs="Arial"/>
          <w:sz w:val="22"/>
        </w:rPr>
        <w:t xml:space="preserve"> G and </w:t>
      </w:r>
      <w:proofErr w:type="spellStart"/>
      <w:r w:rsidRPr="006F36EF">
        <w:rPr>
          <w:rFonts w:cs="Arial"/>
          <w:sz w:val="22"/>
        </w:rPr>
        <w:t>Bultman</w:t>
      </w:r>
      <w:proofErr w:type="spellEnd"/>
      <w:r w:rsidRPr="006F36EF">
        <w:rPr>
          <w:rFonts w:cs="Arial"/>
          <w:sz w:val="22"/>
        </w:rPr>
        <w:t xml:space="preserve"> J (2013. Tanzania Health Insurance Institutional Assessment</w:t>
      </w:r>
    </w:p>
    <w:p w14:paraId="7E772F37" w14:textId="77777777" w:rsidR="00950458" w:rsidRPr="006F36EF" w:rsidRDefault="00950458" w:rsidP="006F36EF">
      <w:pPr>
        <w:pStyle w:val="ListParagraph"/>
        <w:spacing w:line="240" w:lineRule="auto"/>
        <w:ind w:left="0"/>
        <w:contextualSpacing w:val="0"/>
        <w:rPr>
          <w:rFonts w:cs="Arial"/>
          <w:sz w:val="22"/>
        </w:rPr>
      </w:pPr>
      <w:r w:rsidRPr="006F36EF">
        <w:rPr>
          <w:rFonts w:cs="Arial"/>
          <w:sz w:val="22"/>
        </w:rPr>
        <w:t>In support of Health Financing Strategy Development</w:t>
      </w:r>
    </w:p>
    <w:p w14:paraId="3D5B4665" w14:textId="320AC4C3" w:rsidR="00F72D1D" w:rsidRPr="006F36EF" w:rsidRDefault="00F72D1D" w:rsidP="006F36EF">
      <w:pPr>
        <w:pStyle w:val="ListParagraph"/>
        <w:spacing w:line="240" w:lineRule="auto"/>
        <w:ind w:left="0"/>
        <w:contextualSpacing w:val="0"/>
        <w:rPr>
          <w:rFonts w:cs="Arial"/>
          <w:sz w:val="22"/>
        </w:rPr>
      </w:pPr>
      <w:proofErr w:type="spellStart"/>
      <w:r w:rsidRPr="006F36EF">
        <w:rPr>
          <w:rFonts w:cs="Arial"/>
          <w:sz w:val="22"/>
        </w:rPr>
        <w:t>Mtei</w:t>
      </w:r>
      <w:proofErr w:type="spellEnd"/>
      <w:r w:rsidRPr="006F36EF">
        <w:rPr>
          <w:rFonts w:cs="Arial"/>
          <w:sz w:val="22"/>
        </w:rPr>
        <w:t xml:space="preserve"> G and </w:t>
      </w:r>
      <w:proofErr w:type="spellStart"/>
      <w:r w:rsidRPr="006F36EF">
        <w:rPr>
          <w:rFonts w:cs="Arial"/>
          <w:sz w:val="22"/>
        </w:rPr>
        <w:t>Enemark</w:t>
      </w:r>
      <w:proofErr w:type="spellEnd"/>
      <w:r w:rsidRPr="006F36EF">
        <w:rPr>
          <w:rFonts w:cs="Arial"/>
          <w:sz w:val="22"/>
        </w:rPr>
        <w:t xml:space="preserve"> U (2013).  Reform options for the CHF S</w:t>
      </w:r>
      <w:r w:rsidR="006F36EF" w:rsidRPr="006F36EF">
        <w:rPr>
          <w:rFonts w:cs="Arial"/>
          <w:sz w:val="22"/>
        </w:rPr>
        <w:t>ystems.  Final Report. 2013</w:t>
      </w:r>
    </w:p>
    <w:p w14:paraId="71A85C71" w14:textId="11694F9E" w:rsidR="00830EB8" w:rsidRPr="006F36EF" w:rsidRDefault="00C57C33" w:rsidP="006F36EF">
      <w:pPr>
        <w:pStyle w:val="ListParagraph"/>
        <w:spacing w:line="240" w:lineRule="auto"/>
        <w:ind w:left="0"/>
        <w:contextualSpacing w:val="0"/>
        <w:rPr>
          <w:rFonts w:cs="Arial"/>
          <w:sz w:val="22"/>
        </w:rPr>
      </w:pPr>
      <w:r>
        <w:rPr>
          <w:rFonts w:cs="Arial"/>
          <w:sz w:val="22"/>
        </w:rPr>
        <w:t>NBS</w:t>
      </w:r>
      <w:r w:rsidR="00830EB8" w:rsidRPr="006F36EF">
        <w:rPr>
          <w:rFonts w:cs="Arial"/>
          <w:sz w:val="22"/>
        </w:rPr>
        <w:t xml:space="preserve"> (2013a) Tanzania Population and Housing Census</w:t>
      </w:r>
    </w:p>
    <w:p w14:paraId="62EF4D64" w14:textId="3D86FD6E" w:rsidR="00A62A27" w:rsidRPr="006F36EF" w:rsidRDefault="00C57C33" w:rsidP="006F36EF">
      <w:pPr>
        <w:pStyle w:val="ListParagraph"/>
        <w:spacing w:line="240" w:lineRule="auto"/>
        <w:ind w:left="0"/>
        <w:contextualSpacing w:val="0"/>
        <w:rPr>
          <w:rFonts w:cs="Arial"/>
          <w:sz w:val="22"/>
        </w:rPr>
      </w:pPr>
      <w:r>
        <w:rPr>
          <w:rFonts w:cs="Arial"/>
          <w:sz w:val="22"/>
        </w:rPr>
        <w:t>NBS</w:t>
      </w:r>
      <w:r w:rsidR="00A62A27" w:rsidRPr="006F36EF">
        <w:rPr>
          <w:rFonts w:cs="Arial"/>
          <w:sz w:val="22"/>
        </w:rPr>
        <w:t xml:space="preserve"> (2013</w:t>
      </w:r>
      <w:r w:rsidR="00830EB8" w:rsidRPr="006F36EF">
        <w:rPr>
          <w:rFonts w:cs="Arial"/>
          <w:sz w:val="22"/>
        </w:rPr>
        <w:t>b</w:t>
      </w:r>
      <w:r w:rsidR="00A62A27" w:rsidRPr="006F36EF">
        <w:rPr>
          <w:rFonts w:cs="Arial"/>
          <w:sz w:val="22"/>
        </w:rPr>
        <w:t xml:space="preserve">) </w:t>
      </w:r>
      <w:r w:rsidR="00830EB8" w:rsidRPr="006F36EF">
        <w:rPr>
          <w:rFonts w:cs="Arial"/>
          <w:sz w:val="22"/>
        </w:rPr>
        <w:t>H</w:t>
      </w:r>
      <w:r w:rsidR="00A62A27" w:rsidRPr="006F36EF">
        <w:rPr>
          <w:rFonts w:cs="Arial"/>
          <w:sz w:val="22"/>
        </w:rPr>
        <w:t>ousehold Budget Survey</w:t>
      </w:r>
    </w:p>
    <w:p w14:paraId="1178D65D" w14:textId="09CCB4EF" w:rsidR="00894733" w:rsidRPr="006F36EF" w:rsidRDefault="00C57C33" w:rsidP="006F36EF">
      <w:pPr>
        <w:pStyle w:val="ListParagraph"/>
        <w:spacing w:line="240" w:lineRule="auto"/>
        <w:ind w:left="0"/>
        <w:contextualSpacing w:val="0"/>
        <w:rPr>
          <w:rFonts w:cs="Arial"/>
          <w:sz w:val="22"/>
        </w:rPr>
      </w:pPr>
      <w:r>
        <w:rPr>
          <w:rFonts w:cs="Arial"/>
          <w:sz w:val="22"/>
        </w:rPr>
        <w:t>NBS</w:t>
      </w:r>
      <w:r w:rsidR="00894733" w:rsidRPr="006F36EF">
        <w:rPr>
          <w:rFonts w:cs="Arial"/>
          <w:sz w:val="22"/>
        </w:rPr>
        <w:t xml:space="preserve"> (2013c). National Accounts </w:t>
      </w:r>
    </w:p>
    <w:p w14:paraId="63C469E0" w14:textId="35D7ACDD" w:rsidR="00D447E5" w:rsidRPr="006F36EF" w:rsidRDefault="00C57C33" w:rsidP="006F36EF">
      <w:pPr>
        <w:pStyle w:val="ListParagraph"/>
        <w:spacing w:line="240" w:lineRule="auto"/>
        <w:ind w:left="0"/>
        <w:contextualSpacing w:val="0"/>
        <w:rPr>
          <w:rFonts w:cs="Arial"/>
          <w:sz w:val="22"/>
        </w:rPr>
      </w:pPr>
      <w:r>
        <w:rPr>
          <w:rFonts w:cs="Arial"/>
          <w:sz w:val="22"/>
        </w:rPr>
        <w:t>NBS</w:t>
      </w:r>
      <w:r w:rsidR="00D447E5" w:rsidRPr="006F36EF">
        <w:rPr>
          <w:rFonts w:cs="Arial"/>
          <w:sz w:val="22"/>
        </w:rPr>
        <w:t xml:space="preserve"> (2014). Basic Demographic and Socio-Economic Profile.  Key Findings. 2012 Population and Housing Census. </w:t>
      </w:r>
    </w:p>
    <w:p w14:paraId="011EAA25" w14:textId="77777777" w:rsidR="00AC2962" w:rsidRPr="006F36EF" w:rsidRDefault="00AC2962" w:rsidP="006F36EF">
      <w:pPr>
        <w:pStyle w:val="ListParagraph"/>
        <w:spacing w:line="240" w:lineRule="auto"/>
        <w:ind w:left="0"/>
        <w:contextualSpacing w:val="0"/>
        <w:rPr>
          <w:rFonts w:cs="Arial"/>
          <w:sz w:val="22"/>
        </w:rPr>
      </w:pPr>
      <w:proofErr w:type="spellStart"/>
      <w:r w:rsidRPr="006F36EF">
        <w:rPr>
          <w:rFonts w:cs="Arial"/>
          <w:sz w:val="22"/>
        </w:rPr>
        <w:t>Stoermer</w:t>
      </w:r>
      <w:proofErr w:type="spellEnd"/>
      <w:r w:rsidRPr="006F36EF">
        <w:rPr>
          <w:rFonts w:cs="Arial"/>
          <w:sz w:val="22"/>
        </w:rPr>
        <w:t xml:space="preserve"> M, </w:t>
      </w:r>
      <w:proofErr w:type="spellStart"/>
      <w:r w:rsidRPr="006F36EF">
        <w:rPr>
          <w:rFonts w:cs="Arial"/>
          <w:sz w:val="22"/>
        </w:rPr>
        <w:t>Kessy</w:t>
      </w:r>
      <w:proofErr w:type="spellEnd"/>
      <w:r w:rsidRPr="006F36EF">
        <w:rPr>
          <w:rFonts w:cs="Arial"/>
          <w:sz w:val="22"/>
        </w:rPr>
        <w:t xml:space="preserve"> F, and </w:t>
      </w:r>
      <w:proofErr w:type="spellStart"/>
      <w:r w:rsidRPr="006F36EF">
        <w:rPr>
          <w:rFonts w:cs="Arial"/>
          <w:sz w:val="22"/>
        </w:rPr>
        <w:t>Widmer</w:t>
      </w:r>
      <w:proofErr w:type="spellEnd"/>
      <w:r w:rsidRPr="006F36EF">
        <w:rPr>
          <w:rFonts w:cs="Arial"/>
          <w:sz w:val="22"/>
        </w:rPr>
        <w:t xml:space="preserve"> T (2013).  Inclusion of the Poor and Vulnerable into the New Health Financing Strategy.  October 2013. </w:t>
      </w:r>
    </w:p>
    <w:p w14:paraId="22EA7656" w14:textId="77777777" w:rsidR="001E31C0" w:rsidRPr="006F36EF" w:rsidRDefault="00C01A1A" w:rsidP="006F36EF">
      <w:pPr>
        <w:pStyle w:val="ListParagraph"/>
        <w:spacing w:line="240" w:lineRule="auto"/>
        <w:ind w:hanging="720"/>
        <w:rPr>
          <w:rFonts w:cs="Arial"/>
          <w:sz w:val="22"/>
        </w:rPr>
      </w:pPr>
      <w:r w:rsidRPr="006F36EF">
        <w:rPr>
          <w:rFonts w:cs="Arial"/>
          <w:sz w:val="22"/>
        </w:rPr>
        <w:fldChar w:fldCharType="begin"/>
      </w:r>
      <w:r w:rsidR="00B019FF" w:rsidRPr="006F36EF">
        <w:rPr>
          <w:rFonts w:cs="Arial"/>
          <w:sz w:val="22"/>
        </w:rPr>
        <w:instrText xml:space="preserve"> ADDIN EN.REFLIST </w:instrText>
      </w:r>
      <w:r w:rsidRPr="006F36EF">
        <w:rPr>
          <w:rFonts w:cs="Arial"/>
          <w:sz w:val="22"/>
        </w:rPr>
        <w:fldChar w:fldCharType="separate"/>
      </w:r>
      <w:r w:rsidR="001E31C0" w:rsidRPr="006F36EF">
        <w:rPr>
          <w:rFonts w:cs="Arial"/>
          <w:sz w:val="22"/>
        </w:rPr>
        <w:t>Bank of Tanzania (2013). Annual report 2012/13. Dar es Salaam, Bank of Tanzania,.</w:t>
      </w:r>
    </w:p>
    <w:p w14:paraId="17CA7E76" w14:textId="72BAAC4D" w:rsidR="001E31C0" w:rsidRPr="006F36EF" w:rsidRDefault="001E31C0" w:rsidP="006F36EF">
      <w:pPr>
        <w:pStyle w:val="ListParagraph"/>
        <w:tabs>
          <w:tab w:val="left" w:pos="0"/>
        </w:tabs>
        <w:spacing w:line="240" w:lineRule="auto"/>
        <w:ind w:left="0"/>
        <w:rPr>
          <w:rFonts w:cs="Arial"/>
          <w:sz w:val="22"/>
        </w:rPr>
      </w:pPr>
      <w:r w:rsidRPr="008610C4">
        <w:rPr>
          <w:rFonts w:cs="Arial"/>
          <w:sz w:val="22"/>
          <w:lang w:val="fr-FR"/>
        </w:rPr>
        <w:t xml:space="preserve">Borghi, J., G. Mtei, et al. </w:t>
      </w:r>
      <w:r w:rsidRPr="006F36EF">
        <w:rPr>
          <w:rFonts w:cs="Arial"/>
          <w:sz w:val="22"/>
        </w:rPr>
        <w:t xml:space="preserve">(2012). "Modelling the implications of moving towards universal coverage in Tanzania." </w:t>
      </w:r>
      <w:r w:rsidRPr="006F36EF">
        <w:rPr>
          <w:rFonts w:cs="Arial"/>
          <w:sz w:val="22"/>
          <w:u w:val="single"/>
        </w:rPr>
        <w:t>Health Policy and Planning</w:t>
      </w:r>
      <w:r w:rsidRPr="006F36EF">
        <w:rPr>
          <w:rFonts w:cs="Arial"/>
          <w:sz w:val="22"/>
        </w:rPr>
        <w:t xml:space="preserve"> </w:t>
      </w:r>
      <w:r w:rsidRPr="006F36EF">
        <w:rPr>
          <w:rFonts w:cs="Arial"/>
          <w:b/>
          <w:sz w:val="22"/>
        </w:rPr>
        <w:t>27</w:t>
      </w:r>
      <w:r w:rsidR="006F36EF" w:rsidRPr="006F36EF">
        <w:rPr>
          <w:rFonts w:cs="Arial"/>
          <w:sz w:val="22"/>
        </w:rPr>
        <w:t>(suppl 1): i88-i100</w:t>
      </w:r>
    </w:p>
    <w:p w14:paraId="4E6237B4" w14:textId="344ED0FE" w:rsidR="001E31C0" w:rsidRPr="006F36EF" w:rsidRDefault="001E31C0" w:rsidP="006F36EF">
      <w:pPr>
        <w:pStyle w:val="ListParagraph"/>
        <w:spacing w:line="240" w:lineRule="auto"/>
        <w:ind w:left="0"/>
        <w:rPr>
          <w:rFonts w:cs="Arial"/>
          <w:sz w:val="22"/>
        </w:rPr>
      </w:pPr>
      <w:r w:rsidRPr="006F36EF">
        <w:rPr>
          <w:rFonts w:cs="Arial"/>
          <w:sz w:val="22"/>
        </w:rPr>
        <w:t>Ministry of Health and Social Welfare (2007). Primary Health Services Development Program-MMAM 2007-2017. Dar es Salaam, Minist</w:t>
      </w:r>
      <w:r w:rsidR="006F36EF" w:rsidRPr="006F36EF">
        <w:rPr>
          <w:rFonts w:cs="Arial"/>
          <w:sz w:val="22"/>
        </w:rPr>
        <w:t>ry of Health and Social Welfare</w:t>
      </w:r>
    </w:p>
    <w:p w14:paraId="28FFCF21" w14:textId="1489F870" w:rsidR="001E31C0" w:rsidRPr="006F36EF" w:rsidRDefault="001E31C0" w:rsidP="006F36EF">
      <w:pPr>
        <w:pStyle w:val="ListParagraph"/>
        <w:spacing w:line="240" w:lineRule="auto"/>
        <w:ind w:left="0"/>
        <w:rPr>
          <w:rFonts w:cs="Arial"/>
          <w:sz w:val="22"/>
        </w:rPr>
      </w:pPr>
      <w:r w:rsidRPr="006F36EF">
        <w:rPr>
          <w:rFonts w:cs="Arial"/>
          <w:sz w:val="22"/>
        </w:rPr>
        <w:t>National Bureau of Statistics (2006). Integrated Labour Force Survey: analytical report. Dar es Salaam, National Bureau of Statisti</w:t>
      </w:r>
      <w:r w:rsidR="006F36EF" w:rsidRPr="006F36EF">
        <w:rPr>
          <w:rFonts w:cs="Arial"/>
          <w:sz w:val="22"/>
        </w:rPr>
        <w:t>cs</w:t>
      </w:r>
    </w:p>
    <w:p w14:paraId="0C0C9178" w14:textId="21D7E1B5" w:rsidR="006F36EF" w:rsidRPr="006F36EF" w:rsidRDefault="001E31C0" w:rsidP="006F36EF">
      <w:pPr>
        <w:pStyle w:val="ListParagraph"/>
        <w:spacing w:line="240" w:lineRule="auto"/>
        <w:ind w:left="0"/>
        <w:rPr>
          <w:rFonts w:cs="Arial"/>
          <w:sz w:val="22"/>
        </w:rPr>
      </w:pPr>
      <w:r w:rsidRPr="006F36EF">
        <w:rPr>
          <w:rFonts w:cs="Arial"/>
          <w:sz w:val="22"/>
        </w:rPr>
        <w:t>National Bureau of Statistics (2013). Tanzania in Figures 2012. Dar es Salaam,</w:t>
      </w:r>
      <w:r w:rsidR="006F36EF" w:rsidRPr="006F36EF">
        <w:rPr>
          <w:rFonts w:cs="Arial"/>
          <w:sz w:val="22"/>
        </w:rPr>
        <w:t xml:space="preserve"> National Bureau of Statistics</w:t>
      </w:r>
    </w:p>
    <w:p w14:paraId="1240FEE4" w14:textId="37C589DF" w:rsidR="001E31C0" w:rsidRPr="006F36EF" w:rsidRDefault="001E31C0" w:rsidP="006F36EF">
      <w:pPr>
        <w:pStyle w:val="ListParagraph"/>
        <w:spacing w:line="240" w:lineRule="auto"/>
        <w:ind w:left="0"/>
        <w:rPr>
          <w:rFonts w:cs="Arial"/>
          <w:sz w:val="22"/>
        </w:rPr>
      </w:pPr>
      <w:r w:rsidRPr="006F36EF">
        <w:rPr>
          <w:rFonts w:cs="Arial"/>
          <w:sz w:val="22"/>
        </w:rPr>
        <w:t>National Bureau of Statistics (2014). Household Budget Survey main report, 2011/12. Dar es Salaam,</w:t>
      </w:r>
      <w:r w:rsidR="006F36EF" w:rsidRPr="006F36EF">
        <w:rPr>
          <w:rFonts w:cs="Arial"/>
          <w:sz w:val="22"/>
        </w:rPr>
        <w:t xml:space="preserve"> National Bureau of Statistics</w:t>
      </w:r>
    </w:p>
    <w:p w14:paraId="42E745F6" w14:textId="7C7AD27B" w:rsidR="006F36EF" w:rsidRPr="006F36EF" w:rsidRDefault="001E31C0" w:rsidP="006F36EF">
      <w:pPr>
        <w:pStyle w:val="ListParagraph"/>
        <w:spacing w:line="240" w:lineRule="auto"/>
        <w:ind w:left="0"/>
        <w:rPr>
          <w:rFonts w:cs="Arial"/>
          <w:sz w:val="22"/>
        </w:rPr>
      </w:pPr>
      <w:r w:rsidRPr="006F36EF">
        <w:rPr>
          <w:rFonts w:cs="Arial"/>
          <w:sz w:val="22"/>
        </w:rPr>
        <w:t>PHRplus (2006). Catalogue of Community Based Health Financing Schemes</w:t>
      </w:r>
      <w:r w:rsidR="006F36EF" w:rsidRPr="006F36EF">
        <w:rPr>
          <w:rFonts w:cs="Arial"/>
          <w:sz w:val="22"/>
        </w:rPr>
        <w:t xml:space="preserve"> Tanzania, PHRplus and CHeFA-EA</w:t>
      </w:r>
    </w:p>
    <w:p w14:paraId="66B5656A" w14:textId="372E0B78" w:rsidR="006F36EF" w:rsidRPr="006F36EF" w:rsidRDefault="001E31C0" w:rsidP="006F36EF">
      <w:pPr>
        <w:pStyle w:val="ListParagraph"/>
        <w:spacing w:line="240" w:lineRule="auto"/>
        <w:ind w:left="0"/>
        <w:rPr>
          <w:rFonts w:cs="Arial"/>
          <w:sz w:val="22"/>
        </w:rPr>
      </w:pPr>
      <w:r w:rsidRPr="006F36EF">
        <w:rPr>
          <w:rFonts w:cs="Arial"/>
          <w:sz w:val="22"/>
        </w:rPr>
        <w:t>Toutant, R. (2010). Tanzania Network of Community Health Funds: CEO progre</w:t>
      </w:r>
      <w:r w:rsidR="006F36EF" w:rsidRPr="006F36EF">
        <w:rPr>
          <w:rFonts w:cs="Arial"/>
          <w:sz w:val="22"/>
        </w:rPr>
        <w:t>ss report. Dar es Salaam, TNCHF</w:t>
      </w:r>
    </w:p>
    <w:p w14:paraId="27CCC265" w14:textId="20F9AD30" w:rsidR="001E31C0" w:rsidRPr="006F36EF" w:rsidRDefault="001E31C0" w:rsidP="006F36EF">
      <w:pPr>
        <w:pStyle w:val="ListParagraph"/>
        <w:spacing w:line="240" w:lineRule="auto"/>
        <w:ind w:left="0"/>
        <w:rPr>
          <w:rFonts w:cs="Arial"/>
          <w:sz w:val="22"/>
        </w:rPr>
      </w:pPr>
      <w:r w:rsidRPr="006F36EF">
        <w:rPr>
          <w:rFonts w:cs="Arial"/>
          <w:sz w:val="22"/>
        </w:rPr>
        <w:t>United Nations Development Programme (2013). Human Development Report: The rise of the South-explantory note on 2013 HDR co</w:t>
      </w:r>
      <w:r w:rsidR="006F36EF" w:rsidRPr="006F36EF">
        <w:rPr>
          <w:rFonts w:cs="Arial"/>
          <w:sz w:val="22"/>
        </w:rPr>
        <w:t>mposite indices, Tanzania, UNDP</w:t>
      </w:r>
    </w:p>
    <w:p w14:paraId="754A6E10" w14:textId="77777777" w:rsidR="001E31C0" w:rsidRPr="006F36EF" w:rsidRDefault="001E31C0" w:rsidP="006F36EF">
      <w:pPr>
        <w:pStyle w:val="ListParagraph"/>
        <w:spacing w:line="240" w:lineRule="auto"/>
        <w:ind w:left="0"/>
        <w:rPr>
          <w:rFonts w:cs="Arial"/>
          <w:sz w:val="22"/>
        </w:rPr>
      </w:pPr>
    </w:p>
    <w:p w14:paraId="436D3FB1" w14:textId="36B900B2" w:rsidR="00D85D46" w:rsidRDefault="00C01A1A" w:rsidP="006F36EF">
      <w:pPr>
        <w:pStyle w:val="ListParagraph"/>
        <w:spacing w:line="240" w:lineRule="auto"/>
        <w:ind w:hanging="720"/>
        <w:rPr>
          <w:rFonts w:cs="Arial"/>
          <w:szCs w:val="24"/>
        </w:rPr>
      </w:pPr>
      <w:r w:rsidRPr="006F36EF">
        <w:rPr>
          <w:rFonts w:cs="Arial"/>
          <w:sz w:val="22"/>
        </w:rPr>
        <w:fldChar w:fldCharType="end"/>
      </w:r>
    </w:p>
    <w:sectPr w:rsidR="00D85D46" w:rsidSect="00525A5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9D48C5" w14:textId="77777777" w:rsidR="007C5E0B" w:rsidRDefault="007C5E0B" w:rsidP="00A34775">
      <w:pPr>
        <w:spacing w:line="240" w:lineRule="auto"/>
      </w:pPr>
      <w:r>
        <w:separator/>
      </w:r>
    </w:p>
  </w:endnote>
  <w:endnote w:type="continuationSeparator" w:id="0">
    <w:p w14:paraId="5637FE5A" w14:textId="77777777" w:rsidR="007C5E0B" w:rsidRDefault="007C5E0B" w:rsidP="00A347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Gill Sans">
    <w:altName w:val="Gill Sans MT"/>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B6C231" w14:textId="3D1827F9" w:rsidR="00C92C73" w:rsidRPr="008610C4" w:rsidRDefault="00C92C73">
    <w:pPr>
      <w:pStyle w:val="Footer"/>
      <w:pBdr>
        <w:top w:val="thinThickSmallGap" w:sz="24" w:space="1" w:color="622423" w:themeColor="accent2" w:themeShade="7F"/>
      </w:pBdr>
      <w:rPr>
        <w:rFonts w:eastAsiaTheme="majorEastAsia" w:cs="Arial"/>
        <w:sz w:val="20"/>
        <w:szCs w:val="20"/>
      </w:rPr>
    </w:pPr>
    <w:r w:rsidRPr="008610C4">
      <w:rPr>
        <w:rFonts w:eastAsiaTheme="majorEastAsia" w:cs="Arial"/>
        <w:sz w:val="20"/>
        <w:szCs w:val="20"/>
      </w:rPr>
      <w:t>HFS – 3nd draft February 2015</w:t>
    </w:r>
    <w:r w:rsidRPr="00BD52C4">
      <w:rPr>
        <w:rFonts w:eastAsiaTheme="majorEastAsia" w:cs="Arial"/>
        <w:sz w:val="20"/>
        <w:szCs w:val="20"/>
      </w:rPr>
      <w:ptab w:relativeTo="margin" w:alignment="right" w:leader="none"/>
    </w:r>
    <w:r w:rsidRPr="008610C4">
      <w:rPr>
        <w:rFonts w:eastAsiaTheme="majorEastAsia" w:cs="Arial"/>
        <w:sz w:val="20"/>
        <w:szCs w:val="20"/>
      </w:rPr>
      <w:t xml:space="preserve">Page </w:t>
    </w:r>
    <w:r w:rsidRPr="00BD52C4">
      <w:rPr>
        <w:rFonts w:eastAsiaTheme="minorEastAsia" w:cs="Arial"/>
        <w:sz w:val="20"/>
        <w:szCs w:val="20"/>
      </w:rPr>
      <w:fldChar w:fldCharType="begin"/>
    </w:r>
    <w:r w:rsidRPr="008610C4">
      <w:rPr>
        <w:rFonts w:cs="Arial"/>
        <w:sz w:val="20"/>
        <w:szCs w:val="20"/>
      </w:rPr>
      <w:instrText xml:space="preserve"> PAGE   \* MERGEFORMAT </w:instrText>
    </w:r>
    <w:r w:rsidRPr="00BD52C4">
      <w:rPr>
        <w:rFonts w:eastAsiaTheme="minorEastAsia" w:cs="Arial"/>
        <w:sz w:val="20"/>
        <w:szCs w:val="20"/>
      </w:rPr>
      <w:fldChar w:fldCharType="separate"/>
    </w:r>
    <w:r w:rsidR="00D51738" w:rsidRPr="00D51738">
      <w:rPr>
        <w:rFonts w:eastAsiaTheme="majorEastAsia" w:cs="Arial"/>
        <w:noProof/>
        <w:sz w:val="20"/>
        <w:szCs w:val="20"/>
      </w:rPr>
      <w:t>33</w:t>
    </w:r>
    <w:r w:rsidRPr="00BD52C4">
      <w:rPr>
        <w:rFonts w:eastAsiaTheme="majorEastAsia" w:cs="Arial"/>
        <w:noProof/>
        <w:sz w:val="20"/>
        <w:szCs w:val="20"/>
      </w:rPr>
      <w:fldChar w:fldCharType="end"/>
    </w:r>
  </w:p>
  <w:p w14:paraId="664487AC" w14:textId="77777777" w:rsidR="00C92C73" w:rsidRPr="008610C4" w:rsidRDefault="00C92C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FBA660" w14:textId="77777777" w:rsidR="007C5E0B" w:rsidRDefault="007C5E0B" w:rsidP="00A34775">
      <w:pPr>
        <w:spacing w:line="240" w:lineRule="auto"/>
      </w:pPr>
      <w:r>
        <w:separator/>
      </w:r>
    </w:p>
  </w:footnote>
  <w:footnote w:type="continuationSeparator" w:id="0">
    <w:p w14:paraId="5012A069" w14:textId="77777777" w:rsidR="007C5E0B" w:rsidRDefault="007C5E0B" w:rsidP="00A34775">
      <w:pPr>
        <w:spacing w:line="240" w:lineRule="auto"/>
      </w:pPr>
      <w:r>
        <w:continuationSeparator/>
      </w:r>
    </w:p>
  </w:footnote>
  <w:footnote w:id="1">
    <w:p w14:paraId="4091C446" w14:textId="43B712C8" w:rsidR="00C92C73" w:rsidRDefault="00C92C73">
      <w:pPr>
        <w:pStyle w:val="FootnoteText"/>
      </w:pPr>
      <w:r>
        <w:rPr>
          <w:rStyle w:val="FootnoteReference"/>
        </w:rPr>
        <w:footnoteRef/>
      </w:r>
      <w:r>
        <w:t xml:space="preserve"> ISC Comprised of President Office-Public Service Management, Planning Commission, Prime Minister Office, Prime Minister Office-Local Government Authority, Ministry of finance, Ministry of Industry of Trade, TACAIDS, Ministry of Labor, E-Government, NIDA, </w:t>
      </w:r>
    </w:p>
  </w:footnote>
  <w:footnote w:id="2">
    <w:p w14:paraId="332399CE" w14:textId="77777777" w:rsidR="00C92C73" w:rsidRPr="00BD41A1" w:rsidRDefault="00C92C73" w:rsidP="00F869D7">
      <w:pPr>
        <w:pStyle w:val="FootnoteText"/>
        <w:rPr>
          <w:lang w:val="en-GB"/>
        </w:rPr>
      </w:pPr>
      <w:r>
        <w:rPr>
          <w:rStyle w:val="FootnoteReference"/>
        </w:rPr>
        <w:footnoteRef/>
      </w:r>
      <w:r>
        <w:t xml:space="preserve"> </w:t>
      </w:r>
      <w:r>
        <w:rPr>
          <w:lang w:val="en-GB"/>
        </w:rPr>
        <w:t>All commissioned studies are included in the reference section</w:t>
      </w:r>
    </w:p>
  </w:footnote>
  <w:footnote w:id="3">
    <w:p w14:paraId="1762C195" w14:textId="77777777" w:rsidR="00C92C73" w:rsidRPr="00AE6298" w:rsidRDefault="00C92C73" w:rsidP="00C03055">
      <w:pPr>
        <w:pStyle w:val="FootnoteText"/>
      </w:pPr>
      <w:r>
        <w:rPr>
          <w:rStyle w:val="FootnoteReference"/>
        </w:rPr>
        <w:footnoteRef/>
      </w:r>
      <w:r>
        <w:t xml:space="preserve"> FSDT &amp; </w:t>
      </w:r>
      <w:proofErr w:type="spellStart"/>
      <w:r>
        <w:t>Cenfri</w:t>
      </w:r>
      <w:proofErr w:type="spellEnd"/>
      <w:r>
        <w:t xml:space="preserve"> 2012</w:t>
      </w:r>
      <w:proofErr w:type="gramStart"/>
      <w:r>
        <w:t>,Insurance</w:t>
      </w:r>
      <w:proofErr w:type="gramEnd"/>
      <w:r>
        <w:t xml:space="preserve"> Diagnostic Study for Tanzania, FSDT/</w:t>
      </w:r>
      <w:proofErr w:type="spellStart"/>
      <w:r>
        <w:t>Cenfri</w:t>
      </w:r>
      <w:proofErr w:type="spellEnd"/>
      <w:r>
        <w:t xml:space="preserve">, Dar </w:t>
      </w:r>
      <w:proofErr w:type="spellStart"/>
      <w:r>
        <w:t>es</w:t>
      </w:r>
      <w:proofErr w:type="spellEnd"/>
      <w:r>
        <w:t xml:space="preserve"> Salaam.</w:t>
      </w:r>
    </w:p>
  </w:footnote>
  <w:footnote w:id="4">
    <w:p w14:paraId="77D04EA5" w14:textId="77777777" w:rsidR="00C92C73" w:rsidRDefault="00C92C73" w:rsidP="0023565D">
      <w:pPr>
        <w:pStyle w:val="FootnoteText"/>
      </w:pPr>
      <w:r w:rsidRPr="00AD4C8A">
        <w:rPr>
          <w:rStyle w:val="FootnoteReference"/>
          <w:sz w:val="18"/>
          <w:szCs w:val="18"/>
        </w:rPr>
        <w:footnoteRef/>
      </w:r>
      <w:r w:rsidRPr="00AD4C8A">
        <w:rPr>
          <w:sz w:val="18"/>
          <w:szCs w:val="18"/>
        </w:rPr>
        <w:t xml:space="preserve"> </w:t>
      </w:r>
      <w:r w:rsidRPr="00AD4C8A">
        <w:rPr>
          <w:sz w:val="18"/>
          <w:szCs w:val="18"/>
          <w:lang w:val="en-GB"/>
        </w:rPr>
        <w:t>MTR HSSP III Financing Report (2013)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470E2E" w14:textId="77777777" w:rsidR="00C92C73" w:rsidRDefault="00C92C73">
    <w:pPr>
      <w:pStyle w:val="Header"/>
    </w:pPr>
    <w:r>
      <w:rPr>
        <w:noProof/>
      </w:rPr>
      <w:pict w14:anchorId="74FC42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873141" o:spid="_x0000_s2053" type="#_x0000_t136" style="position:absolute;left:0;text-align:left;margin-left:0;margin-top:0;width:539.85pt;height:119.95pt;rotation:315;z-index:-251655168;mso-position-horizontal:center;mso-position-horizontal-relative:margin;mso-position-vertical:center;mso-position-vertical-relative:margin" o:allowincell="f" fillcolor="silver" stroked="f">
          <v:fill opacity=".5"/>
          <v:textpath style="font-family:&quot;Arial&quot;;font-size:1pt" string="3rd 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85BAB7" w14:textId="77777777" w:rsidR="00C92C73" w:rsidRDefault="00C92C73">
    <w:pPr>
      <w:pStyle w:val="Header"/>
    </w:pPr>
    <w:r>
      <w:rPr>
        <w:noProof/>
      </w:rPr>
      <w:pict w14:anchorId="0C9511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873142" o:spid="_x0000_s2054" type="#_x0000_t136" style="position:absolute;left:0;text-align:left;margin-left:0;margin-top:0;width:539.85pt;height:119.95pt;rotation:315;z-index:-251653120;mso-position-horizontal:center;mso-position-horizontal-relative:margin;mso-position-vertical:center;mso-position-vertical-relative:margin" o:allowincell="f" fillcolor="silver" stroked="f">
          <v:fill opacity=".5"/>
          <v:textpath style="font-family:&quot;Arial&quot;;font-size:1pt" string="3rd 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CCD91F" w14:textId="77777777" w:rsidR="00C92C73" w:rsidRDefault="00C92C73">
    <w:pPr>
      <w:pStyle w:val="Header"/>
    </w:pPr>
    <w:r>
      <w:rPr>
        <w:noProof/>
      </w:rPr>
      <w:pict w14:anchorId="4DC95A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873140" o:spid="_x0000_s2052" type="#_x0000_t136" style="position:absolute;left:0;text-align:left;margin-left:0;margin-top:0;width:539.85pt;height:119.95pt;rotation:315;z-index:-251657216;mso-position-horizontal:center;mso-position-horizontal-relative:margin;mso-position-vertical:center;mso-position-vertical-relative:margin" o:allowincell="f" fillcolor="silver" stroked="f">
          <v:fill opacity=".5"/>
          <v:textpath style="font-family:&quot;Arial&quot;;font-size:1pt" string="3rd 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1A3C83"/>
    <w:multiLevelType w:val="hybridMultilevel"/>
    <w:tmpl w:val="54A80B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BA32FA0"/>
    <w:multiLevelType w:val="hybridMultilevel"/>
    <w:tmpl w:val="7A105C74"/>
    <w:lvl w:ilvl="0" w:tplc="23DE4848">
      <w:start w:val="1"/>
      <w:numFmt w:val="bullet"/>
      <w:lvlText w:val="•"/>
      <w:lvlJc w:val="left"/>
      <w:pPr>
        <w:tabs>
          <w:tab w:val="num" w:pos="720"/>
        </w:tabs>
        <w:ind w:left="720" w:hanging="360"/>
      </w:pPr>
      <w:rPr>
        <w:rFonts w:ascii="Arial" w:hAnsi="Arial" w:hint="default"/>
      </w:rPr>
    </w:lvl>
    <w:lvl w:ilvl="1" w:tplc="4718B866" w:tentative="1">
      <w:start w:val="1"/>
      <w:numFmt w:val="bullet"/>
      <w:lvlText w:val="•"/>
      <w:lvlJc w:val="left"/>
      <w:pPr>
        <w:tabs>
          <w:tab w:val="num" w:pos="1440"/>
        </w:tabs>
        <w:ind w:left="1440" w:hanging="360"/>
      </w:pPr>
      <w:rPr>
        <w:rFonts w:ascii="Arial" w:hAnsi="Arial" w:hint="default"/>
      </w:rPr>
    </w:lvl>
    <w:lvl w:ilvl="2" w:tplc="BA9C6870" w:tentative="1">
      <w:start w:val="1"/>
      <w:numFmt w:val="bullet"/>
      <w:lvlText w:val="•"/>
      <w:lvlJc w:val="left"/>
      <w:pPr>
        <w:tabs>
          <w:tab w:val="num" w:pos="2160"/>
        </w:tabs>
        <w:ind w:left="2160" w:hanging="360"/>
      </w:pPr>
      <w:rPr>
        <w:rFonts w:ascii="Arial" w:hAnsi="Arial" w:hint="default"/>
      </w:rPr>
    </w:lvl>
    <w:lvl w:ilvl="3" w:tplc="0AB40722" w:tentative="1">
      <w:start w:val="1"/>
      <w:numFmt w:val="bullet"/>
      <w:lvlText w:val="•"/>
      <w:lvlJc w:val="left"/>
      <w:pPr>
        <w:tabs>
          <w:tab w:val="num" w:pos="2880"/>
        </w:tabs>
        <w:ind w:left="2880" w:hanging="360"/>
      </w:pPr>
      <w:rPr>
        <w:rFonts w:ascii="Arial" w:hAnsi="Arial" w:hint="default"/>
      </w:rPr>
    </w:lvl>
    <w:lvl w:ilvl="4" w:tplc="0F741BAE" w:tentative="1">
      <w:start w:val="1"/>
      <w:numFmt w:val="bullet"/>
      <w:lvlText w:val="•"/>
      <w:lvlJc w:val="left"/>
      <w:pPr>
        <w:tabs>
          <w:tab w:val="num" w:pos="3600"/>
        </w:tabs>
        <w:ind w:left="3600" w:hanging="360"/>
      </w:pPr>
      <w:rPr>
        <w:rFonts w:ascii="Arial" w:hAnsi="Arial" w:hint="default"/>
      </w:rPr>
    </w:lvl>
    <w:lvl w:ilvl="5" w:tplc="2E70F798" w:tentative="1">
      <w:start w:val="1"/>
      <w:numFmt w:val="bullet"/>
      <w:lvlText w:val="•"/>
      <w:lvlJc w:val="left"/>
      <w:pPr>
        <w:tabs>
          <w:tab w:val="num" w:pos="4320"/>
        </w:tabs>
        <w:ind w:left="4320" w:hanging="360"/>
      </w:pPr>
      <w:rPr>
        <w:rFonts w:ascii="Arial" w:hAnsi="Arial" w:hint="default"/>
      </w:rPr>
    </w:lvl>
    <w:lvl w:ilvl="6" w:tplc="4F284648" w:tentative="1">
      <w:start w:val="1"/>
      <w:numFmt w:val="bullet"/>
      <w:lvlText w:val="•"/>
      <w:lvlJc w:val="left"/>
      <w:pPr>
        <w:tabs>
          <w:tab w:val="num" w:pos="5040"/>
        </w:tabs>
        <w:ind w:left="5040" w:hanging="360"/>
      </w:pPr>
      <w:rPr>
        <w:rFonts w:ascii="Arial" w:hAnsi="Arial" w:hint="default"/>
      </w:rPr>
    </w:lvl>
    <w:lvl w:ilvl="7" w:tplc="86947BEC" w:tentative="1">
      <w:start w:val="1"/>
      <w:numFmt w:val="bullet"/>
      <w:lvlText w:val="•"/>
      <w:lvlJc w:val="left"/>
      <w:pPr>
        <w:tabs>
          <w:tab w:val="num" w:pos="5760"/>
        </w:tabs>
        <w:ind w:left="5760" w:hanging="360"/>
      </w:pPr>
      <w:rPr>
        <w:rFonts w:ascii="Arial" w:hAnsi="Arial" w:hint="default"/>
      </w:rPr>
    </w:lvl>
    <w:lvl w:ilvl="8" w:tplc="6F3A7200" w:tentative="1">
      <w:start w:val="1"/>
      <w:numFmt w:val="bullet"/>
      <w:lvlText w:val="•"/>
      <w:lvlJc w:val="left"/>
      <w:pPr>
        <w:tabs>
          <w:tab w:val="num" w:pos="6480"/>
        </w:tabs>
        <w:ind w:left="6480" w:hanging="360"/>
      </w:pPr>
      <w:rPr>
        <w:rFonts w:ascii="Arial" w:hAnsi="Arial" w:hint="default"/>
      </w:rPr>
    </w:lvl>
  </w:abstractNum>
  <w:abstractNum w:abstractNumId="2">
    <w:nsid w:val="0CD74382"/>
    <w:multiLevelType w:val="hybridMultilevel"/>
    <w:tmpl w:val="393AC5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EF84DE3"/>
    <w:multiLevelType w:val="hybridMultilevel"/>
    <w:tmpl w:val="6A9C4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447E11"/>
    <w:multiLevelType w:val="hybridMultilevel"/>
    <w:tmpl w:val="57B8905A"/>
    <w:lvl w:ilvl="0" w:tplc="464E7D9E">
      <w:start w:val="1"/>
      <w:numFmt w:val="bullet"/>
      <w:lvlText w:val="•"/>
      <w:lvlJc w:val="left"/>
      <w:pPr>
        <w:tabs>
          <w:tab w:val="num" w:pos="720"/>
        </w:tabs>
        <w:ind w:left="720" w:hanging="360"/>
      </w:pPr>
      <w:rPr>
        <w:rFonts w:ascii="Arial" w:hAnsi="Arial" w:hint="default"/>
      </w:rPr>
    </w:lvl>
    <w:lvl w:ilvl="1" w:tplc="9822CE92" w:tentative="1">
      <w:start w:val="1"/>
      <w:numFmt w:val="bullet"/>
      <w:lvlText w:val="•"/>
      <w:lvlJc w:val="left"/>
      <w:pPr>
        <w:tabs>
          <w:tab w:val="num" w:pos="1440"/>
        </w:tabs>
        <w:ind w:left="1440" w:hanging="360"/>
      </w:pPr>
      <w:rPr>
        <w:rFonts w:ascii="Arial" w:hAnsi="Arial" w:hint="default"/>
      </w:rPr>
    </w:lvl>
    <w:lvl w:ilvl="2" w:tplc="3A3A3018" w:tentative="1">
      <w:start w:val="1"/>
      <w:numFmt w:val="bullet"/>
      <w:lvlText w:val="•"/>
      <w:lvlJc w:val="left"/>
      <w:pPr>
        <w:tabs>
          <w:tab w:val="num" w:pos="2160"/>
        </w:tabs>
        <w:ind w:left="2160" w:hanging="360"/>
      </w:pPr>
      <w:rPr>
        <w:rFonts w:ascii="Arial" w:hAnsi="Arial" w:hint="default"/>
      </w:rPr>
    </w:lvl>
    <w:lvl w:ilvl="3" w:tplc="93B4F306" w:tentative="1">
      <w:start w:val="1"/>
      <w:numFmt w:val="bullet"/>
      <w:lvlText w:val="•"/>
      <w:lvlJc w:val="left"/>
      <w:pPr>
        <w:tabs>
          <w:tab w:val="num" w:pos="2880"/>
        </w:tabs>
        <w:ind w:left="2880" w:hanging="360"/>
      </w:pPr>
      <w:rPr>
        <w:rFonts w:ascii="Arial" w:hAnsi="Arial" w:hint="default"/>
      </w:rPr>
    </w:lvl>
    <w:lvl w:ilvl="4" w:tplc="D3D40CF2" w:tentative="1">
      <w:start w:val="1"/>
      <w:numFmt w:val="bullet"/>
      <w:lvlText w:val="•"/>
      <w:lvlJc w:val="left"/>
      <w:pPr>
        <w:tabs>
          <w:tab w:val="num" w:pos="3600"/>
        </w:tabs>
        <w:ind w:left="3600" w:hanging="360"/>
      </w:pPr>
      <w:rPr>
        <w:rFonts w:ascii="Arial" w:hAnsi="Arial" w:hint="default"/>
      </w:rPr>
    </w:lvl>
    <w:lvl w:ilvl="5" w:tplc="E138E56C" w:tentative="1">
      <w:start w:val="1"/>
      <w:numFmt w:val="bullet"/>
      <w:lvlText w:val="•"/>
      <w:lvlJc w:val="left"/>
      <w:pPr>
        <w:tabs>
          <w:tab w:val="num" w:pos="4320"/>
        </w:tabs>
        <w:ind w:left="4320" w:hanging="360"/>
      </w:pPr>
      <w:rPr>
        <w:rFonts w:ascii="Arial" w:hAnsi="Arial" w:hint="default"/>
      </w:rPr>
    </w:lvl>
    <w:lvl w:ilvl="6" w:tplc="1A080BEE" w:tentative="1">
      <w:start w:val="1"/>
      <w:numFmt w:val="bullet"/>
      <w:lvlText w:val="•"/>
      <w:lvlJc w:val="left"/>
      <w:pPr>
        <w:tabs>
          <w:tab w:val="num" w:pos="5040"/>
        </w:tabs>
        <w:ind w:left="5040" w:hanging="360"/>
      </w:pPr>
      <w:rPr>
        <w:rFonts w:ascii="Arial" w:hAnsi="Arial" w:hint="default"/>
      </w:rPr>
    </w:lvl>
    <w:lvl w:ilvl="7" w:tplc="FEFA50C8" w:tentative="1">
      <w:start w:val="1"/>
      <w:numFmt w:val="bullet"/>
      <w:lvlText w:val="•"/>
      <w:lvlJc w:val="left"/>
      <w:pPr>
        <w:tabs>
          <w:tab w:val="num" w:pos="5760"/>
        </w:tabs>
        <w:ind w:left="5760" w:hanging="360"/>
      </w:pPr>
      <w:rPr>
        <w:rFonts w:ascii="Arial" w:hAnsi="Arial" w:hint="default"/>
      </w:rPr>
    </w:lvl>
    <w:lvl w:ilvl="8" w:tplc="5D620084" w:tentative="1">
      <w:start w:val="1"/>
      <w:numFmt w:val="bullet"/>
      <w:lvlText w:val="•"/>
      <w:lvlJc w:val="left"/>
      <w:pPr>
        <w:tabs>
          <w:tab w:val="num" w:pos="6480"/>
        </w:tabs>
        <w:ind w:left="6480" w:hanging="360"/>
      </w:pPr>
      <w:rPr>
        <w:rFonts w:ascii="Arial" w:hAnsi="Arial" w:hint="default"/>
      </w:rPr>
    </w:lvl>
  </w:abstractNum>
  <w:abstractNum w:abstractNumId="5">
    <w:nsid w:val="207137BE"/>
    <w:multiLevelType w:val="hybridMultilevel"/>
    <w:tmpl w:val="47502EF8"/>
    <w:lvl w:ilvl="0" w:tplc="04410001">
      <w:start w:val="1"/>
      <w:numFmt w:val="bullet"/>
      <w:lvlText w:val=""/>
      <w:lvlJc w:val="left"/>
      <w:pPr>
        <w:ind w:left="360" w:hanging="360"/>
      </w:pPr>
      <w:rPr>
        <w:rFonts w:ascii="Symbol" w:hAnsi="Symbol" w:hint="default"/>
      </w:rPr>
    </w:lvl>
    <w:lvl w:ilvl="1" w:tplc="04410003" w:tentative="1">
      <w:start w:val="1"/>
      <w:numFmt w:val="bullet"/>
      <w:lvlText w:val="o"/>
      <w:lvlJc w:val="left"/>
      <w:pPr>
        <w:ind w:left="1080" w:hanging="360"/>
      </w:pPr>
      <w:rPr>
        <w:rFonts w:ascii="Courier New" w:hAnsi="Courier New" w:cs="Courier New" w:hint="default"/>
      </w:rPr>
    </w:lvl>
    <w:lvl w:ilvl="2" w:tplc="04410005" w:tentative="1">
      <w:start w:val="1"/>
      <w:numFmt w:val="bullet"/>
      <w:lvlText w:val=""/>
      <w:lvlJc w:val="left"/>
      <w:pPr>
        <w:ind w:left="1800" w:hanging="360"/>
      </w:pPr>
      <w:rPr>
        <w:rFonts w:ascii="Wingdings" w:hAnsi="Wingdings" w:hint="default"/>
      </w:rPr>
    </w:lvl>
    <w:lvl w:ilvl="3" w:tplc="04410001" w:tentative="1">
      <w:start w:val="1"/>
      <w:numFmt w:val="bullet"/>
      <w:lvlText w:val=""/>
      <w:lvlJc w:val="left"/>
      <w:pPr>
        <w:ind w:left="2520" w:hanging="360"/>
      </w:pPr>
      <w:rPr>
        <w:rFonts w:ascii="Symbol" w:hAnsi="Symbol" w:hint="default"/>
      </w:rPr>
    </w:lvl>
    <w:lvl w:ilvl="4" w:tplc="04410003" w:tentative="1">
      <w:start w:val="1"/>
      <w:numFmt w:val="bullet"/>
      <w:lvlText w:val="o"/>
      <w:lvlJc w:val="left"/>
      <w:pPr>
        <w:ind w:left="3240" w:hanging="360"/>
      </w:pPr>
      <w:rPr>
        <w:rFonts w:ascii="Courier New" w:hAnsi="Courier New" w:cs="Courier New" w:hint="default"/>
      </w:rPr>
    </w:lvl>
    <w:lvl w:ilvl="5" w:tplc="04410005" w:tentative="1">
      <w:start w:val="1"/>
      <w:numFmt w:val="bullet"/>
      <w:lvlText w:val=""/>
      <w:lvlJc w:val="left"/>
      <w:pPr>
        <w:ind w:left="3960" w:hanging="360"/>
      </w:pPr>
      <w:rPr>
        <w:rFonts w:ascii="Wingdings" w:hAnsi="Wingdings" w:hint="default"/>
      </w:rPr>
    </w:lvl>
    <w:lvl w:ilvl="6" w:tplc="04410001" w:tentative="1">
      <w:start w:val="1"/>
      <w:numFmt w:val="bullet"/>
      <w:lvlText w:val=""/>
      <w:lvlJc w:val="left"/>
      <w:pPr>
        <w:ind w:left="4680" w:hanging="360"/>
      </w:pPr>
      <w:rPr>
        <w:rFonts w:ascii="Symbol" w:hAnsi="Symbol" w:hint="default"/>
      </w:rPr>
    </w:lvl>
    <w:lvl w:ilvl="7" w:tplc="04410003" w:tentative="1">
      <w:start w:val="1"/>
      <w:numFmt w:val="bullet"/>
      <w:lvlText w:val="o"/>
      <w:lvlJc w:val="left"/>
      <w:pPr>
        <w:ind w:left="5400" w:hanging="360"/>
      </w:pPr>
      <w:rPr>
        <w:rFonts w:ascii="Courier New" w:hAnsi="Courier New" w:cs="Courier New" w:hint="default"/>
      </w:rPr>
    </w:lvl>
    <w:lvl w:ilvl="8" w:tplc="04410005" w:tentative="1">
      <w:start w:val="1"/>
      <w:numFmt w:val="bullet"/>
      <w:lvlText w:val=""/>
      <w:lvlJc w:val="left"/>
      <w:pPr>
        <w:ind w:left="6120" w:hanging="360"/>
      </w:pPr>
      <w:rPr>
        <w:rFonts w:ascii="Wingdings" w:hAnsi="Wingdings" w:hint="default"/>
      </w:rPr>
    </w:lvl>
  </w:abstractNum>
  <w:abstractNum w:abstractNumId="6">
    <w:nsid w:val="20D967BA"/>
    <w:multiLevelType w:val="hybridMultilevel"/>
    <w:tmpl w:val="22CC6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3D0F9C"/>
    <w:multiLevelType w:val="multilevel"/>
    <w:tmpl w:val="2A3A56B0"/>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81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
    <w:nsid w:val="2635751A"/>
    <w:multiLevelType w:val="hybridMultilevel"/>
    <w:tmpl w:val="74DE0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DF722C9"/>
    <w:multiLevelType w:val="hybridMultilevel"/>
    <w:tmpl w:val="5074F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C5212A"/>
    <w:multiLevelType w:val="hybridMultilevel"/>
    <w:tmpl w:val="E1B43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6A93817"/>
    <w:multiLevelType w:val="hybridMultilevel"/>
    <w:tmpl w:val="2668A5AC"/>
    <w:lvl w:ilvl="0" w:tplc="3CFE4FBA">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0693DE7"/>
    <w:multiLevelType w:val="hybridMultilevel"/>
    <w:tmpl w:val="0C546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30673FF"/>
    <w:multiLevelType w:val="hybridMultilevel"/>
    <w:tmpl w:val="A2042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7647C9E"/>
    <w:multiLevelType w:val="hybridMultilevel"/>
    <w:tmpl w:val="4718F328"/>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5">
    <w:nsid w:val="4D686270"/>
    <w:multiLevelType w:val="hybridMultilevel"/>
    <w:tmpl w:val="7F402054"/>
    <w:lvl w:ilvl="0" w:tplc="A00ECE92">
      <w:start w:val="1"/>
      <w:numFmt w:val="bullet"/>
      <w:lvlText w:val="•"/>
      <w:lvlJc w:val="left"/>
      <w:pPr>
        <w:tabs>
          <w:tab w:val="num" w:pos="720"/>
        </w:tabs>
        <w:ind w:left="720" w:hanging="360"/>
      </w:pPr>
      <w:rPr>
        <w:rFonts w:ascii="Arial" w:hAnsi="Arial" w:hint="default"/>
      </w:rPr>
    </w:lvl>
    <w:lvl w:ilvl="1" w:tplc="747643CE" w:tentative="1">
      <w:start w:val="1"/>
      <w:numFmt w:val="bullet"/>
      <w:lvlText w:val="•"/>
      <w:lvlJc w:val="left"/>
      <w:pPr>
        <w:tabs>
          <w:tab w:val="num" w:pos="1440"/>
        </w:tabs>
        <w:ind w:left="1440" w:hanging="360"/>
      </w:pPr>
      <w:rPr>
        <w:rFonts w:ascii="Arial" w:hAnsi="Arial" w:hint="default"/>
      </w:rPr>
    </w:lvl>
    <w:lvl w:ilvl="2" w:tplc="84D2FF00" w:tentative="1">
      <w:start w:val="1"/>
      <w:numFmt w:val="bullet"/>
      <w:lvlText w:val="•"/>
      <w:lvlJc w:val="left"/>
      <w:pPr>
        <w:tabs>
          <w:tab w:val="num" w:pos="2160"/>
        </w:tabs>
        <w:ind w:left="2160" w:hanging="360"/>
      </w:pPr>
      <w:rPr>
        <w:rFonts w:ascii="Arial" w:hAnsi="Arial" w:hint="default"/>
      </w:rPr>
    </w:lvl>
    <w:lvl w:ilvl="3" w:tplc="71565580" w:tentative="1">
      <w:start w:val="1"/>
      <w:numFmt w:val="bullet"/>
      <w:lvlText w:val="•"/>
      <w:lvlJc w:val="left"/>
      <w:pPr>
        <w:tabs>
          <w:tab w:val="num" w:pos="2880"/>
        </w:tabs>
        <w:ind w:left="2880" w:hanging="360"/>
      </w:pPr>
      <w:rPr>
        <w:rFonts w:ascii="Arial" w:hAnsi="Arial" w:hint="default"/>
      </w:rPr>
    </w:lvl>
    <w:lvl w:ilvl="4" w:tplc="A9E8BF2C" w:tentative="1">
      <w:start w:val="1"/>
      <w:numFmt w:val="bullet"/>
      <w:lvlText w:val="•"/>
      <w:lvlJc w:val="left"/>
      <w:pPr>
        <w:tabs>
          <w:tab w:val="num" w:pos="3600"/>
        </w:tabs>
        <w:ind w:left="3600" w:hanging="360"/>
      </w:pPr>
      <w:rPr>
        <w:rFonts w:ascii="Arial" w:hAnsi="Arial" w:hint="default"/>
      </w:rPr>
    </w:lvl>
    <w:lvl w:ilvl="5" w:tplc="800841DE" w:tentative="1">
      <w:start w:val="1"/>
      <w:numFmt w:val="bullet"/>
      <w:lvlText w:val="•"/>
      <w:lvlJc w:val="left"/>
      <w:pPr>
        <w:tabs>
          <w:tab w:val="num" w:pos="4320"/>
        </w:tabs>
        <w:ind w:left="4320" w:hanging="360"/>
      </w:pPr>
      <w:rPr>
        <w:rFonts w:ascii="Arial" w:hAnsi="Arial" w:hint="default"/>
      </w:rPr>
    </w:lvl>
    <w:lvl w:ilvl="6" w:tplc="55983E48" w:tentative="1">
      <w:start w:val="1"/>
      <w:numFmt w:val="bullet"/>
      <w:lvlText w:val="•"/>
      <w:lvlJc w:val="left"/>
      <w:pPr>
        <w:tabs>
          <w:tab w:val="num" w:pos="5040"/>
        </w:tabs>
        <w:ind w:left="5040" w:hanging="360"/>
      </w:pPr>
      <w:rPr>
        <w:rFonts w:ascii="Arial" w:hAnsi="Arial" w:hint="default"/>
      </w:rPr>
    </w:lvl>
    <w:lvl w:ilvl="7" w:tplc="B44C6B28" w:tentative="1">
      <w:start w:val="1"/>
      <w:numFmt w:val="bullet"/>
      <w:lvlText w:val="•"/>
      <w:lvlJc w:val="left"/>
      <w:pPr>
        <w:tabs>
          <w:tab w:val="num" w:pos="5760"/>
        </w:tabs>
        <w:ind w:left="5760" w:hanging="360"/>
      </w:pPr>
      <w:rPr>
        <w:rFonts w:ascii="Arial" w:hAnsi="Arial" w:hint="default"/>
      </w:rPr>
    </w:lvl>
    <w:lvl w:ilvl="8" w:tplc="4C0CE19C" w:tentative="1">
      <w:start w:val="1"/>
      <w:numFmt w:val="bullet"/>
      <w:lvlText w:val="•"/>
      <w:lvlJc w:val="left"/>
      <w:pPr>
        <w:tabs>
          <w:tab w:val="num" w:pos="6480"/>
        </w:tabs>
        <w:ind w:left="6480" w:hanging="360"/>
      </w:pPr>
      <w:rPr>
        <w:rFonts w:ascii="Arial" w:hAnsi="Arial" w:hint="default"/>
      </w:rPr>
    </w:lvl>
  </w:abstractNum>
  <w:abstractNum w:abstractNumId="16">
    <w:nsid w:val="4EEB5E5F"/>
    <w:multiLevelType w:val="hybridMultilevel"/>
    <w:tmpl w:val="37562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33F4D01"/>
    <w:multiLevelType w:val="hybridMultilevel"/>
    <w:tmpl w:val="14AECDEE"/>
    <w:lvl w:ilvl="0" w:tplc="04090003">
      <w:start w:val="1"/>
      <w:numFmt w:val="bullet"/>
      <w:lvlText w:val="o"/>
      <w:lvlJc w:val="left"/>
      <w:pPr>
        <w:tabs>
          <w:tab w:val="num" w:pos="720"/>
        </w:tabs>
        <w:ind w:left="720" w:hanging="360"/>
      </w:pPr>
      <w:rPr>
        <w:rFonts w:ascii="Courier New" w:hAnsi="Courier New" w:cs="Courier New" w:hint="default"/>
      </w:rPr>
    </w:lvl>
    <w:lvl w:ilvl="1" w:tplc="900C8EC8">
      <w:start w:val="817"/>
      <w:numFmt w:val="bullet"/>
      <w:lvlText w:val="–"/>
      <w:lvlJc w:val="left"/>
      <w:pPr>
        <w:tabs>
          <w:tab w:val="num" w:pos="1440"/>
        </w:tabs>
        <w:ind w:left="1440" w:hanging="360"/>
      </w:pPr>
      <w:rPr>
        <w:rFonts w:ascii="Arial" w:hAnsi="Arial" w:hint="default"/>
      </w:rPr>
    </w:lvl>
    <w:lvl w:ilvl="2" w:tplc="3934CF92" w:tentative="1">
      <w:start w:val="1"/>
      <w:numFmt w:val="bullet"/>
      <w:lvlText w:val="•"/>
      <w:lvlJc w:val="left"/>
      <w:pPr>
        <w:tabs>
          <w:tab w:val="num" w:pos="2160"/>
        </w:tabs>
        <w:ind w:left="2160" w:hanging="360"/>
      </w:pPr>
      <w:rPr>
        <w:rFonts w:ascii="Arial" w:hAnsi="Arial" w:hint="default"/>
      </w:rPr>
    </w:lvl>
    <w:lvl w:ilvl="3" w:tplc="B98A9B82" w:tentative="1">
      <w:start w:val="1"/>
      <w:numFmt w:val="bullet"/>
      <w:lvlText w:val="•"/>
      <w:lvlJc w:val="left"/>
      <w:pPr>
        <w:tabs>
          <w:tab w:val="num" w:pos="2880"/>
        </w:tabs>
        <w:ind w:left="2880" w:hanging="360"/>
      </w:pPr>
      <w:rPr>
        <w:rFonts w:ascii="Arial" w:hAnsi="Arial" w:hint="default"/>
      </w:rPr>
    </w:lvl>
    <w:lvl w:ilvl="4" w:tplc="40C643E0" w:tentative="1">
      <w:start w:val="1"/>
      <w:numFmt w:val="bullet"/>
      <w:lvlText w:val="•"/>
      <w:lvlJc w:val="left"/>
      <w:pPr>
        <w:tabs>
          <w:tab w:val="num" w:pos="3600"/>
        </w:tabs>
        <w:ind w:left="3600" w:hanging="360"/>
      </w:pPr>
      <w:rPr>
        <w:rFonts w:ascii="Arial" w:hAnsi="Arial" w:hint="default"/>
      </w:rPr>
    </w:lvl>
    <w:lvl w:ilvl="5" w:tplc="6A8277A8" w:tentative="1">
      <w:start w:val="1"/>
      <w:numFmt w:val="bullet"/>
      <w:lvlText w:val="•"/>
      <w:lvlJc w:val="left"/>
      <w:pPr>
        <w:tabs>
          <w:tab w:val="num" w:pos="4320"/>
        </w:tabs>
        <w:ind w:left="4320" w:hanging="360"/>
      </w:pPr>
      <w:rPr>
        <w:rFonts w:ascii="Arial" w:hAnsi="Arial" w:hint="default"/>
      </w:rPr>
    </w:lvl>
    <w:lvl w:ilvl="6" w:tplc="02F6F6DC" w:tentative="1">
      <w:start w:val="1"/>
      <w:numFmt w:val="bullet"/>
      <w:lvlText w:val="•"/>
      <w:lvlJc w:val="left"/>
      <w:pPr>
        <w:tabs>
          <w:tab w:val="num" w:pos="5040"/>
        </w:tabs>
        <w:ind w:left="5040" w:hanging="360"/>
      </w:pPr>
      <w:rPr>
        <w:rFonts w:ascii="Arial" w:hAnsi="Arial" w:hint="default"/>
      </w:rPr>
    </w:lvl>
    <w:lvl w:ilvl="7" w:tplc="F4701152" w:tentative="1">
      <w:start w:val="1"/>
      <w:numFmt w:val="bullet"/>
      <w:lvlText w:val="•"/>
      <w:lvlJc w:val="left"/>
      <w:pPr>
        <w:tabs>
          <w:tab w:val="num" w:pos="5760"/>
        </w:tabs>
        <w:ind w:left="5760" w:hanging="360"/>
      </w:pPr>
      <w:rPr>
        <w:rFonts w:ascii="Arial" w:hAnsi="Arial" w:hint="default"/>
      </w:rPr>
    </w:lvl>
    <w:lvl w:ilvl="8" w:tplc="C9323398" w:tentative="1">
      <w:start w:val="1"/>
      <w:numFmt w:val="bullet"/>
      <w:lvlText w:val="•"/>
      <w:lvlJc w:val="left"/>
      <w:pPr>
        <w:tabs>
          <w:tab w:val="num" w:pos="6480"/>
        </w:tabs>
        <w:ind w:left="6480" w:hanging="360"/>
      </w:pPr>
      <w:rPr>
        <w:rFonts w:ascii="Arial" w:hAnsi="Arial" w:hint="default"/>
      </w:rPr>
    </w:lvl>
  </w:abstractNum>
  <w:abstractNum w:abstractNumId="18">
    <w:nsid w:val="56FD5DC9"/>
    <w:multiLevelType w:val="hybridMultilevel"/>
    <w:tmpl w:val="46CA3368"/>
    <w:lvl w:ilvl="0" w:tplc="6346EDC2">
      <w:start w:val="1"/>
      <w:numFmt w:val="bullet"/>
      <w:lvlText w:val="•"/>
      <w:lvlJc w:val="left"/>
      <w:pPr>
        <w:tabs>
          <w:tab w:val="num" w:pos="720"/>
        </w:tabs>
        <w:ind w:left="720" w:hanging="360"/>
      </w:pPr>
      <w:rPr>
        <w:rFonts w:ascii="Arial" w:hAnsi="Arial" w:hint="default"/>
      </w:rPr>
    </w:lvl>
    <w:lvl w:ilvl="1" w:tplc="DB586312" w:tentative="1">
      <w:start w:val="1"/>
      <w:numFmt w:val="bullet"/>
      <w:lvlText w:val="•"/>
      <w:lvlJc w:val="left"/>
      <w:pPr>
        <w:tabs>
          <w:tab w:val="num" w:pos="1440"/>
        </w:tabs>
        <w:ind w:left="1440" w:hanging="360"/>
      </w:pPr>
      <w:rPr>
        <w:rFonts w:ascii="Arial" w:hAnsi="Arial" w:hint="default"/>
      </w:rPr>
    </w:lvl>
    <w:lvl w:ilvl="2" w:tplc="37E264AA" w:tentative="1">
      <w:start w:val="1"/>
      <w:numFmt w:val="bullet"/>
      <w:lvlText w:val="•"/>
      <w:lvlJc w:val="left"/>
      <w:pPr>
        <w:tabs>
          <w:tab w:val="num" w:pos="2160"/>
        </w:tabs>
        <w:ind w:left="2160" w:hanging="360"/>
      </w:pPr>
      <w:rPr>
        <w:rFonts w:ascii="Arial" w:hAnsi="Arial" w:hint="default"/>
      </w:rPr>
    </w:lvl>
    <w:lvl w:ilvl="3" w:tplc="2FD687C8" w:tentative="1">
      <w:start w:val="1"/>
      <w:numFmt w:val="bullet"/>
      <w:lvlText w:val="•"/>
      <w:lvlJc w:val="left"/>
      <w:pPr>
        <w:tabs>
          <w:tab w:val="num" w:pos="2880"/>
        </w:tabs>
        <w:ind w:left="2880" w:hanging="360"/>
      </w:pPr>
      <w:rPr>
        <w:rFonts w:ascii="Arial" w:hAnsi="Arial" w:hint="default"/>
      </w:rPr>
    </w:lvl>
    <w:lvl w:ilvl="4" w:tplc="7152CB3E" w:tentative="1">
      <w:start w:val="1"/>
      <w:numFmt w:val="bullet"/>
      <w:lvlText w:val="•"/>
      <w:lvlJc w:val="left"/>
      <w:pPr>
        <w:tabs>
          <w:tab w:val="num" w:pos="3600"/>
        </w:tabs>
        <w:ind w:left="3600" w:hanging="360"/>
      </w:pPr>
      <w:rPr>
        <w:rFonts w:ascii="Arial" w:hAnsi="Arial" w:hint="default"/>
      </w:rPr>
    </w:lvl>
    <w:lvl w:ilvl="5" w:tplc="AD702C18" w:tentative="1">
      <w:start w:val="1"/>
      <w:numFmt w:val="bullet"/>
      <w:lvlText w:val="•"/>
      <w:lvlJc w:val="left"/>
      <w:pPr>
        <w:tabs>
          <w:tab w:val="num" w:pos="4320"/>
        </w:tabs>
        <w:ind w:left="4320" w:hanging="360"/>
      </w:pPr>
      <w:rPr>
        <w:rFonts w:ascii="Arial" w:hAnsi="Arial" w:hint="default"/>
      </w:rPr>
    </w:lvl>
    <w:lvl w:ilvl="6" w:tplc="E7AC641E" w:tentative="1">
      <w:start w:val="1"/>
      <w:numFmt w:val="bullet"/>
      <w:lvlText w:val="•"/>
      <w:lvlJc w:val="left"/>
      <w:pPr>
        <w:tabs>
          <w:tab w:val="num" w:pos="5040"/>
        </w:tabs>
        <w:ind w:left="5040" w:hanging="360"/>
      </w:pPr>
      <w:rPr>
        <w:rFonts w:ascii="Arial" w:hAnsi="Arial" w:hint="default"/>
      </w:rPr>
    </w:lvl>
    <w:lvl w:ilvl="7" w:tplc="3F865F56" w:tentative="1">
      <w:start w:val="1"/>
      <w:numFmt w:val="bullet"/>
      <w:lvlText w:val="•"/>
      <w:lvlJc w:val="left"/>
      <w:pPr>
        <w:tabs>
          <w:tab w:val="num" w:pos="5760"/>
        </w:tabs>
        <w:ind w:left="5760" w:hanging="360"/>
      </w:pPr>
      <w:rPr>
        <w:rFonts w:ascii="Arial" w:hAnsi="Arial" w:hint="default"/>
      </w:rPr>
    </w:lvl>
    <w:lvl w:ilvl="8" w:tplc="C4C08382" w:tentative="1">
      <w:start w:val="1"/>
      <w:numFmt w:val="bullet"/>
      <w:lvlText w:val="•"/>
      <w:lvlJc w:val="left"/>
      <w:pPr>
        <w:tabs>
          <w:tab w:val="num" w:pos="6480"/>
        </w:tabs>
        <w:ind w:left="6480" w:hanging="360"/>
      </w:pPr>
      <w:rPr>
        <w:rFonts w:ascii="Arial" w:hAnsi="Arial" w:hint="default"/>
      </w:rPr>
    </w:lvl>
  </w:abstractNum>
  <w:abstractNum w:abstractNumId="19">
    <w:nsid w:val="592470F9"/>
    <w:multiLevelType w:val="hybridMultilevel"/>
    <w:tmpl w:val="8E54B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CA82C11"/>
    <w:multiLevelType w:val="hybridMultilevel"/>
    <w:tmpl w:val="EDF804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E502295"/>
    <w:multiLevelType w:val="hybridMultilevel"/>
    <w:tmpl w:val="E5823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7"/>
  </w:num>
  <w:num w:numId="4">
    <w:abstractNumId w:val="5"/>
  </w:num>
  <w:num w:numId="5">
    <w:abstractNumId w:val="7"/>
  </w:num>
  <w:num w:numId="6">
    <w:abstractNumId w:val="7"/>
  </w:num>
  <w:num w:numId="7">
    <w:abstractNumId w:val="7"/>
  </w:num>
  <w:num w:numId="8">
    <w:abstractNumId w:val="3"/>
  </w:num>
  <w:num w:numId="9">
    <w:abstractNumId w:val="20"/>
  </w:num>
  <w:num w:numId="10">
    <w:abstractNumId w:val="16"/>
  </w:num>
  <w:num w:numId="11">
    <w:abstractNumId w:val="19"/>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21"/>
  </w:num>
  <w:num w:numId="15">
    <w:abstractNumId w:val="10"/>
  </w:num>
  <w:num w:numId="16">
    <w:abstractNumId w:val="7"/>
  </w:num>
  <w:num w:numId="17">
    <w:abstractNumId w:val="14"/>
  </w:num>
  <w:num w:numId="18">
    <w:abstractNumId w:val="11"/>
  </w:num>
  <w:num w:numId="19">
    <w:abstractNumId w:val="13"/>
  </w:num>
  <w:num w:numId="20">
    <w:abstractNumId w:val="7"/>
  </w:num>
  <w:num w:numId="21">
    <w:abstractNumId w:val="7"/>
  </w:num>
  <w:num w:numId="22">
    <w:abstractNumId w:val="7"/>
  </w:num>
  <w:num w:numId="23">
    <w:abstractNumId w:val="7"/>
  </w:num>
  <w:num w:numId="24">
    <w:abstractNumId w:val="7"/>
  </w:num>
  <w:num w:numId="25">
    <w:abstractNumId w:val="7"/>
  </w:num>
  <w:num w:numId="26">
    <w:abstractNumId w:val="7"/>
  </w:num>
  <w:num w:numId="27">
    <w:abstractNumId w:val="7"/>
  </w:num>
  <w:num w:numId="28">
    <w:abstractNumId w:val="7"/>
  </w:num>
  <w:num w:numId="29">
    <w:abstractNumId w:val="12"/>
  </w:num>
  <w:num w:numId="30">
    <w:abstractNumId w:val="7"/>
  </w:num>
  <w:num w:numId="31">
    <w:abstractNumId w:val="7"/>
  </w:num>
  <w:num w:numId="32">
    <w:abstractNumId w:val="7"/>
  </w:num>
  <w:num w:numId="33">
    <w:abstractNumId w:val="7"/>
  </w:num>
  <w:num w:numId="34">
    <w:abstractNumId w:val="7"/>
  </w:num>
  <w:num w:numId="35">
    <w:abstractNumId w:val="7"/>
  </w:num>
  <w:num w:numId="36">
    <w:abstractNumId w:val="7"/>
  </w:num>
  <w:num w:numId="37">
    <w:abstractNumId w:val="17"/>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
    <w:lvlOverride w:ilvl="0">
      <w:startOverride w:val="3"/>
    </w:lvlOverride>
    <w:lvlOverride w:ilvl="1">
      <w:startOverride w:val="1"/>
    </w:lvlOverride>
  </w:num>
  <w:num w:numId="40">
    <w:abstractNumId w:val="8"/>
  </w:num>
  <w:num w:numId="41">
    <w:abstractNumId w:val="6"/>
  </w:num>
  <w:num w:numId="42">
    <w:abstractNumId w:val="9"/>
  </w:num>
  <w:num w:numId="43">
    <w:abstractNumId w:val="15"/>
  </w:num>
  <w:num w:numId="44">
    <w:abstractNumId w:val="4"/>
  </w:num>
  <w:num w:numId="45">
    <w:abstractNumId w:val="1"/>
  </w:num>
  <w:num w:numId="46">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hyphenationZone w:val="425"/>
  <w:drawingGridHorizontalSpacing w:val="12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ENInstantFormat&gt;"/>
    <w:docVar w:name="EN.Layout" w:val="&lt;ENLayout&gt;&lt;Style&gt;Author-Date&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ALL References.enl&lt;/item&gt;&lt;/Libraries&gt;&lt;/ENLibraries&gt;"/>
  </w:docVars>
  <w:rsids>
    <w:rsidRoot w:val="000913DF"/>
    <w:rsid w:val="000015A6"/>
    <w:rsid w:val="00002EAB"/>
    <w:rsid w:val="00005EAF"/>
    <w:rsid w:val="0000799B"/>
    <w:rsid w:val="00010507"/>
    <w:rsid w:val="000108D3"/>
    <w:rsid w:val="00012116"/>
    <w:rsid w:val="00012456"/>
    <w:rsid w:val="00012C43"/>
    <w:rsid w:val="0001383B"/>
    <w:rsid w:val="00014AC5"/>
    <w:rsid w:val="00015327"/>
    <w:rsid w:val="000153B9"/>
    <w:rsid w:val="000168BC"/>
    <w:rsid w:val="00021690"/>
    <w:rsid w:val="00023655"/>
    <w:rsid w:val="00023995"/>
    <w:rsid w:val="00026315"/>
    <w:rsid w:val="00026D4E"/>
    <w:rsid w:val="000302F9"/>
    <w:rsid w:val="00030993"/>
    <w:rsid w:val="00037E97"/>
    <w:rsid w:val="000404BF"/>
    <w:rsid w:val="0004453E"/>
    <w:rsid w:val="000463F9"/>
    <w:rsid w:val="000478C3"/>
    <w:rsid w:val="00047E6A"/>
    <w:rsid w:val="00050662"/>
    <w:rsid w:val="00051271"/>
    <w:rsid w:val="00052182"/>
    <w:rsid w:val="000521EC"/>
    <w:rsid w:val="000530B2"/>
    <w:rsid w:val="00056A61"/>
    <w:rsid w:val="00060BD9"/>
    <w:rsid w:val="0006429C"/>
    <w:rsid w:val="000709A9"/>
    <w:rsid w:val="00076B82"/>
    <w:rsid w:val="00080720"/>
    <w:rsid w:val="00081EE8"/>
    <w:rsid w:val="00082FCA"/>
    <w:rsid w:val="00084035"/>
    <w:rsid w:val="00085485"/>
    <w:rsid w:val="00090E92"/>
    <w:rsid w:val="00090EAA"/>
    <w:rsid w:val="0009105C"/>
    <w:rsid w:val="000913DF"/>
    <w:rsid w:val="000935F1"/>
    <w:rsid w:val="00093CF1"/>
    <w:rsid w:val="00094412"/>
    <w:rsid w:val="00097C69"/>
    <w:rsid w:val="00097F58"/>
    <w:rsid w:val="000A0183"/>
    <w:rsid w:val="000A08B3"/>
    <w:rsid w:val="000A1264"/>
    <w:rsid w:val="000A3D12"/>
    <w:rsid w:val="000A4319"/>
    <w:rsid w:val="000A4D9F"/>
    <w:rsid w:val="000A5888"/>
    <w:rsid w:val="000A5CB0"/>
    <w:rsid w:val="000A60D7"/>
    <w:rsid w:val="000B05EC"/>
    <w:rsid w:val="000B10A3"/>
    <w:rsid w:val="000B3D91"/>
    <w:rsid w:val="000C2442"/>
    <w:rsid w:val="000C262C"/>
    <w:rsid w:val="000C5DCF"/>
    <w:rsid w:val="000C60B6"/>
    <w:rsid w:val="000C760B"/>
    <w:rsid w:val="000C7FB5"/>
    <w:rsid w:val="000D0326"/>
    <w:rsid w:val="000D19E7"/>
    <w:rsid w:val="000D24E4"/>
    <w:rsid w:val="000D497F"/>
    <w:rsid w:val="000D4B67"/>
    <w:rsid w:val="000E03DB"/>
    <w:rsid w:val="000E1A45"/>
    <w:rsid w:val="000E216F"/>
    <w:rsid w:val="000E5F31"/>
    <w:rsid w:val="000E5FE1"/>
    <w:rsid w:val="000E6602"/>
    <w:rsid w:val="000E66A0"/>
    <w:rsid w:val="000E7D6A"/>
    <w:rsid w:val="000F227C"/>
    <w:rsid w:val="000F236E"/>
    <w:rsid w:val="000F240A"/>
    <w:rsid w:val="000F2EFA"/>
    <w:rsid w:val="000F4A1D"/>
    <w:rsid w:val="000F4E3B"/>
    <w:rsid w:val="000F5AE6"/>
    <w:rsid w:val="000F6EF9"/>
    <w:rsid w:val="000F7FBB"/>
    <w:rsid w:val="0010274E"/>
    <w:rsid w:val="00102DDB"/>
    <w:rsid w:val="0010365A"/>
    <w:rsid w:val="0010372A"/>
    <w:rsid w:val="0010512E"/>
    <w:rsid w:val="00106541"/>
    <w:rsid w:val="00106893"/>
    <w:rsid w:val="00107314"/>
    <w:rsid w:val="00107333"/>
    <w:rsid w:val="00107DB9"/>
    <w:rsid w:val="00110643"/>
    <w:rsid w:val="00112AB3"/>
    <w:rsid w:val="00112E3E"/>
    <w:rsid w:val="00113B12"/>
    <w:rsid w:val="0011521F"/>
    <w:rsid w:val="00116882"/>
    <w:rsid w:val="00121AB3"/>
    <w:rsid w:val="00122174"/>
    <w:rsid w:val="00123C78"/>
    <w:rsid w:val="00124264"/>
    <w:rsid w:val="001245D4"/>
    <w:rsid w:val="00125653"/>
    <w:rsid w:val="00127FAF"/>
    <w:rsid w:val="001333D3"/>
    <w:rsid w:val="001334EE"/>
    <w:rsid w:val="001368A2"/>
    <w:rsid w:val="0014245C"/>
    <w:rsid w:val="00144215"/>
    <w:rsid w:val="00145F07"/>
    <w:rsid w:val="00150D8D"/>
    <w:rsid w:val="001514DE"/>
    <w:rsid w:val="001549E2"/>
    <w:rsid w:val="001624E2"/>
    <w:rsid w:val="00170579"/>
    <w:rsid w:val="0017198A"/>
    <w:rsid w:val="00171E75"/>
    <w:rsid w:val="00174B48"/>
    <w:rsid w:val="00183E26"/>
    <w:rsid w:val="00185AF0"/>
    <w:rsid w:val="00185C5A"/>
    <w:rsid w:val="001915F7"/>
    <w:rsid w:val="00193D08"/>
    <w:rsid w:val="00194642"/>
    <w:rsid w:val="00196B26"/>
    <w:rsid w:val="001A0126"/>
    <w:rsid w:val="001A0E4F"/>
    <w:rsid w:val="001A1C6D"/>
    <w:rsid w:val="001A2749"/>
    <w:rsid w:val="001A6ED9"/>
    <w:rsid w:val="001B2A46"/>
    <w:rsid w:val="001B3B25"/>
    <w:rsid w:val="001B3F48"/>
    <w:rsid w:val="001B54E1"/>
    <w:rsid w:val="001B6F80"/>
    <w:rsid w:val="001B7722"/>
    <w:rsid w:val="001C0605"/>
    <w:rsid w:val="001C1732"/>
    <w:rsid w:val="001C432D"/>
    <w:rsid w:val="001C6C00"/>
    <w:rsid w:val="001C73F2"/>
    <w:rsid w:val="001C7A82"/>
    <w:rsid w:val="001D40B9"/>
    <w:rsid w:val="001D4B9E"/>
    <w:rsid w:val="001D50CE"/>
    <w:rsid w:val="001D5C8F"/>
    <w:rsid w:val="001E31C0"/>
    <w:rsid w:val="001E3A4D"/>
    <w:rsid w:val="001E3BDC"/>
    <w:rsid w:val="001E4384"/>
    <w:rsid w:val="001E6B51"/>
    <w:rsid w:val="001F026B"/>
    <w:rsid w:val="001F2336"/>
    <w:rsid w:val="001F5601"/>
    <w:rsid w:val="001F6179"/>
    <w:rsid w:val="0020184F"/>
    <w:rsid w:val="00202820"/>
    <w:rsid w:val="00202C85"/>
    <w:rsid w:val="00206BDF"/>
    <w:rsid w:val="002072E9"/>
    <w:rsid w:val="00210E1E"/>
    <w:rsid w:val="002122EA"/>
    <w:rsid w:val="002156F7"/>
    <w:rsid w:val="002161BF"/>
    <w:rsid w:val="00216D37"/>
    <w:rsid w:val="00217A6E"/>
    <w:rsid w:val="00222831"/>
    <w:rsid w:val="00225A59"/>
    <w:rsid w:val="002266EC"/>
    <w:rsid w:val="00226706"/>
    <w:rsid w:val="00226D90"/>
    <w:rsid w:val="00227E1B"/>
    <w:rsid w:val="002307C4"/>
    <w:rsid w:val="00230E85"/>
    <w:rsid w:val="00231797"/>
    <w:rsid w:val="00232145"/>
    <w:rsid w:val="0023565D"/>
    <w:rsid w:val="00236161"/>
    <w:rsid w:val="002368C1"/>
    <w:rsid w:val="0024015B"/>
    <w:rsid w:val="00246B18"/>
    <w:rsid w:val="002470B5"/>
    <w:rsid w:val="00250BE9"/>
    <w:rsid w:val="00250DA4"/>
    <w:rsid w:val="00256F2C"/>
    <w:rsid w:val="00257A6A"/>
    <w:rsid w:val="00260695"/>
    <w:rsid w:val="00261200"/>
    <w:rsid w:val="00262534"/>
    <w:rsid w:val="002626EC"/>
    <w:rsid w:val="00262CB4"/>
    <w:rsid w:val="0026373A"/>
    <w:rsid w:val="00264B14"/>
    <w:rsid w:val="0026550B"/>
    <w:rsid w:val="00265A53"/>
    <w:rsid w:val="00267347"/>
    <w:rsid w:val="002707A0"/>
    <w:rsid w:val="00275609"/>
    <w:rsid w:val="002766DA"/>
    <w:rsid w:val="002808AC"/>
    <w:rsid w:val="00280943"/>
    <w:rsid w:val="00282B47"/>
    <w:rsid w:val="00287F9C"/>
    <w:rsid w:val="00291EB5"/>
    <w:rsid w:val="00293189"/>
    <w:rsid w:val="002959A9"/>
    <w:rsid w:val="00296B29"/>
    <w:rsid w:val="002A066C"/>
    <w:rsid w:val="002A15CF"/>
    <w:rsid w:val="002A184B"/>
    <w:rsid w:val="002A385C"/>
    <w:rsid w:val="002A3D20"/>
    <w:rsid w:val="002A4649"/>
    <w:rsid w:val="002A72BE"/>
    <w:rsid w:val="002A7D37"/>
    <w:rsid w:val="002B1AD5"/>
    <w:rsid w:val="002B4DA6"/>
    <w:rsid w:val="002C0E02"/>
    <w:rsid w:val="002C3E91"/>
    <w:rsid w:val="002C5155"/>
    <w:rsid w:val="002D2C92"/>
    <w:rsid w:val="002D2D9A"/>
    <w:rsid w:val="002D422A"/>
    <w:rsid w:val="002D49C8"/>
    <w:rsid w:val="002D7259"/>
    <w:rsid w:val="002E054A"/>
    <w:rsid w:val="002E07C5"/>
    <w:rsid w:val="002E08BC"/>
    <w:rsid w:val="002E0DBF"/>
    <w:rsid w:val="002E134D"/>
    <w:rsid w:val="002E23F6"/>
    <w:rsid w:val="002E3DE1"/>
    <w:rsid w:val="002E6EB9"/>
    <w:rsid w:val="002E75F9"/>
    <w:rsid w:val="002E7FCA"/>
    <w:rsid w:val="002F1D16"/>
    <w:rsid w:val="002F374A"/>
    <w:rsid w:val="002F41E2"/>
    <w:rsid w:val="002F43AF"/>
    <w:rsid w:val="002F7568"/>
    <w:rsid w:val="00300ABE"/>
    <w:rsid w:val="00301A80"/>
    <w:rsid w:val="00301D9C"/>
    <w:rsid w:val="00305AAC"/>
    <w:rsid w:val="00305DAD"/>
    <w:rsid w:val="00310541"/>
    <w:rsid w:val="00310D21"/>
    <w:rsid w:val="00310F61"/>
    <w:rsid w:val="00312243"/>
    <w:rsid w:val="003132D7"/>
    <w:rsid w:val="00317E33"/>
    <w:rsid w:val="00320F05"/>
    <w:rsid w:val="00321C9F"/>
    <w:rsid w:val="003234BB"/>
    <w:rsid w:val="00326E09"/>
    <w:rsid w:val="00330751"/>
    <w:rsid w:val="0033102B"/>
    <w:rsid w:val="003324EA"/>
    <w:rsid w:val="003331B5"/>
    <w:rsid w:val="003339B1"/>
    <w:rsid w:val="00336D5F"/>
    <w:rsid w:val="00337908"/>
    <w:rsid w:val="00340349"/>
    <w:rsid w:val="0034065C"/>
    <w:rsid w:val="0034428F"/>
    <w:rsid w:val="00344738"/>
    <w:rsid w:val="00351BCB"/>
    <w:rsid w:val="00352EF0"/>
    <w:rsid w:val="0035303E"/>
    <w:rsid w:val="00357BF4"/>
    <w:rsid w:val="0036006D"/>
    <w:rsid w:val="00362633"/>
    <w:rsid w:val="003628FC"/>
    <w:rsid w:val="00362C71"/>
    <w:rsid w:val="003635EA"/>
    <w:rsid w:val="0036490E"/>
    <w:rsid w:val="00364A1A"/>
    <w:rsid w:val="00364A24"/>
    <w:rsid w:val="003679A9"/>
    <w:rsid w:val="00370757"/>
    <w:rsid w:val="00371AEE"/>
    <w:rsid w:val="0037273B"/>
    <w:rsid w:val="003742C0"/>
    <w:rsid w:val="003778FF"/>
    <w:rsid w:val="00377E5C"/>
    <w:rsid w:val="0038066D"/>
    <w:rsid w:val="003877AD"/>
    <w:rsid w:val="003926A3"/>
    <w:rsid w:val="00393F1C"/>
    <w:rsid w:val="0039410B"/>
    <w:rsid w:val="00397577"/>
    <w:rsid w:val="003A18A8"/>
    <w:rsid w:val="003A48C6"/>
    <w:rsid w:val="003A55B6"/>
    <w:rsid w:val="003A77C0"/>
    <w:rsid w:val="003A7987"/>
    <w:rsid w:val="003A7BAA"/>
    <w:rsid w:val="003B08CC"/>
    <w:rsid w:val="003B186F"/>
    <w:rsid w:val="003B1F32"/>
    <w:rsid w:val="003B3706"/>
    <w:rsid w:val="003B487A"/>
    <w:rsid w:val="003B6E25"/>
    <w:rsid w:val="003B7D18"/>
    <w:rsid w:val="003C4D91"/>
    <w:rsid w:val="003C4EE9"/>
    <w:rsid w:val="003C530A"/>
    <w:rsid w:val="003C658F"/>
    <w:rsid w:val="003D0113"/>
    <w:rsid w:val="003D090F"/>
    <w:rsid w:val="003D16B3"/>
    <w:rsid w:val="003D25D2"/>
    <w:rsid w:val="003D2CE4"/>
    <w:rsid w:val="003D5EDF"/>
    <w:rsid w:val="003E2CB2"/>
    <w:rsid w:val="003E2EB1"/>
    <w:rsid w:val="003E3C56"/>
    <w:rsid w:val="003E5A2A"/>
    <w:rsid w:val="003E5FA8"/>
    <w:rsid w:val="003E7926"/>
    <w:rsid w:val="003F04D6"/>
    <w:rsid w:val="003F076E"/>
    <w:rsid w:val="003F1236"/>
    <w:rsid w:val="003F2AF4"/>
    <w:rsid w:val="003F564E"/>
    <w:rsid w:val="00403CED"/>
    <w:rsid w:val="00404AAE"/>
    <w:rsid w:val="0041061B"/>
    <w:rsid w:val="00410F37"/>
    <w:rsid w:val="004116C4"/>
    <w:rsid w:val="00411D5B"/>
    <w:rsid w:val="0041269C"/>
    <w:rsid w:val="00413998"/>
    <w:rsid w:val="00413CBD"/>
    <w:rsid w:val="004152E6"/>
    <w:rsid w:val="00416860"/>
    <w:rsid w:val="00420559"/>
    <w:rsid w:val="00425EE9"/>
    <w:rsid w:val="00426C78"/>
    <w:rsid w:val="00426CDD"/>
    <w:rsid w:val="004307A6"/>
    <w:rsid w:val="0043113C"/>
    <w:rsid w:val="004315CA"/>
    <w:rsid w:val="004329A6"/>
    <w:rsid w:val="00434E4F"/>
    <w:rsid w:val="00436504"/>
    <w:rsid w:val="00436ABA"/>
    <w:rsid w:val="00437664"/>
    <w:rsid w:val="00440401"/>
    <w:rsid w:val="0044393A"/>
    <w:rsid w:val="00445C1A"/>
    <w:rsid w:val="0044796F"/>
    <w:rsid w:val="00450DDF"/>
    <w:rsid w:val="004524CF"/>
    <w:rsid w:val="0045250C"/>
    <w:rsid w:val="004541FA"/>
    <w:rsid w:val="004555C9"/>
    <w:rsid w:val="0045578B"/>
    <w:rsid w:val="0045668E"/>
    <w:rsid w:val="0045698B"/>
    <w:rsid w:val="0046131D"/>
    <w:rsid w:val="004622EA"/>
    <w:rsid w:val="00462806"/>
    <w:rsid w:val="00463644"/>
    <w:rsid w:val="00466F72"/>
    <w:rsid w:val="004670EB"/>
    <w:rsid w:val="00467267"/>
    <w:rsid w:val="004751E8"/>
    <w:rsid w:val="00476E03"/>
    <w:rsid w:val="00480C06"/>
    <w:rsid w:val="00480CD1"/>
    <w:rsid w:val="00481BB0"/>
    <w:rsid w:val="00482298"/>
    <w:rsid w:val="004848B4"/>
    <w:rsid w:val="00487A04"/>
    <w:rsid w:val="00490320"/>
    <w:rsid w:val="00490D91"/>
    <w:rsid w:val="00490DC8"/>
    <w:rsid w:val="00491455"/>
    <w:rsid w:val="00492F7D"/>
    <w:rsid w:val="0049386D"/>
    <w:rsid w:val="00493C8C"/>
    <w:rsid w:val="0049535B"/>
    <w:rsid w:val="004A5368"/>
    <w:rsid w:val="004A56BA"/>
    <w:rsid w:val="004B233D"/>
    <w:rsid w:val="004B2E40"/>
    <w:rsid w:val="004B315B"/>
    <w:rsid w:val="004B66A2"/>
    <w:rsid w:val="004B6DF8"/>
    <w:rsid w:val="004B72F6"/>
    <w:rsid w:val="004B798E"/>
    <w:rsid w:val="004C4C86"/>
    <w:rsid w:val="004C52A2"/>
    <w:rsid w:val="004C6938"/>
    <w:rsid w:val="004C69B0"/>
    <w:rsid w:val="004D1D84"/>
    <w:rsid w:val="004D400A"/>
    <w:rsid w:val="004D43A7"/>
    <w:rsid w:val="004D613D"/>
    <w:rsid w:val="004D7D3F"/>
    <w:rsid w:val="004E08D5"/>
    <w:rsid w:val="004E2035"/>
    <w:rsid w:val="004E2D14"/>
    <w:rsid w:val="004E2EDD"/>
    <w:rsid w:val="004E33E8"/>
    <w:rsid w:val="004E4537"/>
    <w:rsid w:val="004E4948"/>
    <w:rsid w:val="004E4B7F"/>
    <w:rsid w:val="004E4C2B"/>
    <w:rsid w:val="004E7D71"/>
    <w:rsid w:val="004F229F"/>
    <w:rsid w:val="004F2AB5"/>
    <w:rsid w:val="004F346C"/>
    <w:rsid w:val="004F5959"/>
    <w:rsid w:val="004F6006"/>
    <w:rsid w:val="004F61CF"/>
    <w:rsid w:val="004F787C"/>
    <w:rsid w:val="005001B1"/>
    <w:rsid w:val="00506C0A"/>
    <w:rsid w:val="005076A4"/>
    <w:rsid w:val="00511B20"/>
    <w:rsid w:val="00514918"/>
    <w:rsid w:val="005161E9"/>
    <w:rsid w:val="00516FCB"/>
    <w:rsid w:val="00521A98"/>
    <w:rsid w:val="00522F87"/>
    <w:rsid w:val="005252F5"/>
    <w:rsid w:val="005252FD"/>
    <w:rsid w:val="00525A54"/>
    <w:rsid w:val="00526EFE"/>
    <w:rsid w:val="00527560"/>
    <w:rsid w:val="00531974"/>
    <w:rsid w:val="0053310C"/>
    <w:rsid w:val="00533550"/>
    <w:rsid w:val="00533D73"/>
    <w:rsid w:val="00534D2A"/>
    <w:rsid w:val="00535028"/>
    <w:rsid w:val="00542406"/>
    <w:rsid w:val="00542453"/>
    <w:rsid w:val="005425C8"/>
    <w:rsid w:val="0054383D"/>
    <w:rsid w:val="00545E81"/>
    <w:rsid w:val="005470C9"/>
    <w:rsid w:val="005505D0"/>
    <w:rsid w:val="0055607D"/>
    <w:rsid w:val="00556535"/>
    <w:rsid w:val="0056016F"/>
    <w:rsid w:val="00560593"/>
    <w:rsid w:val="00560736"/>
    <w:rsid w:val="005607ED"/>
    <w:rsid w:val="0056345C"/>
    <w:rsid w:val="0056567B"/>
    <w:rsid w:val="005660AE"/>
    <w:rsid w:val="005660B7"/>
    <w:rsid w:val="00566EE7"/>
    <w:rsid w:val="00566EED"/>
    <w:rsid w:val="00571D09"/>
    <w:rsid w:val="00572058"/>
    <w:rsid w:val="005751E6"/>
    <w:rsid w:val="00577756"/>
    <w:rsid w:val="00577F24"/>
    <w:rsid w:val="0058066E"/>
    <w:rsid w:val="00581E2A"/>
    <w:rsid w:val="0058433C"/>
    <w:rsid w:val="00587A89"/>
    <w:rsid w:val="00591983"/>
    <w:rsid w:val="0059392F"/>
    <w:rsid w:val="00594CAE"/>
    <w:rsid w:val="00594F5F"/>
    <w:rsid w:val="0059568B"/>
    <w:rsid w:val="005A0594"/>
    <w:rsid w:val="005A144D"/>
    <w:rsid w:val="005A28DA"/>
    <w:rsid w:val="005B0410"/>
    <w:rsid w:val="005B13CE"/>
    <w:rsid w:val="005B18DC"/>
    <w:rsid w:val="005B2415"/>
    <w:rsid w:val="005B50C6"/>
    <w:rsid w:val="005B6056"/>
    <w:rsid w:val="005B6ABC"/>
    <w:rsid w:val="005C14CE"/>
    <w:rsid w:val="005C2B92"/>
    <w:rsid w:val="005C3358"/>
    <w:rsid w:val="005C37C9"/>
    <w:rsid w:val="005D04E6"/>
    <w:rsid w:val="005D0671"/>
    <w:rsid w:val="005D0E20"/>
    <w:rsid w:val="005D1F26"/>
    <w:rsid w:val="005D22C1"/>
    <w:rsid w:val="005D2E85"/>
    <w:rsid w:val="005D4257"/>
    <w:rsid w:val="005D51BE"/>
    <w:rsid w:val="005D5DCD"/>
    <w:rsid w:val="005D764E"/>
    <w:rsid w:val="005E10E9"/>
    <w:rsid w:val="005E25B7"/>
    <w:rsid w:val="005E4F02"/>
    <w:rsid w:val="005E5054"/>
    <w:rsid w:val="005E630E"/>
    <w:rsid w:val="005E7148"/>
    <w:rsid w:val="005E7D05"/>
    <w:rsid w:val="005E7E4F"/>
    <w:rsid w:val="005F1AB9"/>
    <w:rsid w:val="005F2136"/>
    <w:rsid w:val="005F338D"/>
    <w:rsid w:val="005F36CF"/>
    <w:rsid w:val="005F3ED6"/>
    <w:rsid w:val="005F4025"/>
    <w:rsid w:val="005F5B3D"/>
    <w:rsid w:val="005F60CD"/>
    <w:rsid w:val="00600E24"/>
    <w:rsid w:val="0060216C"/>
    <w:rsid w:val="00603603"/>
    <w:rsid w:val="00606A63"/>
    <w:rsid w:val="00606DDA"/>
    <w:rsid w:val="0061117D"/>
    <w:rsid w:val="00611A58"/>
    <w:rsid w:val="0061612B"/>
    <w:rsid w:val="00616C00"/>
    <w:rsid w:val="00623C19"/>
    <w:rsid w:val="0062432D"/>
    <w:rsid w:val="00625FB4"/>
    <w:rsid w:val="0062791C"/>
    <w:rsid w:val="00630956"/>
    <w:rsid w:val="006322B8"/>
    <w:rsid w:val="00632914"/>
    <w:rsid w:val="0063392A"/>
    <w:rsid w:val="006339DF"/>
    <w:rsid w:val="006359A4"/>
    <w:rsid w:val="006370CC"/>
    <w:rsid w:val="006407D5"/>
    <w:rsid w:val="0064223D"/>
    <w:rsid w:val="0064404D"/>
    <w:rsid w:val="0064492C"/>
    <w:rsid w:val="00645378"/>
    <w:rsid w:val="006456D0"/>
    <w:rsid w:val="0064699C"/>
    <w:rsid w:val="006511D9"/>
    <w:rsid w:val="00652E07"/>
    <w:rsid w:val="00654816"/>
    <w:rsid w:val="00656127"/>
    <w:rsid w:val="00656E22"/>
    <w:rsid w:val="00656F50"/>
    <w:rsid w:val="0066032E"/>
    <w:rsid w:val="00663565"/>
    <w:rsid w:val="00663C52"/>
    <w:rsid w:val="00665B30"/>
    <w:rsid w:val="006670C3"/>
    <w:rsid w:val="006676AC"/>
    <w:rsid w:val="00667D60"/>
    <w:rsid w:val="006733C4"/>
    <w:rsid w:val="006734C8"/>
    <w:rsid w:val="006735D4"/>
    <w:rsid w:val="00673773"/>
    <w:rsid w:val="0067427C"/>
    <w:rsid w:val="00675D5C"/>
    <w:rsid w:val="00675E16"/>
    <w:rsid w:val="00676D2B"/>
    <w:rsid w:val="0068090D"/>
    <w:rsid w:val="00680C17"/>
    <w:rsid w:val="00683F9A"/>
    <w:rsid w:val="00685E99"/>
    <w:rsid w:val="006878E5"/>
    <w:rsid w:val="006901AF"/>
    <w:rsid w:val="006910E2"/>
    <w:rsid w:val="006913FA"/>
    <w:rsid w:val="0069396B"/>
    <w:rsid w:val="00694191"/>
    <w:rsid w:val="00695196"/>
    <w:rsid w:val="00696E2A"/>
    <w:rsid w:val="006A2669"/>
    <w:rsid w:val="006A4B53"/>
    <w:rsid w:val="006A7D10"/>
    <w:rsid w:val="006B0051"/>
    <w:rsid w:val="006B07D1"/>
    <w:rsid w:val="006B0DA1"/>
    <w:rsid w:val="006B21EF"/>
    <w:rsid w:val="006B5589"/>
    <w:rsid w:val="006C0EDE"/>
    <w:rsid w:val="006C19C2"/>
    <w:rsid w:val="006C30DA"/>
    <w:rsid w:val="006C5440"/>
    <w:rsid w:val="006C61CA"/>
    <w:rsid w:val="006C7C8D"/>
    <w:rsid w:val="006C7D03"/>
    <w:rsid w:val="006D17F7"/>
    <w:rsid w:val="006D21A3"/>
    <w:rsid w:val="006D2596"/>
    <w:rsid w:val="006D32D8"/>
    <w:rsid w:val="006D3B28"/>
    <w:rsid w:val="006D4347"/>
    <w:rsid w:val="006D6B48"/>
    <w:rsid w:val="006D7AA1"/>
    <w:rsid w:val="006E48CB"/>
    <w:rsid w:val="006E48EE"/>
    <w:rsid w:val="006E51B1"/>
    <w:rsid w:val="006E694B"/>
    <w:rsid w:val="006E7B50"/>
    <w:rsid w:val="006F36EF"/>
    <w:rsid w:val="00701530"/>
    <w:rsid w:val="007015AB"/>
    <w:rsid w:val="00704663"/>
    <w:rsid w:val="00706F9D"/>
    <w:rsid w:val="007132D5"/>
    <w:rsid w:val="007138B2"/>
    <w:rsid w:val="00714FBD"/>
    <w:rsid w:val="00715515"/>
    <w:rsid w:val="00717769"/>
    <w:rsid w:val="007212D0"/>
    <w:rsid w:val="007243E7"/>
    <w:rsid w:val="0072536F"/>
    <w:rsid w:val="007303DE"/>
    <w:rsid w:val="00730A9C"/>
    <w:rsid w:val="00731C14"/>
    <w:rsid w:val="0073284D"/>
    <w:rsid w:val="00732954"/>
    <w:rsid w:val="00734DCF"/>
    <w:rsid w:val="00740118"/>
    <w:rsid w:val="00740272"/>
    <w:rsid w:val="007426A5"/>
    <w:rsid w:val="007433FD"/>
    <w:rsid w:val="007448E3"/>
    <w:rsid w:val="007450F4"/>
    <w:rsid w:val="00746385"/>
    <w:rsid w:val="00747C28"/>
    <w:rsid w:val="007559C9"/>
    <w:rsid w:val="00762104"/>
    <w:rsid w:val="007631EE"/>
    <w:rsid w:val="007640BD"/>
    <w:rsid w:val="007652A5"/>
    <w:rsid w:val="007657BF"/>
    <w:rsid w:val="00767BBF"/>
    <w:rsid w:val="00770FE2"/>
    <w:rsid w:val="0077145B"/>
    <w:rsid w:val="0077459F"/>
    <w:rsid w:val="00774B30"/>
    <w:rsid w:val="00776040"/>
    <w:rsid w:val="007767FA"/>
    <w:rsid w:val="0078021D"/>
    <w:rsid w:val="00781B01"/>
    <w:rsid w:val="007820A1"/>
    <w:rsid w:val="007830F4"/>
    <w:rsid w:val="00784647"/>
    <w:rsid w:val="00785F22"/>
    <w:rsid w:val="007866E8"/>
    <w:rsid w:val="0078675A"/>
    <w:rsid w:val="007933A0"/>
    <w:rsid w:val="00793C1A"/>
    <w:rsid w:val="00796DD0"/>
    <w:rsid w:val="00797BDA"/>
    <w:rsid w:val="00797EFD"/>
    <w:rsid w:val="007A1380"/>
    <w:rsid w:val="007A2238"/>
    <w:rsid w:val="007A3E3D"/>
    <w:rsid w:val="007A4966"/>
    <w:rsid w:val="007A4C99"/>
    <w:rsid w:val="007A603E"/>
    <w:rsid w:val="007A6C02"/>
    <w:rsid w:val="007B5B28"/>
    <w:rsid w:val="007B63B8"/>
    <w:rsid w:val="007B748A"/>
    <w:rsid w:val="007B7BDF"/>
    <w:rsid w:val="007C1491"/>
    <w:rsid w:val="007C2141"/>
    <w:rsid w:val="007C457D"/>
    <w:rsid w:val="007C5089"/>
    <w:rsid w:val="007C58DF"/>
    <w:rsid w:val="007C5E0B"/>
    <w:rsid w:val="007D0A3F"/>
    <w:rsid w:val="007D40F1"/>
    <w:rsid w:val="007D50BD"/>
    <w:rsid w:val="007E0616"/>
    <w:rsid w:val="007E131A"/>
    <w:rsid w:val="007E1327"/>
    <w:rsid w:val="007E1A5C"/>
    <w:rsid w:val="007E233A"/>
    <w:rsid w:val="007E2C97"/>
    <w:rsid w:val="007E2DFA"/>
    <w:rsid w:val="007E37CA"/>
    <w:rsid w:val="007F15B8"/>
    <w:rsid w:val="007F1784"/>
    <w:rsid w:val="007F5FD4"/>
    <w:rsid w:val="008024FB"/>
    <w:rsid w:val="008045F8"/>
    <w:rsid w:val="00804B3B"/>
    <w:rsid w:val="00805061"/>
    <w:rsid w:val="00805B17"/>
    <w:rsid w:val="008121B7"/>
    <w:rsid w:val="008158F0"/>
    <w:rsid w:val="00822359"/>
    <w:rsid w:val="00826CEF"/>
    <w:rsid w:val="00826FA9"/>
    <w:rsid w:val="00827B57"/>
    <w:rsid w:val="00830EB8"/>
    <w:rsid w:val="00831398"/>
    <w:rsid w:val="00831933"/>
    <w:rsid w:val="0083631C"/>
    <w:rsid w:val="00842C90"/>
    <w:rsid w:val="00844C05"/>
    <w:rsid w:val="0084790B"/>
    <w:rsid w:val="008502C6"/>
    <w:rsid w:val="00850E3D"/>
    <w:rsid w:val="00851D6F"/>
    <w:rsid w:val="0085253D"/>
    <w:rsid w:val="00852D78"/>
    <w:rsid w:val="008610C4"/>
    <w:rsid w:val="00861AA4"/>
    <w:rsid w:val="00861DC9"/>
    <w:rsid w:val="008641EC"/>
    <w:rsid w:val="008662F6"/>
    <w:rsid w:val="00871345"/>
    <w:rsid w:val="00871B7E"/>
    <w:rsid w:val="008749B6"/>
    <w:rsid w:val="0087627F"/>
    <w:rsid w:val="00876458"/>
    <w:rsid w:val="00877DE4"/>
    <w:rsid w:val="00880261"/>
    <w:rsid w:val="00880841"/>
    <w:rsid w:val="00881694"/>
    <w:rsid w:val="00884271"/>
    <w:rsid w:val="00884410"/>
    <w:rsid w:val="00884AAB"/>
    <w:rsid w:val="00885C33"/>
    <w:rsid w:val="008867E2"/>
    <w:rsid w:val="00887069"/>
    <w:rsid w:val="00893BA9"/>
    <w:rsid w:val="00893DC1"/>
    <w:rsid w:val="00894733"/>
    <w:rsid w:val="008A0C55"/>
    <w:rsid w:val="008A3F38"/>
    <w:rsid w:val="008B445B"/>
    <w:rsid w:val="008B446A"/>
    <w:rsid w:val="008B44BC"/>
    <w:rsid w:val="008B6187"/>
    <w:rsid w:val="008B66A8"/>
    <w:rsid w:val="008B6D3F"/>
    <w:rsid w:val="008B7306"/>
    <w:rsid w:val="008B7386"/>
    <w:rsid w:val="008C375D"/>
    <w:rsid w:val="008C4FAA"/>
    <w:rsid w:val="008C69D5"/>
    <w:rsid w:val="008D0A14"/>
    <w:rsid w:val="008D0B7E"/>
    <w:rsid w:val="008D1498"/>
    <w:rsid w:val="008D21BC"/>
    <w:rsid w:val="008D3A0E"/>
    <w:rsid w:val="008D4D14"/>
    <w:rsid w:val="008D688F"/>
    <w:rsid w:val="008D75B0"/>
    <w:rsid w:val="008E0E16"/>
    <w:rsid w:val="008E28A1"/>
    <w:rsid w:val="008E4070"/>
    <w:rsid w:val="008E485F"/>
    <w:rsid w:val="008E5514"/>
    <w:rsid w:val="008E5932"/>
    <w:rsid w:val="008E71F5"/>
    <w:rsid w:val="008E78B5"/>
    <w:rsid w:val="008F090D"/>
    <w:rsid w:val="008F0E99"/>
    <w:rsid w:val="008F1F11"/>
    <w:rsid w:val="008F2630"/>
    <w:rsid w:val="008F34B8"/>
    <w:rsid w:val="008F47DA"/>
    <w:rsid w:val="008F48A1"/>
    <w:rsid w:val="008F4B26"/>
    <w:rsid w:val="008F65AA"/>
    <w:rsid w:val="008F6B4B"/>
    <w:rsid w:val="008F6D15"/>
    <w:rsid w:val="00905546"/>
    <w:rsid w:val="009063A6"/>
    <w:rsid w:val="0090644D"/>
    <w:rsid w:val="00906545"/>
    <w:rsid w:val="00911389"/>
    <w:rsid w:val="00912A65"/>
    <w:rsid w:val="009133D0"/>
    <w:rsid w:val="00913442"/>
    <w:rsid w:val="00913B28"/>
    <w:rsid w:val="00915C9E"/>
    <w:rsid w:val="0091602A"/>
    <w:rsid w:val="00917C67"/>
    <w:rsid w:val="0092228E"/>
    <w:rsid w:val="0092489F"/>
    <w:rsid w:val="0092580B"/>
    <w:rsid w:val="00926F56"/>
    <w:rsid w:val="00927188"/>
    <w:rsid w:val="00932A5F"/>
    <w:rsid w:val="00934888"/>
    <w:rsid w:val="00934F84"/>
    <w:rsid w:val="00935384"/>
    <w:rsid w:val="00935440"/>
    <w:rsid w:val="0093570B"/>
    <w:rsid w:val="009412B4"/>
    <w:rsid w:val="00945A77"/>
    <w:rsid w:val="009466F4"/>
    <w:rsid w:val="00946A90"/>
    <w:rsid w:val="00946F77"/>
    <w:rsid w:val="00947664"/>
    <w:rsid w:val="00947C6D"/>
    <w:rsid w:val="00950458"/>
    <w:rsid w:val="00951174"/>
    <w:rsid w:val="0095453D"/>
    <w:rsid w:val="009574DE"/>
    <w:rsid w:val="00960DFE"/>
    <w:rsid w:val="00963E80"/>
    <w:rsid w:val="00967245"/>
    <w:rsid w:val="00967CC8"/>
    <w:rsid w:val="0097229C"/>
    <w:rsid w:val="00980877"/>
    <w:rsid w:val="009820F8"/>
    <w:rsid w:val="00984761"/>
    <w:rsid w:val="00993CA7"/>
    <w:rsid w:val="00993DF9"/>
    <w:rsid w:val="0099451C"/>
    <w:rsid w:val="00994A20"/>
    <w:rsid w:val="00994C38"/>
    <w:rsid w:val="009953E8"/>
    <w:rsid w:val="00996274"/>
    <w:rsid w:val="0099670E"/>
    <w:rsid w:val="009A0A1E"/>
    <w:rsid w:val="009A4848"/>
    <w:rsid w:val="009B28F5"/>
    <w:rsid w:val="009B3EC3"/>
    <w:rsid w:val="009B58A2"/>
    <w:rsid w:val="009B6CBD"/>
    <w:rsid w:val="009C196F"/>
    <w:rsid w:val="009C1F60"/>
    <w:rsid w:val="009C29C8"/>
    <w:rsid w:val="009D04AB"/>
    <w:rsid w:val="009D2C75"/>
    <w:rsid w:val="009D5F42"/>
    <w:rsid w:val="009D6817"/>
    <w:rsid w:val="009E163C"/>
    <w:rsid w:val="009E2160"/>
    <w:rsid w:val="009E3456"/>
    <w:rsid w:val="009E60EA"/>
    <w:rsid w:val="009F0921"/>
    <w:rsid w:val="009F281B"/>
    <w:rsid w:val="009F3C8D"/>
    <w:rsid w:val="009F52E7"/>
    <w:rsid w:val="009F5742"/>
    <w:rsid w:val="009F57A0"/>
    <w:rsid w:val="009F7BF7"/>
    <w:rsid w:val="00A008CD"/>
    <w:rsid w:val="00A02CB6"/>
    <w:rsid w:val="00A053C1"/>
    <w:rsid w:val="00A102A9"/>
    <w:rsid w:val="00A10871"/>
    <w:rsid w:val="00A108D2"/>
    <w:rsid w:val="00A119E5"/>
    <w:rsid w:val="00A12BE0"/>
    <w:rsid w:val="00A14E64"/>
    <w:rsid w:val="00A21925"/>
    <w:rsid w:val="00A23F00"/>
    <w:rsid w:val="00A26332"/>
    <w:rsid w:val="00A26983"/>
    <w:rsid w:val="00A3066C"/>
    <w:rsid w:val="00A313E7"/>
    <w:rsid w:val="00A32375"/>
    <w:rsid w:val="00A34775"/>
    <w:rsid w:val="00A36542"/>
    <w:rsid w:val="00A36889"/>
    <w:rsid w:val="00A37771"/>
    <w:rsid w:val="00A40FD3"/>
    <w:rsid w:val="00A413EE"/>
    <w:rsid w:val="00A440A9"/>
    <w:rsid w:val="00A44624"/>
    <w:rsid w:val="00A53EF8"/>
    <w:rsid w:val="00A57751"/>
    <w:rsid w:val="00A60055"/>
    <w:rsid w:val="00A607C9"/>
    <w:rsid w:val="00A61457"/>
    <w:rsid w:val="00A62481"/>
    <w:rsid w:val="00A62A27"/>
    <w:rsid w:val="00A62E3A"/>
    <w:rsid w:val="00A6781D"/>
    <w:rsid w:val="00A73DE0"/>
    <w:rsid w:val="00A7542E"/>
    <w:rsid w:val="00A75794"/>
    <w:rsid w:val="00A7608F"/>
    <w:rsid w:val="00A82FC6"/>
    <w:rsid w:val="00A879CF"/>
    <w:rsid w:val="00A87ED4"/>
    <w:rsid w:val="00A91B4E"/>
    <w:rsid w:val="00A9551F"/>
    <w:rsid w:val="00A95DC7"/>
    <w:rsid w:val="00A97F25"/>
    <w:rsid w:val="00AA096B"/>
    <w:rsid w:val="00AA2CE4"/>
    <w:rsid w:val="00AA37DB"/>
    <w:rsid w:val="00AA542C"/>
    <w:rsid w:val="00AA7B9A"/>
    <w:rsid w:val="00AB1D83"/>
    <w:rsid w:val="00AB2450"/>
    <w:rsid w:val="00AB3BBE"/>
    <w:rsid w:val="00AB407A"/>
    <w:rsid w:val="00AC0F53"/>
    <w:rsid w:val="00AC246E"/>
    <w:rsid w:val="00AC2962"/>
    <w:rsid w:val="00AC48C0"/>
    <w:rsid w:val="00AD1E58"/>
    <w:rsid w:val="00AD25B0"/>
    <w:rsid w:val="00AD49F5"/>
    <w:rsid w:val="00AE046E"/>
    <w:rsid w:val="00AE3023"/>
    <w:rsid w:val="00AE4D1B"/>
    <w:rsid w:val="00AE51D7"/>
    <w:rsid w:val="00AE632A"/>
    <w:rsid w:val="00AF0D58"/>
    <w:rsid w:val="00AF101F"/>
    <w:rsid w:val="00AF1E4F"/>
    <w:rsid w:val="00AF2BD7"/>
    <w:rsid w:val="00AF3327"/>
    <w:rsid w:val="00B0157C"/>
    <w:rsid w:val="00B019FF"/>
    <w:rsid w:val="00B04780"/>
    <w:rsid w:val="00B04838"/>
    <w:rsid w:val="00B056F1"/>
    <w:rsid w:val="00B13BEE"/>
    <w:rsid w:val="00B14731"/>
    <w:rsid w:val="00B14C64"/>
    <w:rsid w:val="00B14D19"/>
    <w:rsid w:val="00B14EA7"/>
    <w:rsid w:val="00B17173"/>
    <w:rsid w:val="00B20F30"/>
    <w:rsid w:val="00B213BC"/>
    <w:rsid w:val="00B218B4"/>
    <w:rsid w:val="00B23CBB"/>
    <w:rsid w:val="00B25478"/>
    <w:rsid w:val="00B267FD"/>
    <w:rsid w:val="00B270F8"/>
    <w:rsid w:val="00B3119A"/>
    <w:rsid w:val="00B3563D"/>
    <w:rsid w:val="00B4091C"/>
    <w:rsid w:val="00B411E4"/>
    <w:rsid w:val="00B43536"/>
    <w:rsid w:val="00B43E65"/>
    <w:rsid w:val="00B4660B"/>
    <w:rsid w:val="00B505B2"/>
    <w:rsid w:val="00B505C2"/>
    <w:rsid w:val="00B5160F"/>
    <w:rsid w:val="00B523CA"/>
    <w:rsid w:val="00B52791"/>
    <w:rsid w:val="00B55AC7"/>
    <w:rsid w:val="00B6095D"/>
    <w:rsid w:val="00B61337"/>
    <w:rsid w:val="00B6234E"/>
    <w:rsid w:val="00B649A1"/>
    <w:rsid w:val="00B672C7"/>
    <w:rsid w:val="00B67430"/>
    <w:rsid w:val="00B67716"/>
    <w:rsid w:val="00B70385"/>
    <w:rsid w:val="00B705D2"/>
    <w:rsid w:val="00B736CC"/>
    <w:rsid w:val="00B743BE"/>
    <w:rsid w:val="00B77A24"/>
    <w:rsid w:val="00B8411E"/>
    <w:rsid w:val="00B84941"/>
    <w:rsid w:val="00B8513E"/>
    <w:rsid w:val="00B85D2C"/>
    <w:rsid w:val="00B87BD3"/>
    <w:rsid w:val="00B90E59"/>
    <w:rsid w:val="00B9117B"/>
    <w:rsid w:val="00B94188"/>
    <w:rsid w:val="00B95B09"/>
    <w:rsid w:val="00B96AD4"/>
    <w:rsid w:val="00BA17C1"/>
    <w:rsid w:val="00BA1AD1"/>
    <w:rsid w:val="00BA2396"/>
    <w:rsid w:val="00BA2962"/>
    <w:rsid w:val="00BA4036"/>
    <w:rsid w:val="00BA4A05"/>
    <w:rsid w:val="00BA56E4"/>
    <w:rsid w:val="00BA755E"/>
    <w:rsid w:val="00BB011D"/>
    <w:rsid w:val="00BB1AFC"/>
    <w:rsid w:val="00BB1CB1"/>
    <w:rsid w:val="00BB2BFB"/>
    <w:rsid w:val="00BB6A74"/>
    <w:rsid w:val="00BC0213"/>
    <w:rsid w:val="00BC0241"/>
    <w:rsid w:val="00BC06C1"/>
    <w:rsid w:val="00BC112E"/>
    <w:rsid w:val="00BC16F1"/>
    <w:rsid w:val="00BC211B"/>
    <w:rsid w:val="00BC291C"/>
    <w:rsid w:val="00BC4C4A"/>
    <w:rsid w:val="00BD3C6C"/>
    <w:rsid w:val="00BD41A1"/>
    <w:rsid w:val="00BD52C4"/>
    <w:rsid w:val="00BD5C96"/>
    <w:rsid w:val="00BD65FF"/>
    <w:rsid w:val="00BD710F"/>
    <w:rsid w:val="00BE04EC"/>
    <w:rsid w:val="00BE0B82"/>
    <w:rsid w:val="00BE0EA2"/>
    <w:rsid w:val="00BE28B4"/>
    <w:rsid w:val="00BE2F8D"/>
    <w:rsid w:val="00BE3C12"/>
    <w:rsid w:val="00BE5508"/>
    <w:rsid w:val="00BF235F"/>
    <w:rsid w:val="00BF246A"/>
    <w:rsid w:val="00BF26B3"/>
    <w:rsid w:val="00BF2789"/>
    <w:rsid w:val="00BF4CAC"/>
    <w:rsid w:val="00BF69ED"/>
    <w:rsid w:val="00C006D8"/>
    <w:rsid w:val="00C01A1A"/>
    <w:rsid w:val="00C01A39"/>
    <w:rsid w:val="00C027CD"/>
    <w:rsid w:val="00C03055"/>
    <w:rsid w:val="00C04A9D"/>
    <w:rsid w:val="00C06FB8"/>
    <w:rsid w:val="00C10582"/>
    <w:rsid w:val="00C1131E"/>
    <w:rsid w:val="00C11645"/>
    <w:rsid w:val="00C11EDA"/>
    <w:rsid w:val="00C12B04"/>
    <w:rsid w:val="00C14E47"/>
    <w:rsid w:val="00C21BAD"/>
    <w:rsid w:val="00C21E75"/>
    <w:rsid w:val="00C23546"/>
    <w:rsid w:val="00C23F87"/>
    <w:rsid w:val="00C2525B"/>
    <w:rsid w:val="00C2656E"/>
    <w:rsid w:val="00C34561"/>
    <w:rsid w:val="00C35472"/>
    <w:rsid w:val="00C355DF"/>
    <w:rsid w:val="00C45778"/>
    <w:rsid w:val="00C4693E"/>
    <w:rsid w:val="00C46E34"/>
    <w:rsid w:val="00C47CC2"/>
    <w:rsid w:val="00C514DF"/>
    <w:rsid w:val="00C51559"/>
    <w:rsid w:val="00C5237C"/>
    <w:rsid w:val="00C53CC0"/>
    <w:rsid w:val="00C570BD"/>
    <w:rsid w:val="00C57C33"/>
    <w:rsid w:val="00C629D6"/>
    <w:rsid w:val="00C65DDD"/>
    <w:rsid w:val="00C67D6D"/>
    <w:rsid w:val="00C67D82"/>
    <w:rsid w:val="00C7364E"/>
    <w:rsid w:val="00C7371C"/>
    <w:rsid w:val="00C806B7"/>
    <w:rsid w:val="00C81B0C"/>
    <w:rsid w:val="00C841AA"/>
    <w:rsid w:val="00C844C4"/>
    <w:rsid w:val="00C850CF"/>
    <w:rsid w:val="00C86851"/>
    <w:rsid w:val="00C86EF3"/>
    <w:rsid w:val="00C9039A"/>
    <w:rsid w:val="00C908C4"/>
    <w:rsid w:val="00C915FD"/>
    <w:rsid w:val="00C91E2D"/>
    <w:rsid w:val="00C92471"/>
    <w:rsid w:val="00C92C73"/>
    <w:rsid w:val="00C93296"/>
    <w:rsid w:val="00C9337F"/>
    <w:rsid w:val="00C94D13"/>
    <w:rsid w:val="00C977DC"/>
    <w:rsid w:val="00C97C42"/>
    <w:rsid w:val="00C97EFF"/>
    <w:rsid w:val="00CA0211"/>
    <w:rsid w:val="00CA0C0B"/>
    <w:rsid w:val="00CA1A3E"/>
    <w:rsid w:val="00CA2867"/>
    <w:rsid w:val="00CA2D37"/>
    <w:rsid w:val="00CA3FD4"/>
    <w:rsid w:val="00CA63E4"/>
    <w:rsid w:val="00CB0BDE"/>
    <w:rsid w:val="00CB149B"/>
    <w:rsid w:val="00CB1AB7"/>
    <w:rsid w:val="00CB4B1E"/>
    <w:rsid w:val="00CB5176"/>
    <w:rsid w:val="00CB577A"/>
    <w:rsid w:val="00CC1F3C"/>
    <w:rsid w:val="00CC43A8"/>
    <w:rsid w:val="00CC70D0"/>
    <w:rsid w:val="00CD072E"/>
    <w:rsid w:val="00CD08C8"/>
    <w:rsid w:val="00CD1B46"/>
    <w:rsid w:val="00CD2D42"/>
    <w:rsid w:val="00CD3921"/>
    <w:rsid w:val="00CD4AB6"/>
    <w:rsid w:val="00CD52EE"/>
    <w:rsid w:val="00CD57AF"/>
    <w:rsid w:val="00CE1368"/>
    <w:rsid w:val="00CE172D"/>
    <w:rsid w:val="00CE1D39"/>
    <w:rsid w:val="00CE213C"/>
    <w:rsid w:val="00CE32AF"/>
    <w:rsid w:val="00CE3A3F"/>
    <w:rsid w:val="00CE4280"/>
    <w:rsid w:val="00CF0141"/>
    <w:rsid w:val="00CF203C"/>
    <w:rsid w:val="00CF2B60"/>
    <w:rsid w:val="00CF5787"/>
    <w:rsid w:val="00CF5965"/>
    <w:rsid w:val="00D00468"/>
    <w:rsid w:val="00D02487"/>
    <w:rsid w:val="00D038CA"/>
    <w:rsid w:val="00D0413D"/>
    <w:rsid w:val="00D04D23"/>
    <w:rsid w:val="00D06B02"/>
    <w:rsid w:val="00D079F4"/>
    <w:rsid w:val="00D107BE"/>
    <w:rsid w:val="00D10884"/>
    <w:rsid w:val="00D11653"/>
    <w:rsid w:val="00D13AC6"/>
    <w:rsid w:val="00D14980"/>
    <w:rsid w:val="00D14D3C"/>
    <w:rsid w:val="00D1563D"/>
    <w:rsid w:val="00D216BC"/>
    <w:rsid w:val="00D23FF5"/>
    <w:rsid w:val="00D25606"/>
    <w:rsid w:val="00D31029"/>
    <w:rsid w:val="00D3156F"/>
    <w:rsid w:val="00D3157C"/>
    <w:rsid w:val="00D32658"/>
    <w:rsid w:val="00D3377C"/>
    <w:rsid w:val="00D37272"/>
    <w:rsid w:val="00D4005C"/>
    <w:rsid w:val="00D4073D"/>
    <w:rsid w:val="00D4124A"/>
    <w:rsid w:val="00D42A41"/>
    <w:rsid w:val="00D4306D"/>
    <w:rsid w:val="00D447E5"/>
    <w:rsid w:val="00D4592B"/>
    <w:rsid w:val="00D46F88"/>
    <w:rsid w:val="00D514F7"/>
    <w:rsid w:val="00D51738"/>
    <w:rsid w:val="00D55745"/>
    <w:rsid w:val="00D56A34"/>
    <w:rsid w:val="00D56CAF"/>
    <w:rsid w:val="00D6057D"/>
    <w:rsid w:val="00D637BB"/>
    <w:rsid w:val="00D6474C"/>
    <w:rsid w:val="00D64C9E"/>
    <w:rsid w:val="00D706A5"/>
    <w:rsid w:val="00D75234"/>
    <w:rsid w:val="00D766BF"/>
    <w:rsid w:val="00D7733E"/>
    <w:rsid w:val="00D827C5"/>
    <w:rsid w:val="00D85D46"/>
    <w:rsid w:val="00D87395"/>
    <w:rsid w:val="00D92843"/>
    <w:rsid w:val="00D94F1D"/>
    <w:rsid w:val="00D977E1"/>
    <w:rsid w:val="00DA2321"/>
    <w:rsid w:val="00DA3279"/>
    <w:rsid w:val="00DA3356"/>
    <w:rsid w:val="00DA5089"/>
    <w:rsid w:val="00DA5685"/>
    <w:rsid w:val="00DA5BDF"/>
    <w:rsid w:val="00DA5D05"/>
    <w:rsid w:val="00DA78C0"/>
    <w:rsid w:val="00DB0507"/>
    <w:rsid w:val="00DB0BE7"/>
    <w:rsid w:val="00DB1201"/>
    <w:rsid w:val="00DB37B6"/>
    <w:rsid w:val="00DB4E21"/>
    <w:rsid w:val="00DB64D9"/>
    <w:rsid w:val="00DB6CA2"/>
    <w:rsid w:val="00DB7FA2"/>
    <w:rsid w:val="00DC069E"/>
    <w:rsid w:val="00DC06D6"/>
    <w:rsid w:val="00DC09CC"/>
    <w:rsid w:val="00DC2374"/>
    <w:rsid w:val="00DC2CC6"/>
    <w:rsid w:val="00DC3ED1"/>
    <w:rsid w:val="00DD12DD"/>
    <w:rsid w:val="00DD32A2"/>
    <w:rsid w:val="00DD4BBE"/>
    <w:rsid w:val="00DD4CF6"/>
    <w:rsid w:val="00DD53DF"/>
    <w:rsid w:val="00DD61B6"/>
    <w:rsid w:val="00DD6B8E"/>
    <w:rsid w:val="00DE1222"/>
    <w:rsid w:val="00DE24F9"/>
    <w:rsid w:val="00DE3147"/>
    <w:rsid w:val="00DE3E44"/>
    <w:rsid w:val="00DE5476"/>
    <w:rsid w:val="00DE72FC"/>
    <w:rsid w:val="00DF0F5D"/>
    <w:rsid w:val="00DF19FE"/>
    <w:rsid w:val="00DF2353"/>
    <w:rsid w:val="00DF26DA"/>
    <w:rsid w:val="00DF43A7"/>
    <w:rsid w:val="00DF5EF2"/>
    <w:rsid w:val="00DF6800"/>
    <w:rsid w:val="00E00498"/>
    <w:rsid w:val="00E01E41"/>
    <w:rsid w:val="00E03C18"/>
    <w:rsid w:val="00E04752"/>
    <w:rsid w:val="00E06A3A"/>
    <w:rsid w:val="00E078AE"/>
    <w:rsid w:val="00E11DC7"/>
    <w:rsid w:val="00E1261E"/>
    <w:rsid w:val="00E12D5D"/>
    <w:rsid w:val="00E14EB9"/>
    <w:rsid w:val="00E159AB"/>
    <w:rsid w:val="00E17084"/>
    <w:rsid w:val="00E202F0"/>
    <w:rsid w:val="00E20319"/>
    <w:rsid w:val="00E21875"/>
    <w:rsid w:val="00E23AF8"/>
    <w:rsid w:val="00E256D9"/>
    <w:rsid w:val="00E26A8B"/>
    <w:rsid w:val="00E30777"/>
    <w:rsid w:val="00E3278C"/>
    <w:rsid w:val="00E33531"/>
    <w:rsid w:val="00E335E8"/>
    <w:rsid w:val="00E33A44"/>
    <w:rsid w:val="00E342DF"/>
    <w:rsid w:val="00E35931"/>
    <w:rsid w:val="00E366B4"/>
    <w:rsid w:val="00E37E2C"/>
    <w:rsid w:val="00E37F90"/>
    <w:rsid w:val="00E40432"/>
    <w:rsid w:val="00E44E5E"/>
    <w:rsid w:val="00E463DA"/>
    <w:rsid w:val="00E50397"/>
    <w:rsid w:val="00E51988"/>
    <w:rsid w:val="00E53D7C"/>
    <w:rsid w:val="00E57EBD"/>
    <w:rsid w:val="00E60BAD"/>
    <w:rsid w:val="00E62075"/>
    <w:rsid w:val="00E65845"/>
    <w:rsid w:val="00E66590"/>
    <w:rsid w:val="00E665CA"/>
    <w:rsid w:val="00E66A06"/>
    <w:rsid w:val="00E67225"/>
    <w:rsid w:val="00E70396"/>
    <w:rsid w:val="00E710A9"/>
    <w:rsid w:val="00E72F43"/>
    <w:rsid w:val="00E756ED"/>
    <w:rsid w:val="00E75DE0"/>
    <w:rsid w:val="00E77AD4"/>
    <w:rsid w:val="00E820CB"/>
    <w:rsid w:val="00E821BB"/>
    <w:rsid w:val="00E83480"/>
    <w:rsid w:val="00E8350C"/>
    <w:rsid w:val="00E83D1A"/>
    <w:rsid w:val="00E90B98"/>
    <w:rsid w:val="00E93B35"/>
    <w:rsid w:val="00E96B92"/>
    <w:rsid w:val="00E97554"/>
    <w:rsid w:val="00EA09E5"/>
    <w:rsid w:val="00EA27B1"/>
    <w:rsid w:val="00EA38DE"/>
    <w:rsid w:val="00EA4932"/>
    <w:rsid w:val="00EA6231"/>
    <w:rsid w:val="00EA6962"/>
    <w:rsid w:val="00EA69E3"/>
    <w:rsid w:val="00EA7261"/>
    <w:rsid w:val="00EA7F91"/>
    <w:rsid w:val="00EB0DD6"/>
    <w:rsid w:val="00EB1F0F"/>
    <w:rsid w:val="00EB4414"/>
    <w:rsid w:val="00EB4F0C"/>
    <w:rsid w:val="00EB674D"/>
    <w:rsid w:val="00EC1BCF"/>
    <w:rsid w:val="00EC4EC9"/>
    <w:rsid w:val="00EC5A9C"/>
    <w:rsid w:val="00EC5FAC"/>
    <w:rsid w:val="00ED0805"/>
    <w:rsid w:val="00ED2132"/>
    <w:rsid w:val="00ED2FA0"/>
    <w:rsid w:val="00EE0B09"/>
    <w:rsid w:val="00EE3AE1"/>
    <w:rsid w:val="00EE4397"/>
    <w:rsid w:val="00EE448C"/>
    <w:rsid w:val="00EE4505"/>
    <w:rsid w:val="00EE64AA"/>
    <w:rsid w:val="00EF1649"/>
    <w:rsid w:val="00EF42D0"/>
    <w:rsid w:val="00F00B35"/>
    <w:rsid w:val="00F01302"/>
    <w:rsid w:val="00F013CE"/>
    <w:rsid w:val="00F03209"/>
    <w:rsid w:val="00F07ECC"/>
    <w:rsid w:val="00F114B6"/>
    <w:rsid w:val="00F13074"/>
    <w:rsid w:val="00F13329"/>
    <w:rsid w:val="00F1437F"/>
    <w:rsid w:val="00F1471E"/>
    <w:rsid w:val="00F17478"/>
    <w:rsid w:val="00F20CE5"/>
    <w:rsid w:val="00F20FFF"/>
    <w:rsid w:val="00F21094"/>
    <w:rsid w:val="00F21436"/>
    <w:rsid w:val="00F216FD"/>
    <w:rsid w:val="00F2277C"/>
    <w:rsid w:val="00F22F60"/>
    <w:rsid w:val="00F241AF"/>
    <w:rsid w:val="00F26925"/>
    <w:rsid w:val="00F27347"/>
    <w:rsid w:val="00F31716"/>
    <w:rsid w:val="00F35309"/>
    <w:rsid w:val="00F361FE"/>
    <w:rsid w:val="00F40F43"/>
    <w:rsid w:val="00F45012"/>
    <w:rsid w:val="00F459F9"/>
    <w:rsid w:val="00F45CC5"/>
    <w:rsid w:val="00F45D25"/>
    <w:rsid w:val="00F46CE5"/>
    <w:rsid w:val="00F50A43"/>
    <w:rsid w:val="00F5101A"/>
    <w:rsid w:val="00F51596"/>
    <w:rsid w:val="00F52EA1"/>
    <w:rsid w:val="00F54B65"/>
    <w:rsid w:val="00F56E1C"/>
    <w:rsid w:val="00F57CB3"/>
    <w:rsid w:val="00F60BA4"/>
    <w:rsid w:val="00F62017"/>
    <w:rsid w:val="00F651B4"/>
    <w:rsid w:val="00F653B9"/>
    <w:rsid w:val="00F6630E"/>
    <w:rsid w:val="00F6700F"/>
    <w:rsid w:val="00F670C5"/>
    <w:rsid w:val="00F674E9"/>
    <w:rsid w:val="00F70461"/>
    <w:rsid w:val="00F72D1D"/>
    <w:rsid w:val="00F7341F"/>
    <w:rsid w:val="00F74CCE"/>
    <w:rsid w:val="00F778AE"/>
    <w:rsid w:val="00F80741"/>
    <w:rsid w:val="00F868BF"/>
    <w:rsid w:val="00F869D7"/>
    <w:rsid w:val="00F916A7"/>
    <w:rsid w:val="00F91A0F"/>
    <w:rsid w:val="00F92C67"/>
    <w:rsid w:val="00F936E6"/>
    <w:rsid w:val="00F94B83"/>
    <w:rsid w:val="00F95B19"/>
    <w:rsid w:val="00FA581D"/>
    <w:rsid w:val="00FA6598"/>
    <w:rsid w:val="00FB3694"/>
    <w:rsid w:val="00FB3C36"/>
    <w:rsid w:val="00FB43E7"/>
    <w:rsid w:val="00FC2081"/>
    <w:rsid w:val="00FC2CEF"/>
    <w:rsid w:val="00FC53F9"/>
    <w:rsid w:val="00FC637C"/>
    <w:rsid w:val="00FC7709"/>
    <w:rsid w:val="00FD140C"/>
    <w:rsid w:val="00FD1D72"/>
    <w:rsid w:val="00FD36B3"/>
    <w:rsid w:val="00FD3B6D"/>
    <w:rsid w:val="00FD7171"/>
    <w:rsid w:val="00FE1282"/>
    <w:rsid w:val="00FE2EEC"/>
    <w:rsid w:val="00FE7149"/>
    <w:rsid w:val="00FF2C66"/>
    <w:rsid w:val="00FF3DF2"/>
    <w:rsid w:val="00FF5503"/>
    <w:rsid w:val="00FF58A0"/>
    <w:rsid w:val="00FF636C"/>
  </w:rsids>
  <m:mathPr>
    <m:mathFont m:val="Cambria Math"/>
    <m:brkBin m:val="before"/>
    <m:brkBinSub m:val="--"/>
    <m:smallFrac m:val="0"/>
    <m:dispDef/>
    <m:lMargin m:val="0"/>
    <m:rMargin m:val="0"/>
    <m:defJc m:val="centerGroup"/>
    <m:wrapIndent m:val="1440"/>
    <m:intLim m:val="subSup"/>
    <m:naryLim m:val="undOvr"/>
  </m:mathPr>
  <w:themeFontLang w:val="sw-KE" w:bidi="hi-IN"/>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058BA88D"/>
  <w15:docId w15:val="{E395890B-EC01-414A-A641-2377E19D5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4EB9"/>
    <w:pPr>
      <w:spacing w:after="0"/>
      <w:jc w:val="both"/>
    </w:pPr>
    <w:rPr>
      <w:rFonts w:ascii="Arial" w:hAnsi="Arial"/>
      <w:sz w:val="24"/>
    </w:rPr>
  </w:style>
  <w:style w:type="paragraph" w:styleId="Heading1">
    <w:name w:val="heading 1"/>
    <w:basedOn w:val="Normal"/>
    <w:next w:val="Normal"/>
    <w:link w:val="Heading1Char"/>
    <w:uiPriority w:val="9"/>
    <w:qFormat/>
    <w:rsid w:val="002C3E91"/>
    <w:pPr>
      <w:keepNext/>
      <w:keepLines/>
      <w:numPr>
        <w:numId w:val="3"/>
      </w:numPr>
      <w:spacing w:before="240" w:after="12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D52C4"/>
    <w:pPr>
      <w:keepNext/>
      <w:keepLines/>
      <w:numPr>
        <w:ilvl w:val="1"/>
        <w:numId w:val="3"/>
      </w:numPr>
      <w:spacing w:before="40" w:after="120"/>
      <w:outlineLvl w:val="1"/>
    </w:pPr>
    <w:rPr>
      <w:rFonts w:asciiTheme="majorHAnsi" w:eastAsiaTheme="majorEastAsia" w:hAnsiTheme="majorHAnsi" w:cstheme="majorBidi"/>
      <w:color w:val="365F91" w:themeColor="accent1" w:themeShade="BF"/>
      <w:sz w:val="28"/>
      <w:szCs w:val="26"/>
    </w:rPr>
  </w:style>
  <w:style w:type="paragraph" w:styleId="Heading3">
    <w:name w:val="heading 3"/>
    <w:basedOn w:val="Normal"/>
    <w:next w:val="Normal"/>
    <w:link w:val="Heading3Char"/>
    <w:uiPriority w:val="9"/>
    <w:unhideWhenUsed/>
    <w:qFormat/>
    <w:rsid w:val="001F6179"/>
    <w:pPr>
      <w:keepNext/>
      <w:keepLines/>
      <w:numPr>
        <w:ilvl w:val="2"/>
        <w:numId w:val="3"/>
      </w:numPr>
      <w:spacing w:before="200" w:after="12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F6179"/>
    <w:pPr>
      <w:keepNext/>
      <w:keepLines/>
      <w:numPr>
        <w:ilvl w:val="3"/>
        <w:numId w:val="3"/>
      </w:numPr>
      <w:spacing w:before="200" w:after="12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C3E91"/>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C3E91"/>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2C3E91"/>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3E91"/>
    <w:pPr>
      <w:keepNext/>
      <w:keepLines/>
      <w:numPr>
        <w:ilvl w:val="7"/>
        <w:numId w:val="3"/>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C3E91"/>
    <w:pPr>
      <w:keepNext/>
      <w:keepLines/>
      <w:numPr>
        <w:ilvl w:val="8"/>
        <w:numId w:val="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3F1C"/>
    <w:pPr>
      <w:ind w:left="720"/>
      <w:contextualSpacing/>
    </w:pPr>
  </w:style>
  <w:style w:type="character" w:styleId="CommentReference">
    <w:name w:val="annotation reference"/>
    <w:basedOn w:val="DefaultParagraphFont"/>
    <w:uiPriority w:val="99"/>
    <w:semiHidden/>
    <w:unhideWhenUsed/>
    <w:rsid w:val="000478C3"/>
    <w:rPr>
      <w:sz w:val="16"/>
      <w:szCs w:val="16"/>
    </w:rPr>
  </w:style>
  <w:style w:type="paragraph" w:styleId="CommentText">
    <w:name w:val="annotation text"/>
    <w:basedOn w:val="Normal"/>
    <w:link w:val="CommentTextChar"/>
    <w:uiPriority w:val="99"/>
    <w:semiHidden/>
    <w:unhideWhenUsed/>
    <w:rsid w:val="000478C3"/>
    <w:pPr>
      <w:spacing w:line="240" w:lineRule="auto"/>
    </w:pPr>
    <w:rPr>
      <w:sz w:val="20"/>
      <w:szCs w:val="20"/>
    </w:rPr>
  </w:style>
  <w:style w:type="character" w:customStyle="1" w:styleId="CommentTextChar">
    <w:name w:val="Comment Text Char"/>
    <w:basedOn w:val="DefaultParagraphFont"/>
    <w:link w:val="CommentText"/>
    <w:uiPriority w:val="99"/>
    <w:semiHidden/>
    <w:rsid w:val="000478C3"/>
    <w:rPr>
      <w:sz w:val="20"/>
      <w:szCs w:val="20"/>
    </w:rPr>
  </w:style>
  <w:style w:type="paragraph" w:styleId="CommentSubject">
    <w:name w:val="annotation subject"/>
    <w:basedOn w:val="CommentText"/>
    <w:next w:val="CommentText"/>
    <w:link w:val="CommentSubjectChar"/>
    <w:uiPriority w:val="99"/>
    <w:semiHidden/>
    <w:unhideWhenUsed/>
    <w:rsid w:val="000478C3"/>
    <w:rPr>
      <w:b/>
      <w:bCs/>
    </w:rPr>
  </w:style>
  <w:style w:type="character" w:customStyle="1" w:styleId="CommentSubjectChar">
    <w:name w:val="Comment Subject Char"/>
    <w:basedOn w:val="CommentTextChar"/>
    <w:link w:val="CommentSubject"/>
    <w:uiPriority w:val="99"/>
    <w:semiHidden/>
    <w:rsid w:val="000478C3"/>
    <w:rPr>
      <w:b/>
      <w:bCs/>
      <w:sz w:val="20"/>
      <w:szCs w:val="20"/>
    </w:rPr>
  </w:style>
  <w:style w:type="paragraph" w:styleId="BalloonText">
    <w:name w:val="Balloon Text"/>
    <w:basedOn w:val="Normal"/>
    <w:link w:val="BalloonTextChar"/>
    <w:uiPriority w:val="99"/>
    <w:semiHidden/>
    <w:unhideWhenUsed/>
    <w:rsid w:val="000478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78C3"/>
    <w:rPr>
      <w:rFonts w:ascii="Tahoma" w:hAnsi="Tahoma" w:cs="Tahoma"/>
      <w:sz w:val="16"/>
      <w:szCs w:val="16"/>
    </w:rPr>
  </w:style>
  <w:style w:type="paragraph" w:styleId="FootnoteText">
    <w:name w:val="footnote text"/>
    <w:aliases w:val="FOOTNOTES Char,fn Char,single space Char,ALTS FOOTNOTE Char,footnote text Char,Footnote Text Char2 Char Char,Footnote Text Char1 Char Char Char,Footnote Text Char2 Char Char Char Char,Footnote Text Char1 Char"/>
    <w:basedOn w:val="Normal"/>
    <w:link w:val="FootnoteTextChar"/>
    <w:uiPriority w:val="99"/>
    <w:unhideWhenUsed/>
    <w:rsid w:val="00A34775"/>
    <w:pPr>
      <w:spacing w:line="240" w:lineRule="auto"/>
    </w:pPr>
    <w:rPr>
      <w:rFonts w:eastAsiaTheme="minorEastAsia"/>
      <w:sz w:val="20"/>
      <w:szCs w:val="20"/>
      <w:lang w:bidi="en-US"/>
    </w:rPr>
  </w:style>
  <w:style w:type="character" w:customStyle="1" w:styleId="FootnoteTextChar">
    <w:name w:val="Footnote Text Char"/>
    <w:aliases w:val="FOOTNOTES Char Char,fn Char Char,single space Char Char,ALTS FOOTNOTE Char Char,footnote text Char Char,Footnote Text Char2 Char Char Char,Footnote Text Char1 Char Char Char Char,Footnote Text Char2 Char Char Char Char Char"/>
    <w:basedOn w:val="DefaultParagraphFont"/>
    <w:link w:val="FootnoteText"/>
    <w:uiPriority w:val="99"/>
    <w:rsid w:val="00A34775"/>
    <w:rPr>
      <w:rFonts w:eastAsiaTheme="minorEastAsia"/>
      <w:sz w:val="20"/>
      <w:szCs w:val="20"/>
      <w:lang w:bidi="en-US"/>
    </w:rPr>
  </w:style>
  <w:style w:type="character" w:styleId="FootnoteReference">
    <w:name w:val="footnote reference"/>
    <w:basedOn w:val="DefaultParagraphFont"/>
    <w:uiPriority w:val="99"/>
    <w:unhideWhenUsed/>
    <w:rsid w:val="00A34775"/>
    <w:rPr>
      <w:vertAlign w:val="superscript"/>
    </w:rPr>
  </w:style>
  <w:style w:type="paragraph" w:styleId="Caption">
    <w:name w:val="caption"/>
    <w:basedOn w:val="Normal"/>
    <w:next w:val="Normal"/>
    <w:uiPriority w:val="35"/>
    <w:unhideWhenUsed/>
    <w:qFormat/>
    <w:rsid w:val="0095453D"/>
    <w:pPr>
      <w:spacing w:after="40" w:line="240" w:lineRule="auto"/>
    </w:pPr>
    <w:rPr>
      <w:rFonts w:eastAsiaTheme="minorEastAsia"/>
      <w:b/>
      <w:bCs/>
      <w:sz w:val="22"/>
      <w:szCs w:val="18"/>
      <w:lang w:bidi="en-US"/>
    </w:rPr>
  </w:style>
  <w:style w:type="table" w:styleId="TableGrid">
    <w:name w:val="Table Grid"/>
    <w:basedOn w:val="TableNormal"/>
    <w:uiPriority w:val="59"/>
    <w:rsid w:val="00A34775"/>
    <w:pPr>
      <w:spacing w:after="0" w:line="240" w:lineRule="auto"/>
      <w:jc w:val="both"/>
    </w:pPr>
    <w:rPr>
      <w:rFonts w:eastAsiaTheme="minorEastAsia"/>
      <w:sz w:val="20"/>
      <w:szCs w:val="20"/>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ubtitles">
    <w:name w:val="Table Subtitles"/>
    <w:rsid w:val="0064404D"/>
    <w:pPr>
      <w:keepNext/>
      <w:keepLines/>
      <w:spacing w:before="80" w:after="40" w:line="240" w:lineRule="auto"/>
      <w:jc w:val="center"/>
    </w:pPr>
    <w:rPr>
      <w:rFonts w:ascii="Gill Sans MT" w:eastAsia="Times New Roman" w:hAnsi="Gill Sans MT" w:cs="Times New Roman"/>
      <w:b/>
      <w:noProof/>
      <w:sz w:val="18"/>
      <w:szCs w:val="20"/>
    </w:rPr>
  </w:style>
  <w:style w:type="paragraph" w:customStyle="1" w:styleId="TableBody">
    <w:name w:val="Table Body"/>
    <w:rsid w:val="0064404D"/>
    <w:pPr>
      <w:spacing w:after="0" w:line="240" w:lineRule="auto"/>
    </w:pPr>
    <w:rPr>
      <w:rFonts w:ascii="Gill Sans" w:eastAsia="Times New Roman" w:hAnsi="Gill Sans" w:cs="Times New Roman"/>
      <w:noProof/>
      <w:sz w:val="18"/>
      <w:szCs w:val="20"/>
    </w:rPr>
  </w:style>
  <w:style w:type="paragraph" w:customStyle="1" w:styleId="TableNumbers">
    <w:name w:val="Table Numbers"/>
    <w:basedOn w:val="TableBody"/>
    <w:rsid w:val="0064404D"/>
    <w:pPr>
      <w:ind w:right="144"/>
      <w:jc w:val="right"/>
    </w:pPr>
    <w:rPr>
      <w:color w:val="333333"/>
    </w:rPr>
  </w:style>
  <w:style w:type="table" w:customStyle="1" w:styleId="LightShading1">
    <w:name w:val="Light Shading1"/>
    <w:basedOn w:val="TableNormal"/>
    <w:uiPriority w:val="60"/>
    <w:rsid w:val="0064404D"/>
    <w:pPr>
      <w:spacing w:after="0" w:line="240" w:lineRule="auto"/>
      <w:jc w:val="both"/>
    </w:pPr>
    <w:rPr>
      <w:rFonts w:eastAsiaTheme="minorEastAsia"/>
      <w:color w:val="000000" w:themeColor="text1" w:themeShade="BF"/>
      <w:sz w:val="20"/>
      <w:szCs w:val="20"/>
      <w:lang w:bidi="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uiPriority w:val="9"/>
    <w:rsid w:val="002C3E91"/>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BD52C4"/>
    <w:rPr>
      <w:rFonts w:asciiTheme="majorHAnsi" w:eastAsiaTheme="majorEastAsia" w:hAnsiTheme="majorHAnsi" w:cstheme="majorBidi"/>
      <w:color w:val="365F91" w:themeColor="accent1" w:themeShade="BF"/>
      <w:sz w:val="28"/>
      <w:szCs w:val="26"/>
    </w:rPr>
  </w:style>
  <w:style w:type="table" w:customStyle="1" w:styleId="TableGrid1">
    <w:name w:val="Table Grid1"/>
    <w:basedOn w:val="TableNormal"/>
    <w:next w:val="TableGrid"/>
    <w:uiPriority w:val="59"/>
    <w:rsid w:val="00633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33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33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611A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11A58"/>
    <w:pPr>
      <w:tabs>
        <w:tab w:val="center" w:pos="4680"/>
        <w:tab w:val="right" w:pos="9360"/>
      </w:tabs>
      <w:spacing w:line="240" w:lineRule="auto"/>
    </w:pPr>
  </w:style>
  <w:style w:type="character" w:customStyle="1" w:styleId="HeaderChar">
    <w:name w:val="Header Char"/>
    <w:basedOn w:val="DefaultParagraphFont"/>
    <w:link w:val="Header"/>
    <w:uiPriority w:val="99"/>
    <w:rsid w:val="00611A58"/>
  </w:style>
  <w:style w:type="paragraph" w:styleId="Footer">
    <w:name w:val="footer"/>
    <w:basedOn w:val="Normal"/>
    <w:link w:val="FooterChar"/>
    <w:uiPriority w:val="99"/>
    <w:unhideWhenUsed/>
    <w:rsid w:val="00611A58"/>
    <w:pPr>
      <w:tabs>
        <w:tab w:val="center" w:pos="4680"/>
        <w:tab w:val="right" w:pos="9360"/>
      </w:tabs>
      <w:spacing w:line="240" w:lineRule="auto"/>
    </w:pPr>
  </w:style>
  <w:style w:type="character" w:customStyle="1" w:styleId="FooterChar">
    <w:name w:val="Footer Char"/>
    <w:basedOn w:val="DefaultParagraphFont"/>
    <w:link w:val="Footer"/>
    <w:uiPriority w:val="99"/>
    <w:rsid w:val="00611A58"/>
  </w:style>
  <w:style w:type="paragraph" w:styleId="Title">
    <w:name w:val="Title"/>
    <w:basedOn w:val="Normal"/>
    <w:next w:val="Normal"/>
    <w:link w:val="TitleChar"/>
    <w:uiPriority w:val="10"/>
    <w:qFormat/>
    <w:rsid w:val="00BD52C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32"/>
      <w:szCs w:val="52"/>
    </w:rPr>
  </w:style>
  <w:style w:type="character" w:customStyle="1" w:styleId="TitleChar">
    <w:name w:val="Title Char"/>
    <w:basedOn w:val="DefaultParagraphFont"/>
    <w:link w:val="Title"/>
    <w:uiPriority w:val="10"/>
    <w:rsid w:val="00BD52C4"/>
    <w:rPr>
      <w:rFonts w:asciiTheme="majorHAnsi" w:eastAsiaTheme="majorEastAsia" w:hAnsiTheme="majorHAnsi" w:cstheme="majorBidi"/>
      <w:color w:val="17365D" w:themeColor="text2" w:themeShade="BF"/>
      <w:spacing w:val="5"/>
      <w:kern w:val="28"/>
      <w:sz w:val="32"/>
      <w:szCs w:val="52"/>
    </w:rPr>
  </w:style>
  <w:style w:type="character" w:customStyle="1" w:styleId="Heading3Char">
    <w:name w:val="Heading 3 Char"/>
    <w:basedOn w:val="DefaultParagraphFont"/>
    <w:link w:val="Heading3"/>
    <w:uiPriority w:val="9"/>
    <w:rsid w:val="001F6179"/>
    <w:rPr>
      <w:rFonts w:asciiTheme="majorHAnsi" w:eastAsiaTheme="majorEastAsia" w:hAnsiTheme="majorHAnsi" w:cstheme="majorBidi"/>
      <w:b/>
      <w:bCs/>
      <w:color w:val="4F81BD" w:themeColor="accent1"/>
      <w:sz w:val="24"/>
    </w:rPr>
  </w:style>
  <w:style w:type="character" w:customStyle="1" w:styleId="Heading4Char">
    <w:name w:val="Heading 4 Char"/>
    <w:basedOn w:val="DefaultParagraphFont"/>
    <w:link w:val="Heading4"/>
    <w:uiPriority w:val="9"/>
    <w:rsid w:val="001F6179"/>
    <w:rPr>
      <w:rFonts w:asciiTheme="majorHAnsi" w:eastAsiaTheme="majorEastAsia" w:hAnsiTheme="majorHAnsi" w:cstheme="majorBidi"/>
      <w:b/>
      <w:bCs/>
      <w:i/>
      <w:iCs/>
      <w:color w:val="4F81BD" w:themeColor="accent1"/>
      <w:sz w:val="24"/>
    </w:rPr>
  </w:style>
  <w:style w:type="paragraph" w:styleId="TOCHeading">
    <w:name w:val="TOC Heading"/>
    <w:basedOn w:val="Heading1"/>
    <w:next w:val="Normal"/>
    <w:uiPriority w:val="39"/>
    <w:semiHidden/>
    <w:unhideWhenUsed/>
    <w:qFormat/>
    <w:rsid w:val="00F45012"/>
    <w:pPr>
      <w:spacing w:before="480" w:after="0"/>
      <w:jc w:val="left"/>
      <w:outlineLvl w:val="9"/>
    </w:pPr>
    <w:rPr>
      <w:b/>
      <w:bCs/>
      <w:sz w:val="28"/>
      <w:szCs w:val="28"/>
      <w:lang w:eastAsia="ja-JP"/>
    </w:rPr>
  </w:style>
  <w:style w:type="paragraph" w:styleId="TOC1">
    <w:name w:val="toc 1"/>
    <w:basedOn w:val="Normal"/>
    <w:next w:val="Normal"/>
    <w:autoRedefine/>
    <w:uiPriority w:val="39"/>
    <w:unhideWhenUsed/>
    <w:rsid w:val="00F45012"/>
    <w:pPr>
      <w:spacing w:after="100"/>
    </w:pPr>
  </w:style>
  <w:style w:type="paragraph" w:styleId="TOC2">
    <w:name w:val="toc 2"/>
    <w:basedOn w:val="Normal"/>
    <w:next w:val="Normal"/>
    <w:autoRedefine/>
    <w:uiPriority w:val="39"/>
    <w:unhideWhenUsed/>
    <w:rsid w:val="00F45012"/>
    <w:pPr>
      <w:spacing w:after="100"/>
      <w:ind w:left="240"/>
    </w:pPr>
  </w:style>
  <w:style w:type="paragraph" w:styleId="TOC3">
    <w:name w:val="toc 3"/>
    <w:basedOn w:val="Normal"/>
    <w:next w:val="Normal"/>
    <w:autoRedefine/>
    <w:uiPriority w:val="39"/>
    <w:unhideWhenUsed/>
    <w:rsid w:val="002C5155"/>
    <w:pPr>
      <w:tabs>
        <w:tab w:val="left" w:pos="1320"/>
        <w:tab w:val="right" w:leader="dot" w:pos="9350"/>
      </w:tabs>
      <w:spacing w:after="100"/>
      <w:ind w:left="480"/>
      <w:jc w:val="left"/>
    </w:pPr>
  </w:style>
  <w:style w:type="character" w:styleId="Hyperlink">
    <w:name w:val="Hyperlink"/>
    <w:basedOn w:val="DefaultParagraphFont"/>
    <w:uiPriority w:val="99"/>
    <w:unhideWhenUsed/>
    <w:rsid w:val="00F45012"/>
    <w:rPr>
      <w:color w:val="0000FF" w:themeColor="hyperlink"/>
      <w:u w:val="single"/>
    </w:rPr>
  </w:style>
  <w:style w:type="character" w:customStyle="1" w:styleId="Heading5Char">
    <w:name w:val="Heading 5 Char"/>
    <w:basedOn w:val="DefaultParagraphFont"/>
    <w:link w:val="Heading5"/>
    <w:uiPriority w:val="9"/>
    <w:semiHidden/>
    <w:rsid w:val="002C3E91"/>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semiHidden/>
    <w:rsid w:val="002C3E91"/>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semiHidden/>
    <w:rsid w:val="002C3E91"/>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2C3E9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C3E91"/>
    <w:rPr>
      <w:rFonts w:asciiTheme="majorHAnsi" w:eastAsiaTheme="majorEastAsia" w:hAnsiTheme="majorHAnsi" w:cstheme="majorBidi"/>
      <w:i/>
      <w:iCs/>
      <w:color w:val="404040" w:themeColor="text1" w:themeTint="BF"/>
      <w:sz w:val="20"/>
      <w:szCs w:val="20"/>
    </w:rPr>
  </w:style>
  <w:style w:type="table" w:customStyle="1" w:styleId="TableGrid5">
    <w:name w:val="Table Grid5"/>
    <w:basedOn w:val="TableNormal"/>
    <w:next w:val="TableGrid"/>
    <w:uiPriority w:val="59"/>
    <w:rsid w:val="006111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E7D71"/>
    <w:pPr>
      <w:spacing w:before="100" w:beforeAutospacing="1" w:after="100" w:afterAutospacing="1" w:line="240" w:lineRule="auto"/>
      <w:jc w:val="left"/>
    </w:pPr>
    <w:rPr>
      <w:rFonts w:ascii="Times New Roman" w:eastAsia="Times New Roman" w:hAnsi="Times New Roman" w:cs="Times New Roman"/>
      <w:szCs w:val="24"/>
      <w:lang w:val="sw-KE" w:eastAsia="sw-KE"/>
    </w:rPr>
  </w:style>
  <w:style w:type="table" w:styleId="LightGrid-Accent2">
    <w:name w:val="Light Grid Accent 2"/>
    <w:basedOn w:val="TableNormal"/>
    <w:uiPriority w:val="62"/>
    <w:rsid w:val="00C03055"/>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apple-converted-space">
    <w:name w:val="apple-converted-space"/>
    <w:basedOn w:val="DefaultParagraphFont"/>
    <w:rsid w:val="00FE1282"/>
  </w:style>
  <w:style w:type="paragraph" w:styleId="Revision">
    <w:name w:val="Revision"/>
    <w:hidden/>
    <w:uiPriority w:val="99"/>
    <w:semiHidden/>
    <w:rsid w:val="00A91B4E"/>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736631">
      <w:bodyDiv w:val="1"/>
      <w:marLeft w:val="0"/>
      <w:marRight w:val="0"/>
      <w:marTop w:val="0"/>
      <w:marBottom w:val="0"/>
      <w:divBdr>
        <w:top w:val="none" w:sz="0" w:space="0" w:color="auto"/>
        <w:left w:val="none" w:sz="0" w:space="0" w:color="auto"/>
        <w:bottom w:val="none" w:sz="0" w:space="0" w:color="auto"/>
        <w:right w:val="none" w:sz="0" w:space="0" w:color="auto"/>
      </w:divBdr>
    </w:div>
    <w:div w:id="206336732">
      <w:bodyDiv w:val="1"/>
      <w:marLeft w:val="0"/>
      <w:marRight w:val="0"/>
      <w:marTop w:val="0"/>
      <w:marBottom w:val="0"/>
      <w:divBdr>
        <w:top w:val="none" w:sz="0" w:space="0" w:color="auto"/>
        <w:left w:val="none" w:sz="0" w:space="0" w:color="auto"/>
        <w:bottom w:val="none" w:sz="0" w:space="0" w:color="auto"/>
        <w:right w:val="none" w:sz="0" w:space="0" w:color="auto"/>
      </w:divBdr>
    </w:div>
    <w:div w:id="261650292">
      <w:bodyDiv w:val="1"/>
      <w:marLeft w:val="0"/>
      <w:marRight w:val="0"/>
      <w:marTop w:val="0"/>
      <w:marBottom w:val="0"/>
      <w:divBdr>
        <w:top w:val="none" w:sz="0" w:space="0" w:color="auto"/>
        <w:left w:val="none" w:sz="0" w:space="0" w:color="auto"/>
        <w:bottom w:val="none" w:sz="0" w:space="0" w:color="auto"/>
        <w:right w:val="none" w:sz="0" w:space="0" w:color="auto"/>
      </w:divBdr>
    </w:div>
    <w:div w:id="478809756">
      <w:bodyDiv w:val="1"/>
      <w:marLeft w:val="0"/>
      <w:marRight w:val="0"/>
      <w:marTop w:val="0"/>
      <w:marBottom w:val="0"/>
      <w:divBdr>
        <w:top w:val="none" w:sz="0" w:space="0" w:color="auto"/>
        <w:left w:val="none" w:sz="0" w:space="0" w:color="auto"/>
        <w:bottom w:val="none" w:sz="0" w:space="0" w:color="auto"/>
        <w:right w:val="none" w:sz="0" w:space="0" w:color="auto"/>
      </w:divBdr>
    </w:div>
    <w:div w:id="498468511">
      <w:bodyDiv w:val="1"/>
      <w:marLeft w:val="0"/>
      <w:marRight w:val="0"/>
      <w:marTop w:val="0"/>
      <w:marBottom w:val="0"/>
      <w:divBdr>
        <w:top w:val="none" w:sz="0" w:space="0" w:color="auto"/>
        <w:left w:val="none" w:sz="0" w:space="0" w:color="auto"/>
        <w:bottom w:val="none" w:sz="0" w:space="0" w:color="auto"/>
        <w:right w:val="none" w:sz="0" w:space="0" w:color="auto"/>
      </w:divBdr>
    </w:div>
    <w:div w:id="714618015">
      <w:bodyDiv w:val="1"/>
      <w:marLeft w:val="0"/>
      <w:marRight w:val="0"/>
      <w:marTop w:val="0"/>
      <w:marBottom w:val="0"/>
      <w:divBdr>
        <w:top w:val="none" w:sz="0" w:space="0" w:color="auto"/>
        <w:left w:val="none" w:sz="0" w:space="0" w:color="auto"/>
        <w:bottom w:val="none" w:sz="0" w:space="0" w:color="auto"/>
        <w:right w:val="none" w:sz="0" w:space="0" w:color="auto"/>
      </w:divBdr>
    </w:div>
    <w:div w:id="945967798">
      <w:bodyDiv w:val="1"/>
      <w:marLeft w:val="0"/>
      <w:marRight w:val="0"/>
      <w:marTop w:val="0"/>
      <w:marBottom w:val="0"/>
      <w:divBdr>
        <w:top w:val="none" w:sz="0" w:space="0" w:color="auto"/>
        <w:left w:val="none" w:sz="0" w:space="0" w:color="auto"/>
        <w:bottom w:val="none" w:sz="0" w:space="0" w:color="auto"/>
        <w:right w:val="none" w:sz="0" w:space="0" w:color="auto"/>
      </w:divBdr>
    </w:div>
    <w:div w:id="974290723">
      <w:bodyDiv w:val="1"/>
      <w:marLeft w:val="0"/>
      <w:marRight w:val="0"/>
      <w:marTop w:val="0"/>
      <w:marBottom w:val="0"/>
      <w:divBdr>
        <w:top w:val="none" w:sz="0" w:space="0" w:color="auto"/>
        <w:left w:val="none" w:sz="0" w:space="0" w:color="auto"/>
        <w:bottom w:val="none" w:sz="0" w:space="0" w:color="auto"/>
        <w:right w:val="none" w:sz="0" w:space="0" w:color="auto"/>
      </w:divBdr>
    </w:div>
    <w:div w:id="1048535458">
      <w:bodyDiv w:val="1"/>
      <w:marLeft w:val="0"/>
      <w:marRight w:val="0"/>
      <w:marTop w:val="0"/>
      <w:marBottom w:val="0"/>
      <w:divBdr>
        <w:top w:val="none" w:sz="0" w:space="0" w:color="auto"/>
        <w:left w:val="none" w:sz="0" w:space="0" w:color="auto"/>
        <w:bottom w:val="none" w:sz="0" w:space="0" w:color="auto"/>
        <w:right w:val="none" w:sz="0" w:space="0" w:color="auto"/>
      </w:divBdr>
    </w:div>
    <w:div w:id="1441294707">
      <w:bodyDiv w:val="1"/>
      <w:marLeft w:val="0"/>
      <w:marRight w:val="0"/>
      <w:marTop w:val="0"/>
      <w:marBottom w:val="0"/>
      <w:divBdr>
        <w:top w:val="none" w:sz="0" w:space="0" w:color="auto"/>
        <w:left w:val="none" w:sz="0" w:space="0" w:color="auto"/>
        <w:bottom w:val="none" w:sz="0" w:space="0" w:color="auto"/>
        <w:right w:val="none" w:sz="0" w:space="0" w:color="auto"/>
      </w:divBdr>
    </w:div>
    <w:div w:id="1514028526">
      <w:bodyDiv w:val="1"/>
      <w:marLeft w:val="0"/>
      <w:marRight w:val="0"/>
      <w:marTop w:val="0"/>
      <w:marBottom w:val="0"/>
      <w:divBdr>
        <w:top w:val="none" w:sz="0" w:space="0" w:color="auto"/>
        <w:left w:val="none" w:sz="0" w:space="0" w:color="auto"/>
        <w:bottom w:val="none" w:sz="0" w:space="0" w:color="auto"/>
        <w:right w:val="none" w:sz="0" w:space="0" w:color="auto"/>
      </w:divBdr>
    </w:div>
    <w:div w:id="1599555488">
      <w:bodyDiv w:val="1"/>
      <w:marLeft w:val="0"/>
      <w:marRight w:val="0"/>
      <w:marTop w:val="0"/>
      <w:marBottom w:val="0"/>
      <w:divBdr>
        <w:top w:val="none" w:sz="0" w:space="0" w:color="auto"/>
        <w:left w:val="none" w:sz="0" w:space="0" w:color="auto"/>
        <w:bottom w:val="none" w:sz="0" w:space="0" w:color="auto"/>
        <w:right w:val="none" w:sz="0" w:space="0" w:color="auto"/>
      </w:divBdr>
    </w:div>
    <w:div w:id="1785491852">
      <w:bodyDiv w:val="1"/>
      <w:marLeft w:val="0"/>
      <w:marRight w:val="0"/>
      <w:marTop w:val="0"/>
      <w:marBottom w:val="0"/>
      <w:divBdr>
        <w:top w:val="none" w:sz="0" w:space="0" w:color="auto"/>
        <w:left w:val="none" w:sz="0" w:space="0" w:color="auto"/>
        <w:bottom w:val="none" w:sz="0" w:space="0" w:color="auto"/>
        <w:right w:val="none" w:sz="0" w:space="0" w:color="auto"/>
      </w:divBdr>
    </w:div>
    <w:div w:id="1908346406">
      <w:bodyDiv w:val="1"/>
      <w:marLeft w:val="0"/>
      <w:marRight w:val="0"/>
      <w:marTop w:val="0"/>
      <w:marBottom w:val="0"/>
      <w:divBdr>
        <w:top w:val="none" w:sz="0" w:space="0" w:color="auto"/>
        <w:left w:val="none" w:sz="0" w:space="0" w:color="auto"/>
        <w:bottom w:val="none" w:sz="0" w:space="0" w:color="auto"/>
        <w:right w:val="none" w:sz="0" w:space="0" w:color="auto"/>
      </w:divBdr>
      <w:divsChild>
        <w:div w:id="1940091883">
          <w:marLeft w:val="446"/>
          <w:marRight w:val="0"/>
          <w:marTop w:val="0"/>
          <w:marBottom w:val="0"/>
          <w:divBdr>
            <w:top w:val="none" w:sz="0" w:space="0" w:color="auto"/>
            <w:left w:val="none" w:sz="0" w:space="0" w:color="auto"/>
            <w:bottom w:val="none" w:sz="0" w:space="0" w:color="auto"/>
            <w:right w:val="none" w:sz="0" w:space="0" w:color="auto"/>
          </w:divBdr>
        </w:div>
        <w:div w:id="41755174">
          <w:marLeft w:val="446"/>
          <w:marRight w:val="0"/>
          <w:marTop w:val="0"/>
          <w:marBottom w:val="0"/>
          <w:divBdr>
            <w:top w:val="none" w:sz="0" w:space="0" w:color="auto"/>
            <w:left w:val="none" w:sz="0" w:space="0" w:color="auto"/>
            <w:bottom w:val="none" w:sz="0" w:space="0" w:color="auto"/>
            <w:right w:val="none" w:sz="0" w:space="0" w:color="auto"/>
          </w:divBdr>
        </w:div>
        <w:div w:id="1441097923">
          <w:marLeft w:val="446"/>
          <w:marRight w:val="0"/>
          <w:marTop w:val="0"/>
          <w:marBottom w:val="0"/>
          <w:divBdr>
            <w:top w:val="none" w:sz="0" w:space="0" w:color="auto"/>
            <w:left w:val="none" w:sz="0" w:space="0" w:color="auto"/>
            <w:bottom w:val="none" w:sz="0" w:space="0" w:color="auto"/>
            <w:right w:val="none" w:sz="0" w:space="0" w:color="auto"/>
          </w:divBdr>
        </w:div>
        <w:div w:id="560753879">
          <w:marLeft w:val="446"/>
          <w:marRight w:val="0"/>
          <w:marTop w:val="0"/>
          <w:marBottom w:val="0"/>
          <w:divBdr>
            <w:top w:val="none" w:sz="0" w:space="0" w:color="auto"/>
            <w:left w:val="none" w:sz="0" w:space="0" w:color="auto"/>
            <w:bottom w:val="none" w:sz="0" w:space="0" w:color="auto"/>
            <w:right w:val="none" w:sz="0" w:space="0" w:color="auto"/>
          </w:divBdr>
        </w:div>
        <w:div w:id="7299884">
          <w:marLeft w:val="446"/>
          <w:marRight w:val="0"/>
          <w:marTop w:val="0"/>
          <w:marBottom w:val="0"/>
          <w:divBdr>
            <w:top w:val="none" w:sz="0" w:space="0" w:color="auto"/>
            <w:left w:val="none" w:sz="0" w:space="0" w:color="auto"/>
            <w:bottom w:val="none" w:sz="0" w:space="0" w:color="auto"/>
            <w:right w:val="none" w:sz="0" w:space="0" w:color="auto"/>
          </w:divBdr>
        </w:div>
        <w:div w:id="1752695473">
          <w:marLeft w:val="446"/>
          <w:marRight w:val="0"/>
          <w:marTop w:val="0"/>
          <w:marBottom w:val="0"/>
          <w:divBdr>
            <w:top w:val="none" w:sz="0" w:space="0" w:color="auto"/>
            <w:left w:val="none" w:sz="0" w:space="0" w:color="auto"/>
            <w:bottom w:val="none" w:sz="0" w:space="0" w:color="auto"/>
            <w:right w:val="none" w:sz="0" w:space="0" w:color="auto"/>
          </w:divBdr>
        </w:div>
        <w:div w:id="391583310">
          <w:marLeft w:val="446"/>
          <w:marRight w:val="0"/>
          <w:marTop w:val="0"/>
          <w:marBottom w:val="0"/>
          <w:divBdr>
            <w:top w:val="none" w:sz="0" w:space="0" w:color="auto"/>
            <w:left w:val="none" w:sz="0" w:space="0" w:color="auto"/>
            <w:bottom w:val="none" w:sz="0" w:space="0" w:color="auto"/>
            <w:right w:val="none" w:sz="0" w:space="0" w:color="auto"/>
          </w:divBdr>
        </w:div>
        <w:div w:id="1068268395">
          <w:marLeft w:val="446"/>
          <w:marRight w:val="0"/>
          <w:marTop w:val="0"/>
          <w:marBottom w:val="0"/>
          <w:divBdr>
            <w:top w:val="none" w:sz="0" w:space="0" w:color="auto"/>
            <w:left w:val="none" w:sz="0" w:space="0" w:color="auto"/>
            <w:bottom w:val="none" w:sz="0" w:space="0" w:color="auto"/>
            <w:right w:val="none" w:sz="0" w:space="0" w:color="auto"/>
          </w:divBdr>
        </w:div>
      </w:divsChild>
    </w:div>
    <w:div w:id="1925071458">
      <w:bodyDiv w:val="1"/>
      <w:marLeft w:val="0"/>
      <w:marRight w:val="0"/>
      <w:marTop w:val="0"/>
      <w:marBottom w:val="0"/>
      <w:divBdr>
        <w:top w:val="none" w:sz="0" w:space="0" w:color="auto"/>
        <w:left w:val="none" w:sz="0" w:space="0" w:color="auto"/>
        <w:bottom w:val="none" w:sz="0" w:space="0" w:color="auto"/>
        <w:right w:val="none" w:sz="0" w:space="0" w:color="auto"/>
      </w:divBdr>
    </w:div>
    <w:div w:id="2015108772">
      <w:bodyDiv w:val="1"/>
      <w:marLeft w:val="0"/>
      <w:marRight w:val="0"/>
      <w:marTop w:val="0"/>
      <w:marBottom w:val="0"/>
      <w:divBdr>
        <w:top w:val="none" w:sz="0" w:space="0" w:color="auto"/>
        <w:left w:val="none" w:sz="0" w:space="0" w:color="auto"/>
        <w:bottom w:val="none" w:sz="0" w:space="0" w:color="auto"/>
        <w:right w:val="none" w:sz="0" w:space="0" w:color="auto"/>
      </w:divBdr>
    </w:div>
    <w:div w:id="2048019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4.png"/><Relationship Id="rId26"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diagramQuickStyle" Target="diagrams/quickStyl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diagramLayout" Target="diagrams/layout1.xml"/><Relationship Id="rId29"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header" Target="header2.xml"/><Relationship Id="rId23" Type="http://schemas.microsoft.com/office/2007/relationships/diagramDrawing" Target="diagrams/drawing1.xml"/><Relationship Id="rId28" Type="http://schemas.openxmlformats.org/officeDocument/2006/relationships/chart" Target="charts/chart6.xml"/><Relationship Id="rId10" Type="http://schemas.openxmlformats.org/officeDocument/2006/relationships/chart" Target="charts/chart1.xml"/><Relationship Id="rId19" Type="http://schemas.openxmlformats.org/officeDocument/2006/relationships/diagramData" Target="diagrams/data1.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ata.worldbank.org/country/tanzania" TargetMode="External"/><Relationship Id="rId14" Type="http://schemas.openxmlformats.org/officeDocument/2006/relationships/header" Target="header1.xml"/><Relationship Id="rId22" Type="http://schemas.openxmlformats.org/officeDocument/2006/relationships/diagramColors" Target="diagrams/colors1.xml"/><Relationship Id="rId27" Type="http://schemas.openxmlformats.org/officeDocument/2006/relationships/chart" Target="charts/chart5.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2" Type="http://schemas.openxmlformats.org/officeDocument/2006/relationships/oleObject" Target="file:///C:\My%20Documents\HPP\HPP%20Tanzania\TA%20for%20Health%20Financing%20Strategy%20Tanzania\Health%20Financing%20Strategy%20_Model\Model%20Scenario%20versions\SNHI%20Tanzania%20-%20New%20Scenario%201%20&amp;%202%20FormalSec%20Poor%20MBP.xlsx" TargetMode="External"/><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1" Type="http://schemas.openxmlformats.org/officeDocument/2006/relationships/oleObject" Target="file:///C:\My%20Documents\HPP\HPP%20Tanzania\TA%20for%20Health%20Financing%20Strategy%20Tanzania\Health%20Financing%20Strategy%20_Model\Scenario%20comparison.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My%20Documents\HPP\HPP%20Tanzania\TA%20for%20Health%20Financing%20Strategy%20Tanzania\Health%20Financing%20Strategy%20_Model\Scenario%20comparison.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My%20Documents\HPP\HPP%20Tanzania\TA%20for%20Health%20Financing%20Strategy%20Tanzania\Health%20Financing%20Strategy%20_Model\Scenario%20compariso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as % GOT budget</a:t>
            </a:r>
          </a:p>
        </c:rich>
      </c:tx>
      <c:overlay val="0"/>
    </c:title>
    <c:autoTitleDeleted val="0"/>
    <c:plotArea>
      <c:layout/>
      <c:lineChart>
        <c:grouping val="standard"/>
        <c:varyColors val="0"/>
        <c:ser>
          <c:idx val="0"/>
          <c:order val="0"/>
          <c:tx>
            <c:strRef>
              <c:f>Analyses!$B$16</c:f>
              <c:strCache>
                <c:ptCount val="1"/>
                <c:pt idx="0">
                  <c:v>excl CFS</c:v>
                </c:pt>
              </c:strCache>
            </c:strRef>
          </c:tx>
          <c:spPr>
            <a:ln w="44451"/>
          </c:spPr>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Analyses!$A$17:$A$21</c:f>
              <c:strCache>
                <c:ptCount val="5"/>
                <c:pt idx="0">
                  <c:v>2010/11</c:v>
                </c:pt>
                <c:pt idx="1">
                  <c:v>2011/12</c:v>
                </c:pt>
                <c:pt idx="2">
                  <c:v>2012/13</c:v>
                </c:pt>
                <c:pt idx="3">
                  <c:v>2013/14</c:v>
                </c:pt>
                <c:pt idx="4">
                  <c:v>2014/15</c:v>
                </c:pt>
              </c:strCache>
            </c:strRef>
          </c:cat>
          <c:val>
            <c:numRef>
              <c:f>Analyses!$B$17:$B$21</c:f>
              <c:numCache>
                <c:formatCode>0.0%</c:formatCode>
                <c:ptCount val="5"/>
                <c:pt idx="0">
                  <c:v>0.12334445455464564</c:v>
                </c:pt>
                <c:pt idx="1">
                  <c:v>0.10408057851239665</c:v>
                </c:pt>
                <c:pt idx="2">
                  <c:v>0.10205737126062506</c:v>
                </c:pt>
                <c:pt idx="3">
                  <c:v>8.8923915775865267E-2</c:v>
                </c:pt>
                <c:pt idx="4">
                  <c:v>7.8727222388590992E-2</c:v>
                </c:pt>
              </c:numCache>
            </c:numRef>
          </c:val>
          <c:smooth val="0"/>
        </c:ser>
        <c:ser>
          <c:idx val="1"/>
          <c:order val="1"/>
          <c:tx>
            <c:strRef>
              <c:f>Analyses!$C$16</c:f>
              <c:strCache>
                <c:ptCount val="1"/>
                <c:pt idx="0">
                  <c:v>incl CFS</c:v>
                </c:pt>
              </c:strCache>
            </c:strRef>
          </c:tx>
          <c:spPr>
            <a:ln w="44451"/>
          </c:spPr>
          <c:dLbls>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Analyses!$A$17:$A$21</c:f>
              <c:strCache>
                <c:ptCount val="5"/>
                <c:pt idx="0">
                  <c:v>2010/11</c:v>
                </c:pt>
                <c:pt idx="1">
                  <c:v>2011/12</c:v>
                </c:pt>
                <c:pt idx="2">
                  <c:v>2012/13</c:v>
                </c:pt>
                <c:pt idx="3">
                  <c:v>2013/14</c:v>
                </c:pt>
                <c:pt idx="4">
                  <c:v>2014/15</c:v>
                </c:pt>
              </c:strCache>
            </c:strRef>
          </c:cat>
          <c:val>
            <c:numRef>
              <c:f>Analyses!$C$17:$C$21</c:f>
              <c:numCache>
                <c:formatCode>0.0%</c:formatCode>
                <c:ptCount val="5"/>
                <c:pt idx="0">
                  <c:v>0.10509087776724974</c:v>
                </c:pt>
                <c:pt idx="1">
                  <c:v>8.9383409729410029E-2</c:v>
                </c:pt>
                <c:pt idx="2">
                  <c:v>9.3916021002587627E-2</c:v>
                </c:pt>
                <c:pt idx="3">
                  <c:v>8.1414016331758973E-2</c:v>
                </c:pt>
                <c:pt idx="4">
                  <c:v>7.0181413982715823E-2</c:v>
                </c:pt>
              </c:numCache>
            </c:numRef>
          </c:val>
          <c:smooth val="0"/>
        </c:ser>
        <c:dLbls>
          <c:showLegendKey val="0"/>
          <c:showVal val="0"/>
          <c:showCatName val="0"/>
          <c:showSerName val="0"/>
          <c:showPercent val="0"/>
          <c:showBubbleSize val="0"/>
        </c:dLbls>
        <c:marker val="1"/>
        <c:smooth val="0"/>
        <c:axId val="307021264"/>
        <c:axId val="307118312"/>
      </c:lineChart>
      <c:catAx>
        <c:axId val="307021264"/>
        <c:scaling>
          <c:orientation val="minMax"/>
        </c:scaling>
        <c:delete val="0"/>
        <c:axPos val="b"/>
        <c:numFmt formatCode="General" sourceLinked="1"/>
        <c:majorTickMark val="out"/>
        <c:minorTickMark val="none"/>
        <c:tickLblPos val="nextTo"/>
        <c:crossAx val="307118312"/>
        <c:crosses val="autoZero"/>
        <c:auto val="1"/>
        <c:lblAlgn val="ctr"/>
        <c:lblOffset val="100"/>
        <c:noMultiLvlLbl val="0"/>
      </c:catAx>
      <c:valAx>
        <c:axId val="307118312"/>
        <c:scaling>
          <c:orientation val="minMax"/>
        </c:scaling>
        <c:delete val="0"/>
        <c:axPos val="l"/>
        <c:majorGridlines/>
        <c:numFmt formatCode="0.0%" sourceLinked="1"/>
        <c:majorTickMark val="out"/>
        <c:minorTickMark val="none"/>
        <c:tickLblPos val="nextTo"/>
        <c:crossAx val="307021264"/>
        <c:crosses val="autoZero"/>
        <c:crossBetween val="between"/>
      </c:valAx>
      <c:spPr>
        <a:noFill/>
        <a:ln w="25400">
          <a:noFill/>
        </a:ln>
      </c:spPr>
    </c:plotArea>
    <c:legend>
      <c:legendPos val="b"/>
      <c:overlay val="0"/>
    </c:legend>
    <c:plotVisOnly val="1"/>
    <c:dispBlanksAs val="gap"/>
    <c:showDLblsOverMax val="0"/>
  </c:chart>
  <c:txPr>
    <a:bodyPr/>
    <a:lstStyle/>
    <a:p>
      <a:pPr>
        <a:defRPr sz="1000" b="0"/>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As % GOT actual</a:t>
            </a:r>
          </a:p>
        </c:rich>
      </c:tx>
      <c:overlay val="0"/>
    </c:title>
    <c:autoTitleDeleted val="0"/>
    <c:plotArea>
      <c:layout/>
      <c:lineChart>
        <c:grouping val="standard"/>
        <c:varyColors val="0"/>
        <c:ser>
          <c:idx val="0"/>
          <c:order val="0"/>
          <c:tx>
            <c:strRef>
              <c:f>Analyses!$F$16</c:f>
              <c:strCache>
                <c:ptCount val="1"/>
                <c:pt idx="0">
                  <c:v>excl CFS</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Analyses!$E$17:$E$20</c:f>
              <c:strCache>
                <c:ptCount val="4"/>
                <c:pt idx="0">
                  <c:v>2010/11</c:v>
                </c:pt>
                <c:pt idx="1">
                  <c:v>2011/12</c:v>
                </c:pt>
                <c:pt idx="2">
                  <c:v>2012/13</c:v>
                </c:pt>
                <c:pt idx="3">
                  <c:v>2013/14</c:v>
                </c:pt>
              </c:strCache>
            </c:strRef>
          </c:cat>
          <c:val>
            <c:numRef>
              <c:f>Analyses!$F$17:$F$20</c:f>
              <c:numCache>
                <c:formatCode>0.0%</c:formatCode>
                <c:ptCount val="4"/>
                <c:pt idx="0">
                  <c:v>0.11910926980838955</c:v>
                </c:pt>
                <c:pt idx="1">
                  <c:v>0.10994873940788789</c:v>
                </c:pt>
                <c:pt idx="2">
                  <c:v>0.10191705288627959</c:v>
                </c:pt>
              </c:numCache>
            </c:numRef>
          </c:val>
          <c:smooth val="0"/>
        </c:ser>
        <c:ser>
          <c:idx val="1"/>
          <c:order val="1"/>
          <c:tx>
            <c:strRef>
              <c:f>Analyses!$G$16</c:f>
              <c:strCache>
                <c:ptCount val="1"/>
                <c:pt idx="0">
                  <c:v>incl CFS</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Analyses!$E$17:$E$20</c:f>
              <c:strCache>
                <c:ptCount val="4"/>
                <c:pt idx="0">
                  <c:v>2010/11</c:v>
                </c:pt>
                <c:pt idx="1">
                  <c:v>2011/12</c:v>
                </c:pt>
                <c:pt idx="2">
                  <c:v>2012/13</c:v>
                </c:pt>
                <c:pt idx="3">
                  <c:v>2013/14</c:v>
                </c:pt>
              </c:strCache>
            </c:strRef>
          </c:cat>
          <c:val>
            <c:numRef>
              <c:f>Analyses!$G$17:$G$20</c:f>
              <c:numCache>
                <c:formatCode>0.0%</c:formatCode>
                <c:ptCount val="4"/>
                <c:pt idx="0">
                  <c:v>9.5287415846711479E-2</c:v>
                </c:pt>
                <c:pt idx="1">
                  <c:v>8.6902596328758033E-2</c:v>
                </c:pt>
                <c:pt idx="2">
                  <c:v>8.647865029923929E-2</c:v>
                </c:pt>
              </c:numCache>
            </c:numRef>
          </c:val>
          <c:smooth val="0"/>
        </c:ser>
        <c:dLbls>
          <c:showLegendKey val="0"/>
          <c:showVal val="0"/>
          <c:showCatName val="0"/>
          <c:showSerName val="0"/>
          <c:showPercent val="0"/>
          <c:showBubbleSize val="0"/>
        </c:dLbls>
        <c:marker val="1"/>
        <c:smooth val="0"/>
        <c:axId val="314088008"/>
        <c:axId val="314088400"/>
      </c:lineChart>
      <c:catAx>
        <c:axId val="314088008"/>
        <c:scaling>
          <c:orientation val="minMax"/>
        </c:scaling>
        <c:delete val="0"/>
        <c:axPos val="b"/>
        <c:numFmt formatCode="General" sourceLinked="1"/>
        <c:majorTickMark val="out"/>
        <c:minorTickMark val="none"/>
        <c:tickLblPos val="nextTo"/>
        <c:crossAx val="314088400"/>
        <c:crosses val="autoZero"/>
        <c:auto val="1"/>
        <c:lblAlgn val="ctr"/>
        <c:lblOffset val="100"/>
        <c:noMultiLvlLbl val="0"/>
      </c:catAx>
      <c:valAx>
        <c:axId val="314088400"/>
        <c:scaling>
          <c:orientation val="minMax"/>
        </c:scaling>
        <c:delete val="0"/>
        <c:axPos val="l"/>
        <c:majorGridlines/>
        <c:numFmt formatCode="0.0%" sourceLinked="1"/>
        <c:majorTickMark val="out"/>
        <c:minorTickMark val="none"/>
        <c:tickLblPos val="nextTo"/>
        <c:crossAx val="314088008"/>
        <c:crosses val="autoZero"/>
        <c:crossBetween val="between"/>
      </c:valAx>
      <c:spPr>
        <a:noFill/>
        <a:ln w="25400">
          <a:noFill/>
        </a:ln>
      </c:spPr>
    </c:plotArea>
    <c:legend>
      <c:legendPos val="b"/>
      <c:overlay val="0"/>
    </c:legend>
    <c:plotVisOnly val="1"/>
    <c:dispBlanksAs val="gap"/>
    <c:showDLblsOverMax val="0"/>
  </c:chart>
  <c:txPr>
    <a:bodyPr/>
    <a:lstStyle/>
    <a:p>
      <a:pPr>
        <a:defRPr sz="1000"/>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SNHI rollout as per HFS implementation plan</a:t>
            </a:r>
          </a:p>
        </c:rich>
      </c:tx>
      <c:overlay val="0"/>
    </c:title>
    <c:autoTitleDeleted val="0"/>
    <c:plotArea>
      <c:layout/>
      <c:barChart>
        <c:barDir val="col"/>
        <c:grouping val="stacked"/>
        <c:varyColors val="0"/>
        <c:ser>
          <c:idx val="1"/>
          <c:order val="0"/>
          <c:tx>
            <c:strRef>
              <c:f>Assum_Gen_OPD!$B$26</c:f>
              <c:strCache>
                <c:ptCount val="1"/>
                <c:pt idx="0">
                  <c:v>Formal sector proportion of population</c:v>
                </c:pt>
              </c:strCache>
            </c:strRef>
          </c:tx>
          <c:invertIfNegative val="0"/>
          <c:dLbls>
            <c:spPr>
              <a:noFill/>
              <a:ln>
                <a:noFill/>
              </a:ln>
              <a:effectLst/>
            </c:spPr>
            <c:txPr>
              <a:bodyPr/>
              <a:lstStyle/>
              <a:p>
                <a:pPr>
                  <a:defRPr b="1">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Results_Tot!$C$5:$G$5</c:f>
              <c:numCache>
                <c:formatCode>General</c:formatCode>
                <c:ptCount val="5"/>
                <c:pt idx="0">
                  <c:v>2016</c:v>
                </c:pt>
                <c:pt idx="1">
                  <c:v>2017</c:v>
                </c:pt>
                <c:pt idx="2">
                  <c:v>2018</c:v>
                </c:pt>
                <c:pt idx="3">
                  <c:v>2019</c:v>
                </c:pt>
                <c:pt idx="4">
                  <c:v>2020</c:v>
                </c:pt>
              </c:numCache>
            </c:numRef>
          </c:cat>
          <c:val>
            <c:numRef>
              <c:f>Assum_Gen_OPD!$D$26:$H$26</c:f>
              <c:numCache>
                <c:formatCode>0%</c:formatCode>
                <c:ptCount val="5"/>
                <c:pt idx="0">
                  <c:v>0.17765105126711409</c:v>
                </c:pt>
                <c:pt idx="1">
                  <c:v>0.17765105126711409</c:v>
                </c:pt>
                <c:pt idx="2">
                  <c:v>0.17765105126711409</c:v>
                </c:pt>
                <c:pt idx="3">
                  <c:v>0.17765105126711409</c:v>
                </c:pt>
                <c:pt idx="4">
                  <c:v>0.17765105126711409</c:v>
                </c:pt>
              </c:numCache>
            </c:numRef>
          </c:val>
        </c:ser>
        <c:ser>
          <c:idx val="0"/>
          <c:order val="1"/>
          <c:tx>
            <c:strRef>
              <c:f>Assum_Gen_OPD!$B$19</c:f>
              <c:strCache>
                <c:ptCount val="1"/>
                <c:pt idx="0">
                  <c:v>Poor population being subsidized for SNHI (%)</c:v>
                </c:pt>
              </c:strCache>
            </c:strRef>
          </c:tx>
          <c:invertIfNegative val="0"/>
          <c:dLbls>
            <c:spPr>
              <a:noFill/>
              <a:ln>
                <a:noFill/>
              </a:ln>
              <a:effectLst/>
            </c:spPr>
            <c:txPr>
              <a:bodyPr/>
              <a:lstStyle/>
              <a:p>
                <a:pPr>
                  <a:defRPr b="1">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Results_Tot!$C$5:$G$5</c:f>
              <c:numCache>
                <c:formatCode>General</c:formatCode>
                <c:ptCount val="5"/>
                <c:pt idx="0">
                  <c:v>2016</c:v>
                </c:pt>
                <c:pt idx="1">
                  <c:v>2017</c:v>
                </c:pt>
                <c:pt idx="2">
                  <c:v>2018</c:v>
                </c:pt>
                <c:pt idx="3">
                  <c:v>2019</c:v>
                </c:pt>
                <c:pt idx="4">
                  <c:v>2020</c:v>
                </c:pt>
              </c:numCache>
            </c:numRef>
          </c:cat>
          <c:val>
            <c:numRef>
              <c:f>Assum_Gen_OPD!$D$19:$H$19</c:f>
              <c:numCache>
                <c:formatCode>0%</c:formatCode>
                <c:ptCount val="5"/>
                <c:pt idx="0">
                  <c:v>0.13</c:v>
                </c:pt>
                <c:pt idx="1">
                  <c:v>0.16</c:v>
                </c:pt>
                <c:pt idx="2">
                  <c:v>0.19</c:v>
                </c:pt>
                <c:pt idx="3">
                  <c:v>0.22</c:v>
                </c:pt>
                <c:pt idx="4">
                  <c:v>0.25</c:v>
                </c:pt>
              </c:numCache>
            </c:numRef>
          </c:val>
        </c:ser>
        <c:ser>
          <c:idx val="2"/>
          <c:order val="2"/>
          <c:tx>
            <c:strRef>
              <c:f>Assum_Gen_OPD!$B$24</c:f>
              <c:strCache>
                <c:ptCount val="1"/>
                <c:pt idx="0">
                  <c:v>Informal sector population covered by standard MBP</c:v>
                </c:pt>
              </c:strCache>
            </c:strRef>
          </c:tx>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Results_Tot!$C$5:$G$5</c:f>
              <c:numCache>
                <c:formatCode>General</c:formatCode>
                <c:ptCount val="5"/>
                <c:pt idx="0">
                  <c:v>2016</c:v>
                </c:pt>
                <c:pt idx="1">
                  <c:v>2017</c:v>
                </c:pt>
                <c:pt idx="2">
                  <c:v>2018</c:v>
                </c:pt>
                <c:pt idx="3">
                  <c:v>2019</c:v>
                </c:pt>
                <c:pt idx="4">
                  <c:v>2020</c:v>
                </c:pt>
              </c:numCache>
            </c:numRef>
          </c:cat>
          <c:val>
            <c:numRef>
              <c:f>Assum_Gen_OPD!$D$24:$H$24</c:f>
              <c:numCache>
                <c:formatCode>0%</c:formatCode>
                <c:ptCount val="5"/>
                <c:pt idx="0">
                  <c:v>0.09</c:v>
                </c:pt>
                <c:pt idx="1">
                  <c:v>0.11749999999999999</c:v>
                </c:pt>
                <c:pt idx="2">
                  <c:v>0.14499999999999999</c:v>
                </c:pt>
                <c:pt idx="3">
                  <c:v>0.17249999999999999</c:v>
                </c:pt>
                <c:pt idx="4">
                  <c:v>0.2</c:v>
                </c:pt>
              </c:numCache>
            </c:numRef>
          </c:val>
        </c:ser>
        <c:dLbls>
          <c:showLegendKey val="0"/>
          <c:showVal val="0"/>
          <c:showCatName val="0"/>
          <c:showSerName val="0"/>
          <c:showPercent val="0"/>
          <c:showBubbleSize val="0"/>
        </c:dLbls>
        <c:gapWidth val="150"/>
        <c:overlap val="100"/>
        <c:axId val="156035688"/>
        <c:axId val="156035296"/>
      </c:barChart>
      <c:catAx>
        <c:axId val="156035688"/>
        <c:scaling>
          <c:orientation val="minMax"/>
        </c:scaling>
        <c:delete val="0"/>
        <c:axPos val="b"/>
        <c:numFmt formatCode="General" sourceLinked="1"/>
        <c:majorTickMark val="out"/>
        <c:minorTickMark val="none"/>
        <c:tickLblPos val="nextTo"/>
        <c:crossAx val="156035296"/>
        <c:crosses val="autoZero"/>
        <c:auto val="1"/>
        <c:lblAlgn val="ctr"/>
        <c:lblOffset val="100"/>
        <c:noMultiLvlLbl val="0"/>
      </c:catAx>
      <c:valAx>
        <c:axId val="156035296"/>
        <c:scaling>
          <c:orientation val="minMax"/>
        </c:scaling>
        <c:delete val="0"/>
        <c:axPos val="l"/>
        <c:majorGridlines>
          <c:spPr>
            <a:ln>
              <a:noFill/>
            </a:ln>
          </c:spPr>
        </c:majorGridlines>
        <c:title>
          <c:tx>
            <c:rich>
              <a:bodyPr rot="-5400000" vert="horz"/>
              <a:lstStyle/>
              <a:p>
                <a:pPr>
                  <a:defRPr/>
                </a:pPr>
                <a:r>
                  <a:rPr lang="en-US"/>
                  <a:t>Percentage of population</a:t>
                </a:r>
              </a:p>
            </c:rich>
          </c:tx>
          <c:layout>
            <c:manualLayout>
              <c:xMode val="edge"/>
              <c:yMode val="edge"/>
              <c:x val="9.9688453957670863E-3"/>
              <c:y val="0.20255435960413204"/>
            </c:manualLayout>
          </c:layout>
          <c:overlay val="0"/>
        </c:title>
        <c:numFmt formatCode="0%" sourceLinked="1"/>
        <c:majorTickMark val="out"/>
        <c:minorTickMark val="none"/>
        <c:tickLblPos val="nextTo"/>
        <c:crossAx val="156035688"/>
        <c:crosses val="autoZero"/>
        <c:crossBetween val="between"/>
      </c:valAx>
    </c:plotArea>
    <c:legend>
      <c:legendPos val="b"/>
      <c:overlay val="0"/>
    </c:legend>
    <c:plotVisOnly val="1"/>
    <c:dispBlanksAs val="gap"/>
    <c:showDLblsOverMax val="0"/>
  </c:chart>
  <c:txPr>
    <a:bodyPr/>
    <a:lstStyle/>
    <a:p>
      <a:pPr>
        <a:defRPr sz="900">
          <a:latin typeface="Century Gothic" panose="020B0502020202020204" pitchFamily="34" charset="0"/>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b="0"/>
            </a:pPr>
            <a:r>
              <a:rPr lang="en-US" sz="1050" b="0"/>
              <a:t>Resources for the SNHI Pool</a:t>
            </a:r>
          </a:p>
        </c:rich>
      </c:tx>
      <c:layout>
        <c:manualLayout>
          <c:xMode val="edge"/>
          <c:yMode val="edge"/>
          <c:x val="0.27568709203657749"/>
          <c:y val="0"/>
        </c:manualLayout>
      </c:layout>
      <c:overlay val="1"/>
    </c:title>
    <c:autoTitleDeleted val="0"/>
    <c:plotArea>
      <c:layout>
        <c:manualLayout>
          <c:layoutTarget val="inner"/>
          <c:xMode val="edge"/>
          <c:yMode val="edge"/>
          <c:x val="0.1767813527958747"/>
          <c:y val="4.3328402931195921E-2"/>
          <c:w val="0.79919124711829492"/>
          <c:h val="0.79843903893352075"/>
        </c:manualLayout>
      </c:layout>
      <c:lineChart>
        <c:grouping val="standard"/>
        <c:varyColors val="0"/>
        <c:ser>
          <c:idx val="0"/>
          <c:order val="0"/>
          <c:tx>
            <c:strRef>
              <c:f>'Revised scenarios_3_31'!$B$4</c:f>
              <c:strCache>
                <c:ptCount val="1"/>
                <c:pt idx="0">
                  <c:v>Scenario 1</c:v>
                </c:pt>
              </c:strCache>
            </c:strRef>
          </c:tx>
          <c:dLbls>
            <c:numFmt formatCode="#,##0" sourceLinked="0"/>
            <c:spPr>
              <a:noFill/>
              <a:ln>
                <a:noFill/>
              </a:ln>
              <a:effectLst/>
            </c:spPr>
            <c:txPr>
              <a:bodyPr/>
              <a:lstStyle/>
              <a:p>
                <a:pPr>
                  <a:defRPr b="0"/>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'Revised scenarios_3_31'!$C$3:$G$3</c:f>
              <c:strCache>
                <c:ptCount val="5"/>
                <c:pt idx="0">
                  <c:v>2016/17</c:v>
                </c:pt>
                <c:pt idx="1">
                  <c:v>2017/18</c:v>
                </c:pt>
                <c:pt idx="2">
                  <c:v>2018/19</c:v>
                </c:pt>
                <c:pt idx="3">
                  <c:v>2019/20</c:v>
                </c:pt>
                <c:pt idx="4">
                  <c:v>2020/21</c:v>
                </c:pt>
              </c:strCache>
            </c:strRef>
          </c:cat>
          <c:val>
            <c:numRef>
              <c:f>'Revised scenarios_3_31'!$C$4:$G$4</c:f>
              <c:numCache>
                <c:formatCode>0</c:formatCode>
                <c:ptCount val="5"/>
                <c:pt idx="0">
                  <c:v>932</c:v>
                </c:pt>
                <c:pt idx="1">
                  <c:v>1083</c:v>
                </c:pt>
                <c:pt idx="2">
                  <c:v>1189</c:v>
                </c:pt>
                <c:pt idx="3">
                  <c:v>1264</c:v>
                </c:pt>
                <c:pt idx="4">
                  <c:v>1338</c:v>
                </c:pt>
              </c:numCache>
            </c:numRef>
          </c:val>
          <c:smooth val="0"/>
        </c:ser>
        <c:ser>
          <c:idx val="3"/>
          <c:order val="1"/>
          <c:tx>
            <c:strRef>
              <c:f>'Revised scenarios_3_31'!$B$5</c:f>
              <c:strCache>
                <c:ptCount val="1"/>
                <c:pt idx="0">
                  <c:v>Scenario 2</c:v>
                </c:pt>
              </c:strCache>
            </c:strRef>
          </c:tx>
          <c:marker>
            <c:symbol val="circle"/>
            <c:size val="7"/>
          </c:marker>
          <c:dLbls>
            <c:numFmt formatCode="#,##0" sourceLinked="0"/>
            <c:spPr>
              <a:noFill/>
              <a:ln>
                <a:noFill/>
              </a:ln>
              <a:effectLst/>
            </c:spPr>
            <c:txPr>
              <a:bodyPr/>
              <a:lstStyle/>
              <a:p>
                <a:pPr>
                  <a:defRPr b="0"/>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'Revised scenarios_3_31'!$C$3:$G$3</c:f>
              <c:strCache>
                <c:ptCount val="5"/>
                <c:pt idx="0">
                  <c:v>2016/17</c:v>
                </c:pt>
                <c:pt idx="1">
                  <c:v>2017/18</c:v>
                </c:pt>
                <c:pt idx="2">
                  <c:v>2018/19</c:v>
                </c:pt>
                <c:pt idx="3">
                  <c:v>2019/20</c:v>
                </c:pt>
                <c:pt idx="4">
                  <c:v>2020/21</c:v>
                </c:pt>
              </c:strCache>
            </c:strRef>
          </c:cat>
          <c:val>
            <c:numRef>
              <c:f>'Revised scenarios_3_31'!$C$5:$G$5</c:f>
              <c:numCache>
                <c:formatCode>0</c:formatCode>
                <c:ptCount val="5"/>
                <c:pt idx="0">
                  <c:v>957</c:v>
                </c:pt>
                <c:pt idx="1">
                  <c:v>1115</c:v>
                </c:pt>
                <c:pt idx="2">
                  <c:v>1230</c:v>
                </c:pt>
                <c:pt idx="3">
                  <c:v>1312</c:v>
                </c:pt>
                <c:pt idx="4">
                  <c:v>1395</c:v>
                </c:pt>
              </c:numCache>
            </c:numRef>
          </c:val>
          <c:smooth val="0"/>
        </c:ser>
        <c:dLbls>
          <c:showLegendKey val="0"/>
          <c:showVal val="0"/>
          <c:showCatName val="0"/>
          <c:showSerName val="0"/>
          <c:showPercent val="0"/>
          <c:showBubbleSize val="0"/>
        </c:dLbls>
        <c:marker val="1"/>
        <c:smooth val="0"/>
        <c:axId val="279738648"/>
        <c:axId val="279739040"/>
      </c:lineChart>
      <c:catAx>
        <c:axId val="279738648"/>
        <c:scaling>
          <c:orientation val="minMax"/>
        </c:scaling>
        <c:delete val="0"/>
        <c:axPos val="b"/>
        <c:numFmt formatCode="General" sourceLinked="0"/>
        <c:majorTickMark val="out"/>
        <c:minorTickMark val="none"/>
        <c:tickLblPos val="nextTo"/>
        <c:crossAx val="279739040"/>
        <c:crosses val="autoZero"/>
        <c:auto val="1"/>
        <c:lblAlgn val="ctr"/>
        <c:lblOffset val="100"/>
        <c:noMultiLvlLbl val="0"/>
      </c:catAx>
      <c:valAx>
        <c:axId val="279739040"/>
        <c:scaling>
          <c:orientation val="minMax"/>
          <c:min val="800"/>
        </c:scaling>
        <c:delete val="0"/>
        <c:axPos val="l"/>
        <c:majorGridlines>
          <c:spPr>
            <a:ln>
              <a:noFill/>
            </a:ln>
          </c:spPr>
        </c:majorGridlines>
        <c:title>
          <c:tx>
            <c:rich>
              <a:bodyPr rot="-5400000" vert="horz"/>
              <a:lstStyle/>
              <a:p>
                <a:pPr>
                  <a:defRPr b="0"/>
                </a:pPr>
                <a:r>
                  <a:rPr lang="en-US" b="0"/>
                  <a:t>2012 TZS Billions</a:t>
                </a:r>
              </a:p>
            </c:rich>
          </c:tx>
          <c:layout>
            <c:manualLayout>
              <c:xMode val="edge"/>
              <c:yMode val="edge"/>
              <c:x val="3.9280876341214882E-3"/>
              <c:y val="0.24687710182271841"/>
            </c:manualLayout>
          </c:layout>
          <c:overlay val="0"/>
        </c:title>
        <c:numFmt formatCode="#,##0" sourceLinked="0"/>
        <c:majorTickMark val="out"/>
        <c:minorTickMark val="none"/>
        <c:tickLblPos val="nextTo"/>
        <c:crossAx val="279738648"/>
        <c:crosses val="autoZero"/>
        <c:crossBetween val="between"/>
      </c:valAx>
    </c:plotArea>
    <c:legend>
      <c:legendPos val="b"/>
      <c:layout>
        <c:manualLayout>
          <c:xMode val="edge"/>
          <c:yMode val="edge"/>
          <c:x val="0.18791365790045259"/>
          <c:y val="0.9251210738617105"/>
          <c:w val="0.62417268419909477"/>
          <c:h val="7.4878967301207716E-2"/>
        </c:manualLayout>
      </c:layout>
      <c:overlay val="0"/>
    </c:legend>
    <c:plotVisOnly val="1"/>
    <c:dispBlanksAs val="gap"/>
    <c:showDLblsOverMax val="0"/>
  </c:chart>
  <c:txPr>
    <a:bodyPr/>
    <a:lstStyle/>
    <a:p>
      <a:pPr>
        <a:defRPr sz="900">
          <a:latin typeface="Century Gothic" panose="020B0502020202020204" pitchFamily="34"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180897690671858"/>
          <c:y val="5.0925925925925923E-2"/>
          <c:w val="0.75651062556847926"/>
          <c:h val="0.66972404491105275"/>
        </c:manualLayout>
      </c:layout>
      <c:barChart>
        <c:barDir val="bar"/>
        <c:grouping val="clustered"/>
        <c:varyColors val="0"/>
        <c:ser>
          <c:idx val="0"/>
          <c:order val="0"/>
          <c:tx>
            <c:strRef>
              <c:f>'Revised scenarios_3_31'!$I$32</c:f>
              <c:strCache>
                <c:ptCount val="1"/>
                <c:pt idx="0">
                  <c:v>Avg. per capita SNHI cost</c:v>
                </c:pt>
              </c:strCache>
            </c:strRef>
          </c:tx>
          <c:invertIfNegative val="0"/>
          <c:dLbls>
            <c:numFmt formatCode="&quot;$&quot;#,##0" sourceLinked="0"/>
            <c:spPr>
              <a:noFill/>
              <a:ln>
                <a:noFill/>
              </a:ln>
              <a:effectLst/>
            </c:spPr>
            <c:txPr>
              <a:bodyPr/>
              <a:lstStyle/>
              <a:p>
                <a:pPr>
                  <a:defRPr sz="8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'Revised scenarios_3_31'!$J$29:$N$29</c:f>
              <c:strCache>
                <c:ptCount val="5"/>
                <c:pt idx="0">
                  <c:v>2016/17</c:v>
                </c:pt>
                <c:pt idx="1">
                  <c:v>2017/18</c:v>
                </c:pt>
                <c:pt idx="2">
                  <c:v>2018/19</c:v>
                </c:pt>
                <c:pt idx="3">
                  <c:v>2019/20</c:v>
                </c:pt>
                <c:pt idx="4">
                  <c:v>2020/21</c:v>
                </c:pt>
              </c:strCache>
            </c:strRef>
          </c:cat>
          <c:val>
            <c:numRef>
              <c:f>'Revised scenarios_3_31'!$J$32:$N$32</c:f>
              <c:numCache>
                <c:formatCode>"$"#,##0</c:formatCode>
                <c:ptCount val="5"/>
                <c:pt idx="0">
                  <c:v>39.014663576279517</c:v>
                </c:pt>
                <c:pt idx="1">
                  <c:v>37.890209239372716</c:v>
                </c:pt>
                <c:pt idx="2">
                  <c:v>38.157208517674277</c:v>
                </c:pt>
                <c:pt idx="3">
                  <c:v>37.613801980657541</c:v>
                </c:pt>
                <c:pt idx="4">
                  <c:v>37.110721792931159</c:v>
                </c:pt>
              </c:numCache>
            </c:numRef>
          </c:val>
        </c:ser>
        <c:ser>
          <c:idx val="1"/>
          <c:order val="1"/>
          <c:tx>
            <c:strRef>
              <c:f>'Revised scenarios_3_31'!$I$33</c:f>
              <c:strCache>
                <c:ptCount val="1"/>
                <c:pt idx="0">
                  <c:v>Avg. per capita SNHI revenue</c:v>
                </c:pt>
              </c:strCache>
            </c:strRef>
          </c:tx>
          <c:invertIfNegative val="0"/>
          <c:dLbls>
            <c:numFmt formatCode="&quot;$&quot;#,##0" sourceLinked="0"/>
            <c:spPr>
              <a:noFill/>
              <a:ln>
                <a:noFill/>
              </a:ln>
              <a:effectLst/>
            </c:spPr>
            <c:txPr>
              <a:bodyPr/>
              <a:lstStyle/>
              <a:p>
                <a:pPr>
                  <a:defRPr sz="8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'Revised scenarios_3_31'!$J$29:$N$29</c:f>
              <c:strCache>
                <c:ptCount val="5"/>
                <c:pt idx="0">
                  <c:v>2016/17</c:v>
                </c:pt>
                <c:pt idx="1">
                  <c:v>2017/18</c:v>
                </c:pt>
                <c:pt idx="2">
                  <c:v>2018/19</c:v>
                </c:pt>
                <c:pt idx="3">
                  <c:v>2019/20</c:v>
                </c:pt>
                <c:pt idx="4">
                  <c:v>2020/21</c:v>
                </c:pt>
              </c:strCache>
            </c:strRef>
          </c:cat>
          <c:val>
            <c:numRef>
              <c:f>'Revised scenarios_3_31'!$J$33:$N$33</c:f>
              <c:numCache>
                <c:formatCode>"$"#,##0</c:formatCode>
                <c:ptCount val="5"/>
                <c:pt idx="0">
                  <c:v>30.403753917323435</c:v>
                </c:pt>
                <c:pt idx="1">
                  <c:v>29.968578592350209</c:v>
                </c:pt>
                <c:pt idx="2">
                  <c:v>28.980310017034249</c:v>
                </c:pt>
                <c:pt idx="3">
                  <c:v>26.89982062803271</c:v>
                </c:pt>
                <c:pt idx="4">
                  <c:v>25.154663358154977</c:v>
                </c:pt>
              </c:numCache>
            </c:numRef>
          </c:val>
        </c:ser>
        <c:dLbls>
          <c:showLegendKey val="0"/>
          <c:showVal val="0"/>
          <c:showCatName val="0"/>
          <c:showSerName val="0"/>
          <c:showPercent val="0"/>
          <c:showBubbleSize val="0"/>
        </c:dLbls>
        <c:gapWidth val="150"/>
        <c:axId val="279739824"/>
        <c:axId val="279740216"/>
      </c:barChart>
      <c:catAx>
        <c:axId val="279739824"/>
        <c:scaling>
          <c:orientation val="minMax"/>
        </c:scaling>
        <c:delete val="0"/>
        <c:axPos val="l"/>
        <c:numFmt formatCode="General" sourceLinked="0"/>
        <c:majorTickMark val="out"/>
        <c:minorTickMark val="none"/>
        <c:tickLblPos val="nextTo"/>
        <c:txPr>
          <a:bodyPr/>
          <a:lstStyle/>
          <a:p>
            <a:pPr>
              <a:defRPr sz="800"/>
            </a:pPr>
            <a:endParaRPr lang="en-US"/>
          </a:p>
        </c:txPr>
        <c:crossAx val="279740216"/>
        <c:crosses val="autoZero"/>
        <c:auto val="1"/>
        <c:lblAlgn val="ctr"/>
        <c:lblOffset val="100"/>
        <c:noMultiLvlLbl val="0"/>
      </c:catAx>
      <c:valAx>
        <c:axId val="279740216"/>
        <c:scaling>
          <c:orientation val="minMax"/>
        </c:scaling>
        <c:delete val="0"/>
        <c:axPos val="b"/>
        <c:majorGridlines>
          <c:spPr>
            <a:ln>
              <a:noFill/>
            </a:ln>
          </c:spPr>
        </c:majorGridlines>
        <c:title>
          <c:tx>
            <c:rich>
              <a:bodyPr/>
              <a:lstStyle/>
              <a:p>
                <a:pPr>
                  <a:defRPr b="0"/>
                </a:pPr>
                <a:r>
                  <a:rPr lang="en-US" b="0"/>
                  <a:t>2012 US$</a:t>
                </a:r>
              </a:p>
            </c:rich>
          </c:tx>
          <c:layout>
            <c:manualLayout>
              <c:xMode val="edge"/>
              <c:yMode val="edge"/>
              <c:x val="0.39248031496062991"/>
              <c:y val="0.78570392242636333"/>
            </c:manualLayout>
          </c:layout>
          <c:overlay val="0"/>
        </c:title>
        <c:numFmt formatCode="&quot;$&quot;#,##0" sourceLinked="0"/>
        <c:majorTickMark val="out"/>
        <c:minorTickMark val="none"/>
        <c:tickLblPos val="nextTo"/>
        <c:txPr>
          <a:bodyPr/>
          <a:lstStyle/>
          <a:p>
            <a:pPr>
              <a:defRPr sz="800"/>
            </a:pPr>
            <a:endParaRPr lang="en-US"/>
          </a:p>
        </c:txPr>
        <c:crossAx val="279739824"/>
        <c:crosses val="autoZero"/>
        <c:crossBetween val="between"/>
      </c:valAx>
    </c:plotArea>
    <c:legend>
      <c:legendPos val="b"/>
      <c:layout>
        <c:manualLayout>
          <c:xMode val="edge"/>
          <c:yMode val="edge"/>
          <c:x val="6.6830684858467659E-2"/>
          <c:y val="0.84348111248184643"/>
          <c:w val="0.89080653914633101"/>
          <c:h val="0.15651882257111371"/>
        </c:manualLayout>
      </c:layout>
      <c:overlay val="0"/>
    </c:legend>
    <c:plotVisOnly val="1"/>
    <c:dispBlanksAs val="gap"/>
    <c:showDLblsOverMax val="0"/>
  </c:chart>
  <c:txPr>
    <a:bodyPr/>
    <a:lstStyle/>
    <a:p>
      <a:pPr>
        <a:defRPr sz="900">
          <a:latin typeface="Century Gothic" panose="020B0502020202020204" pitchFamily="34"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lineChart>
        <c:grouping val="standard"/>
        <c:varyColors val="0"/>
        <c:ser>
          <c:idx val="0"/>
          <c:order val="0"/>
          <c:tx>
            <c:strRef>
              <c:f>'Revised scenarios_3_31'!$I$18</c:f>
              <c:strCache>
                <c:ptCount val="1"/>
                <c:pt idx="0">
                  <c:v>Max:</c:v>
                </c:pt>
              </c:strCache>
            </c:strRef>
          </c:tx>
          <c:dLbls>
            <c:numFmt formatCode="#,##0" sourceLinked="0"/>
            <c:spPr>
              <a:noFill/>
              <a:ln>
                <a:noFill/>
              </a:ln>
              <a:effectLst/>
            </c:spPr>
            <c:txPr>
              <a:bodyPr/>
              <a:lstStyle/>
              <a:p>
                <a:pPr>
                  <a:defRPr sz="800" b="1"/>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'Revised scenarios_3_31'!$J$7:$N$7</c:f>
              <c:strCache>
                <c:ptCount val="5"/>
                <c:pt idx="0">
                  <c:v>2016/17</c:v>
                </c:pt>
                <c:pt idx="1">
                  <c:v>2017/18</c:v>
                </c:pt>
                <c:pt idx="2">
                  <c:v>2018/19</c:v>
                </c:pt>
                <c:pt idx="3">
                  <c:v>2019/20</c:v>
                </c:pt>
                <c:pt idx="4">
                  <c:v>2020/21</c:v>
                </c:pt>
              </c:strCache>
            </c:strRef>
          </c:cat>
          <c:val>
            <c:numRef>
              <c:f>'Revised scenarios_3_31'!$J$18:$N$18</c:f>
              <c:numCache>
                <c:formatCode>0</c:formatCode>
                <c:ptCount val="5"/>
                <c:pt idx="0">
                  <c:v>284</c:v>
                </c:pt>
                <c:pt idx="1">
                  <c:v>311</c:v>
                </c:pt>
                <c:pt idx="2">
                  <c:v>409</c:v>
                </c:pt>
                <c:pt idx="3">
                  <c:v>543</c:v>
                </c:pt>
                <c:pt idx="4">
                  <c:v>685</c:v>
                </c:pt>
              </c:numCache>
            </c:numRef>
          </c:val>
          <c:smooth val="0"/>
        </c:ser>
        <c:ser>
          <c:idx val="1"/>
          <c:order val="1"/>
          <c:tx>
            <c:strRef>
              <c:f>'Revised scenarios_3_31'!$I$19</c:f>
              <c:strCache>
                <c:ptCount val="1"/>
                <c:pt idx="0">
                  <c:v>Median</c:v>
                </c:pt>
              </c:strCache>
            </c:strRef>
          </c:tx>
          <c:spPr>
            <a:ln w="15875">
              <a:prstDash val="dash"/>
            </a:ln>
          </c:spPr>
          <c:marker>
            <c:symbol val="square"/>
            <c:size val="3"/>
          </c:marker>
          <c:cat>
            <c:strRef>
              <c:f>'Revised scenarios_3_31'!$J$7:$N$7</c:f>
              <c:strCache>
                <c:ptCount val="5"/>
                <c:pt idx="0">
                  <c:v>2016/17</c:v>
                </c:pt>
                <c:pt idx="1">
                  <c:v>2017/18</c:v>
                </c:pt>
                <c:pt idx="2">
                  <c:v>2018/19</c:v>
                </c:pt>
                <c:pt idx="3">
                  <c:v>2019/20</c:v>
                </c:pt>
                <c:pt idx="4">
                  <c:v>2020/21</c:v>
                </c:pt>
              </c:strCache>
            </c:strRef>
          </c:cat>
          <c:val>
            <c:numRef>
              <c:f>'Revised scenarios_3_31'!$J$19:$N$19</c:f>
              <c:numCache>
                <c:formatCode>0</c:formatCode>
                <c:ptCount val="5"/>
                <c:pt idx="0">
                  <c:v>267.5</c:v>
                </c:pt>
                <c:pt idx="1">
                  <c:v>290.5</c:v>
                </c:pt>
                <c:pt idx="2">
                  <c:v>383</c:v>
                </c:pt>
                <c:pt idx="3">
                  <c:v>513</c:v>
                </c:pt>
                <c:pt idx="4">
                  <c:v>649.5</c:v>
                </c:pt>
              </c:numCache>
            </c:numRef>
          </c:val>
          <c:smooth val="0"/>
        </c:ser>
        <c:ser>
          <c:idx val="3"/>
          <c:order val="2"/>
          <c:tx>
            <c:strRef>
              <c:f>'Revised scenarios_3_31'!$I$20</c:f>
              <c:strCache>
                <c:ptCount val="1"/>
                <c:pt idx="0">
                  <c:v>Min</c:v>
                </c:pt>
              </c:strCache>
            </c:strRef>
          </c:tx>
          <c:marker>
            <c:symbol val="circle"/>
            <c:size val="5"/>
          </c:marker>
          <c:dLbls>
            <c:numFmt formatCode="#,##0" sourceLinked="0"/>
            <c:spPr>
              <a:noFill/>
              <a:ln>
                <a:noFill/>
              </a:ln>
              <a:effectLst/>
            </c:spPr>
            <c:txPr>
              <a:bodyPr/>
              <a:lstStyle/>
              <a:p>
                <a:pPr>
                  <a:defRPr sz="800" b="1"/>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'Revised scenarios_3_31'!$J$7:$N$7</c:f>
              <c:strCache>
                <c:ptCount val="5"/>
                <c:pt idx="0">
                  <c:v>2016/17</c:v>
                </c:pt>
                <c:pt idx="1">
                  <c:v>2017/18</c:v>
                </c:pt>
                <c:pt idx="2">
                  <c:v>2018/19</c:v>
                </c:pt>
                <c:pt idx="3">
                  <c:v>2019/20</c:v>
                </c:pt>
                <c:pt idx="4">
                  <c:v>2020/21</c:v>
                </c:pt>
              </c:strCache>
            </c:strRef>
          </c:cat>
          <c:val>
            <c:numRef>
              <c:f>'Revised scenarios_3_31'!$J$20:$N$20</c:f>
              <c:numCache>
                <c:formatCode>0</c:formatCode>
                <c:ptCount val="5"/>
                <c:pt idx="0">
                  <c:v>251</c:v>
                </c:pt>
                <c:pt idx="1">
                  <c:v>270</c:v>
                </c:pt>
                <c:pt idx="2">
                  <c:v>357</c:v>
                </c:pt>
                <c:pt idx="3">
                  <c:v>483</c:v>
                </c:pt>
                <c:pt idx="4">
                  <c:v>614</c:v>
                </c:pt>
              </c:numCache>
            </c:numRef>
          </c:val>
          <c:smooth val="0"/>
        </c:ser>
        <c:dLbls>
          <c:showLegendKey val="0"/>
          <c:showVal val="0"/>
          <c:showCatName val="0"/>
          <c:showSerName val="0"/>
          <c:showPercent val="0"/>
          <c:showBubbleSize val="0"/>
        </c:dLbls>
        <c:marker val="1"/>
        <c:smooth val="0"/>
        <c:axId val="279741000"/>
        <c:axId val="279741392"/>
      </c:lineChart>
      <c:catAx>
        <c:axId val="279741000"/>
        <c:scaling>
          <c:orientation val="minMax"/>
        </c:scaling>
        <c:delete val="0"/>
        <c:axPos val="b"/>
        <c:numFmt formatCode="General" sourceLinked="0"/>
        <c:majorTickMark val="out"/>
        <c:minorTickMark val="none"/>
        <c:tickLblPos val="nextTo"/>
        <c:crossAx val="279741392"/>
        <c:crosses val="autoZero"/>
        <c:auto val="1"/>
        <c:lblAlgn val="ctr"/>
        <c:lblOffset val="100"/>
        <c:noMultiLvlLbl val="0"/>
      </c:catAx>
      <c:valAx>
        <c:axId val="279741392"/>
        <c:scaling>
          <c:orientation val="minMax"/>
          <c:max val="900"/>
          <c:min val="100"/>
        </c:scaling>
        <c:delete val="0"/>
        <c:axPos val="l"/>
        <c:majorGridlines>
          <c:spPr>
            <a:ln>
              <a:noFill/>
            </a:ln>
          </c:spPr>
        </c:majorGridlines>
        <c:title>
          <c:tx>
            <c:rich>
              <a:bodyPr rot="-5400000" vert="horz"/>
              <a:lstStyle/>
              <a:p>
                <a:pPr>
                  <a:defRPr/>
                </a:pPr>
                <a:r>
                  <a:rPr lang="en-US"/>
                  <a:t>2012 TZS Billions</a:t>
                </a:r>
              </a:p>
            </c:rich>
          </c:tx>
          <c:layout>
            <c:manualLayout>
              <c:xMode val="edge"/>
              <c:yMode val="edge"/>
              <c:x val="1.1111111111111112E-2"/>
              <c:y val="0.24262357830271217"/>
            </c:manualLayout>
          </c:layout>
          <c:overlay val="0"/>
        </c:title>
        <c:numFmt formatCode="#,##0" sourceLinked="0"/>
        <c:majorTickMark val="out"/>
        <c:minorTickMark val="none"/>
        <c:tickLblPos val="nextTo"/>
        <c:crossAx val="279741000"/>
        <c:crosses val="autoZero"/>
        <c:crossBetween val="between"/>
      </c:valAx>
    </c:plotArea>
    <c:legend>
      <c:legendPos val="b"/>
      <c:overlay val="0"/>
    </c:legend>
    <c:plotVisOnly val="1"/>
    <c:dispBlanksAs val="zero"/>
    <c:showDLblsOverMax val="0"/>
  </c:chart>
  <c:txPr>
    <a:bodyPr/>
    <a:lstStyle/>
    <a:p>
      <a:pPr>
        <a:defRPr sz="900">
          <a:latin typeface="Century Gothic" panose="020B0502020202020204" pitchFamily="34" charset="0"/>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AA7D97B-7F0C-4F4F-AB17-7B942A2E54E4}" type="doc">
      <dgm:prSet loTypeId="urn:microsoft.com/office/officeart/2005/8/layout/radial4" loCatId="" qsTypeId="urn:microsoft.com/office/officeart/2005/8/quickstyle/simple1" qsCatId="simple" csTypeId="urn:microsoft.com/office/officeart/2005/8/colors/colorful4" csCatId="colorful" phldr="1"/>
      <dgm:spPr/>
      <dgm:t>
        <a:bodyPr/>
        <a:lstStyle/>
        <a:p>
          <a:endParaRPr lang="en-US"/>
        </a:p>
      </dgm:t>
    </dgm:pt>
    <dgm:pt modelId="{B9A06129-B6E7-994B-BD75-B46D996E33A5}">
      <dgm:prSet/>
      <dgm:spPr/>
      <dgm:t>
        <a:bodyPr/>
        <a:lstStyle/>
        <a:p>
          <a:r>
            <a:rPr lang="en-US" dirty="0" smtClean="0"/>
            <a:t>SNHI</a:t>
          </a:r>
          <a:endParaRPr lang="en-US" dirty="0"/>
        </a:p>
      </dgm:t>
    </dgm:pt>
    <dgm:pt modelId="{AE7F76EC-CADF-EC47-A0FE-9BBF94545A49}" type="parTrans" cxnId="{96D32A6E-B6D1-FA49-B391-92F547CC8CAE}">
      <dgm:prSet/>
      <dgm:spPr/>
      <dgm:t>
        <a:bodyPr/>
        <a:lstStyle/>
        <a:p>
          <a:endParaRPr lang="en-US"/>
        </a:p>
      </dgm:t>
    </dgm:pt>
    <dgm:pt modelId="{4043CD2E-DF32-8B4C-AA9C-78E523534039}" type="sibTrans" cxnId="{96D32A6E-B6D1-FA49-B391-92F547CC8CAE}">
      <dgm:prSet/>
      <dgm:spPr/>
      <dgm:t>
        <a:bodyPr/>
        <a:lstStyle/>
        <a:p>
          <a:endParaRPr lang="en-US"/>
        </a:p>
      </dgm:t>
    </dgm:pt>
    <dgm:pt modelId="{8E39B6F4-24EA-E442-B80C-4300AEF135BE}">
      <dgm:prSet/>
      <dgm:spPr/>
      <dgm:t>
        <a:bodyPr/>
        <a:lstStyle/>
        <a:p>
          <a:r>
            <a:rPr lang="en-US" dirty="0" smtClean="0"/>
            <a:t>Other vertical or parallel programs or funding</a:t>
          </a:r>
          <a:endParaRPr lang="en-US" dirty="0"/>
        </a:p>
      </dgm:t>
    </dgm:pt>
    <dgm:pt modelId="{8F8D934C-9AC1-F047-8DC5-0E3952BB100B}" type="parTrans" cxnId="{7A466ADD-56CC-1B44-80B3-6EF2C4675EF6}">
      <dgm:prSet/>
      <dgm:spPr/>
      <dgm:t>
        <a:bodyPr/>
        <a:lstStyle/>
        <a:p>
          <a:endParaRPr lang="en-US"/>
        </a:p>
      </dgm:t>
    </dgm:pt>
    <dgm:pt modelId="{188DEBDE-7562-574A-9537-DD3164A0462D}" type="sibTrans" cxnId="{7A466ADD-56CC-1B44-80B3-6EF2C4675EF6}">
      <dgm:prSet/>
      <dgm:spPr/>
      <dgm:t>
        <a:bodyPr/>
        <a:lstStyle/>
        <a:p>
          <a:endParaRPr lang="en-US"/>
        </a:p>
      </dgm:t>
    </dgm:pt>
    <dgm:pt modelId="{07AA2F70-9EFA-2A42-9CDC-E186064B4944}">
      <dgm:prSet/>
      <dgm:spPr/>
      <dgm:t>
        <a:bodyPr/>
        <a:lstStyle/>
        <a:p>
          <a:r>
            <a:rPr lang="en-US" dirty="0" smtClean="0"/>
            <a:t>AIDS Trust Fund</a:t>
          </a:r>
          <a:endParaRPr lang="en-US" dirty="0"/>
        </a:p>
      </dgm:t>
    </dgm:pt>
    <dgm:pt modelId="{D1FF0F7D-962F-A245-9E82-8DB5569BA4EE}" type="parTrans" cxnId="{550A80D9-8989-CF4D-AE3B-51749B1518A7}">
      <dgm:prSet/>
      <dgm:spPr/>
      <dgm:t>
        <a:bodyPr/>
        <a:lstStyle/>
        <a:p>
          <a:endParaRPr lang="en-US"/>
        </a:p>
      </dgm:t>
    </dgm:pt>
    <dgm:pt modelId="{35AC39D7-0626-9845-BBF5-92AFFFAC5123}" type="sibTrans" cxnId="{550A80D9-8989-CF4D-AE3B-51749B1518A7}">
      <dgm:prSet/>
      <dgm:spPr/>
      <dgm:t>
        <a:bodyPr/>
        <a:lstStyle/>
        <a:p>
          <a:endParaRPr lang="en-US"/>
        </a:p>
      </dgm:t>
    </dgm:pt>
    <dgm:pt modelId="{62CBCB17-7235-EC4C-AF66-7FF488FF1796}">
      <dgm:prSet/>
      <dgm:spPr/>
      <dgm:t>
        <a:bodyPr/>
        <a:lstStyle/>
        <a:p>
          <a:r>
            <a:rPr lang="en-US" dirty="0" smtClean="0"/>
            <a:t>Formal Sector Employer Contribution</a:t>
          </a:r>
          <a:endParaRPr lang="en-US" dirty="0"/>
        </a:p>
      </dgm:t>
    </dgm:pt>
    <dgm:pt modelId="{41D97B00-3600-E64D-B396-4D793D174401}" type="parTrans" cxnId="{3D3CED93-0FBE-744A-9BF0-14D22236B51B}">
      <dgm:prSet/>
      <dgm:spPr/>
      <dgm:t>
        <a:bodyPr/>
        <a:lstStyle/>
        <a:p>
          <a:endParaRPr lang="en-US"/>
        </a:p>
      </dgm:t>
    </dgm:pt>
    <dgm:pt modelId="{64912AE3-72CF-854E-9E62-9237C7B0C0BD}" type="sibTrans" cxnId="{3D3CED93-0FBE-744A-9BF0-14D22236B51B}">
      <dgm:prSet/>
      <dgm:spPr/>
      <dgm:t>
        <a:bodyPr/>
        <a:lstStyle/>
        <a:p>
          <a:endParaRPr lang="en-US"/>
        </a:p>
      </dgm:t>
    </dgm:pt>
    <dgm:pt modelId="{70863168-897A-E34C-ADE1-2AA722DB73C2}">
      <dgm:prSet/>
      <dgm:spPr/>
      <dgm:t>
        <a:bodyPr/>
        <a:lstStyle/>
        <a:p>
          <a:r>
            <a:rPr lang="en-US" dirty="0" smtClean="0"/>
            <a:t>Formal Sector Employee Contribution</a:t>
          </a:r>
          <a:endParaRPr lang="en-US" dirty="0"/>
        </a:p>
      </dgm:t>
    </dgm:pt>
    <dgm:pt modelId="{74BC16AF-583C-FD45-B311-D19A8C46D361}" type="parTrans" cxnId="{27E3940C-DF74-0944-8245-ABCAAE0243E6}">
      <dgm:prSet/>
      <dgm:spPr/>
      <dgm:t>
        <a:bodyPr/>
        <a:lstStyle/>
        <a:p>
          <a:endParaRPr lang="en-US"/>
        </a:p>
      </dgm:t>
    </dgm:pt>
    <dgm:pt modelId="{EB9342C4-9E3B-1D44-B9E6-3534D48CEE3E}" type="sibTrans" cxnId="{27E3940C-DF74-0944-8245-ABCAAE0243E6}">
      <dgm:prSet/>
      <dgm:spPr/>
      <dgm:t>
        <a:bodyPr/>
        <a:lstStyle/>
        <a:p>
          <a:endParaRPr lang="en-US"/>
        </a:p>
      </dgm:t>
    </dgm:pt>
    <dgm:pt modelId="{7D590828-FA76-C045-8E61-BA9B92F011F7}">
      <dgm:prSet/>
      <dgm:spPr/>
      <dgm:t>
        <a:bodyPr/>
        <a:lstStyle/>
        <a:p>
          <a:r>
            <a:rPr lang="en-US" dirty="0" smtClean="0"/>
            <a:t> </a:t>
          </a:r>
          <a:r>
            <a:rPr lang="en-US" dirty="0" smtClean="0">
              <a:solidFill>
                <a:schemeClr val="tx1"/>
              </a:solidFill>
            </a:rPr>
            <a:t>GOT subsidy for poor and vulnerable</a:t>
          </a:r>
          <a:endParaRPr lang="en-US" dirty="0">
            <a:solidFill>
              <a:schemeClr val="tx1"/>
            </a:solidFill>
          </a:endParaRPr>
        </a:p>
      </dgm:t>
    </dgm:pt>
    <dgm:pt modelId="{269477F7-0BEB-2F41-B017-028ED19CEB75}" type="parTrans" cxnId="{7AB7895F-2F3F-3947-B80D-6253A8130B3F}">
      <dgm:prSet/>
      <dgm:spPr/>
      <dgm:t>
        <a:bodyPr/>
        <a:lstStyle/>
        <a:p>
          <a:endParaRPr lang="en-US"/>
        </a:p>
      </dgm:t>
    </dgm:pt>
    <dgm:pt modelId="{28549BF8-1899-0A4C-A1BA-780FF1A97813}" type="sibTrans" cxnId="{7AB7895F-2F3F-3947-B80D-6253A8130B3F}">
      <dgm:prSet/>
      <dgm:spPr/>
      <dgm:t>
        <a:bodyPr/>
        <a:lstStyle/>
        <a:p>
          <a:endParaRPr lang="en-US"/>
        </a:p>
      </dgm:t>
    </dgm:pt>
    <dgm:pt modelId="{F49F3F2F-803E-3E49-BDBD-DEC5BAC3A938}">
      <dgm:prSet/>
      <dgm:spPr/>
      <dgm:t>
        <a:bodyPr/>
        <a:lstStyle/>
        <a:p>
          <a:r>
            <a:rPr lang="en-US" dirty="0" smtClean="0">
              <a:solidFill>
                <a:schemeClr val="tx1"/>
              </a:solidFill>
            </a:rPr>
            <a:t>Informal Sector Contributions </a:t>
          </a:r>
          <a:endParaRPr lang="en-US" dirty="0">
            <a:solidFill>
              <a:schemeClr val="tx1"/>
            </a:solidFill>
          </a:endParaRPr>
        </a:p>
      </dgm:t>
    </dgm:pt>
    <dgm:pt modelId="{2157267B-CAF9-D340-8F1C-21B92C922DDD}" type="parTrans" cxnId="{644A9F11-8806-5B46-868A-D78325EB193C}">
      <dgm:prSet/>
      <dgm:spPr/>
      <dgm:t>
        <a:bodyPr/>
        <a:lstStyle/>
        <a:p>
          <a:endParaRPr lang="en-US"/>
        </a:p>
      </dgm:t>
    </dgm:pt>
    <dgm:pt modelId="{7B15C312-CCD8-9E47-BD7F-BD4E15A460FD}" type="sibTrans" cxnId="{644A9F11-8806-5B46-868A-D78325EB193C}">
      <dgm:prSet/>
      <dgm:spPr/>
      <dgm:t>
        <a:bodyPr/>
        <a:lstStyle/>
        <a:p>
          <a:endParaRPr lang="en-US"/>
        </a:p>
      </dgm:t>
    </dgm:pt>
    <dgm:pt modelId="{7205EBCC-A729-4258-A7C0-39AFD7F8EF16}">
      <dgm:prSet/>
      <dgm:spPr/>
      <dgm:t>
        <a:bodyPr/>
        <a:lstStyle/>
        <a:p>
          <a:endParaRPr lang="en-US"/>
        </a:p>
      </dgm:t>
    </dgm:pt>
    <dgm:pt modelId="{40FFBE7D-D983-41DD-8888-3AC3D97ABDED}" type="parTrans" cxnId="{10E46BDE-34AD-4044-B0B4-CFA4DBF23426}">
      <dgm:prSet/>
      <dgm:spPr/>
      <dgm:t>
        <a:bodyPr/>
        <a:lstStyle/>
        <a:p>
          <a:endParaRPr lang="en-US"/>
        </a:p>
      </dgm:t>
    </dgm:pt>
    <dgm:pt modelId="{53BC4A74-CFE5-4BB6-B0D4-F2221CF208E3}" type="sibTrans" cxnId="{10E46BDE-34AD-4044-B0B4-CFA4DBF23426}">
      <dgm:prSet/>
      <dgm:spPr/>
      <dgm:t>
        <a:bodyPr/>
        <a:lstStyle/>
        <a:p>
          <a:endParaRPr lang="en-US"/>
        </a:p>
      </dgm:t>
    </dgm:pt>
    <dgm:pt modelId="{52B22569-F3BB-4B0B-9D01-FF3C369E486C}">
      <dgm:prSet/>
      <dgm:spPr/>
      <dgm:t>
        <a:bodyPr/>
        <a:lstStyle/>
        <a:p>
          <a:r>
            <a:rPr lang="en-US" dirty="0" smtClean="0"/>
            <a:t>Remainder of general revenue budget &amp; HBF</a:t>
          </a:r>
          <a:endParaRPr lang="en-US" dirty="0"/>
        </a:p>
      </dgm:t>
    </dgm:pt>
    <dgm:pt modelId="{0B680D2F-7C87-4CF4-A767-9C5FC6272819}" type="parTrans" cxnId="{9BAB0B37-3BF1-4569-9A0B-29E855583B7E}">
      <dgm:prSet/>
      <dgm:spPr/>
      <dgm:t>
        <a:bodyPr/>
        <a:lstStyle/>
        <a:p>
          <a:endParaRPr lang="en-US"/>
        </a:p>
      </dgm:t>
    </dgm:pt>
    <dgm:pt modelId="{91BC95E1-9961-495D-B906-D312758E417F}" type="sibTrans" cxnId="{9BAB0B37-3BF1-4569-9A0B-29E855583B7E}">
      <dgm:prSet/>
      <dgm:spPr/>
      <dgm:t>
        <a:bodyPr/>
        <a:lstStyle/>
        <a:p>
          <a:endParaRPr lang="en-US"/>
        </a:p>
      </dgm:t>
    </dgm:pt>
    <dgm:pt modelId="{AFC76BFD-C513-4B83-A1D3-E27F6E09280C}">
      <dgm:prSet/>
      <dgm:spPr/>
      <dgm:t>
        <a:bodyPr/>
        <a:lstStyle/>
        <a:p>
          <a:r>
            <a:rPr lang="en-US" dirty="0" smtClean="0"/>
            <a:t>Portion of OC Budget</a:t>
          </a:r>
          <a:endParaRPr lang="en-US" dirty="0"/>
        </a:p>
      </dgm:t>
    </dgm:pt>
    <dgm:pt modelId="{E5F97D5A-6A3D-4004-86CF-5A59BD8FF52B}" type="parTrans" cxnId="{EA8C2170-7B52-4F8E-A0D7-A3116FAAE28B}">
      <dgm:prSet/>
      <dgm:spPr/>
      <dgm:t>
        <a:bodyPr/>
        <a:lstStyle/>
        <a:p>
          <a:endParaRPr lang="en-US"/>
        </a:p>
      </dgm:t>
    </dgm:pt>
    <dgm:pt modelId="{FEA7EE4B-9AA5-4F7A-BEA1-EA4AB85E5B43}" type="sibTrans" cxnId="{EA8C2170-7B52-4F8E-A0D7-A3116FAAE28B}">
      <dgm:prSet/>
      <dgm:spPr/>
      <dgm:t>
        <a:bodyPr/>
        <a:lstStyle/>
        <a:p>
          <a:endParaRPr lang="en-US"/>
        </a:p>
      </dgm:t>
    </dgm:pt>
    <dgm:pt modelId="{C75D8721-6646-A94C-A785-7F7E139BF69E}" type="pres">
      <dgm:prSet presAssocID="{CAA7D97B-7F0C-4F4F-AB17-7B942A2E54E4}" presName="cycle" presStyleCnt="0">
        <dgm:presLayoutVars>
          <dgm:chMax val="1"/>
          <dgm:dir/>
          <dgm:animLvl val="ctr"/>
          <dgm:resizeHandles val="exact"/>
        </dgm:presLayoutVars>
      </dgm:prSet>
      <dgm:spPr/>
      <dgm:t>
        <a:bodyPr/>
        <a:lstStyle/>
        <a:p>
          <a:endParaRPr lang="en-US"/>
        </a:p>
      </dgm:t>
    </dgm:pt>
    <dgm:pt modelId="{102C08DC-C821-8449-A199-4BD828509AC3}" type="pres">
      <dgm:prSet presAssocID="{B9A06129-B6E7-994B-BD75-B46D996E33A5}" presName="centerShape" presStyleLbl="node0" presStyleIdx="0" presStyleCnt="1"/>
      <dgm:spPr/>
      <dgm:t>
        <a:bodyPr/>
        <a:lstStyle/>
        <a:p>
          <a:endParaRPr lang="en-US"/>
        </a:p>
      </dgm:t>
    </dgm:pt>
    <dgm:pt modelId="{3B910380-08A6-C94C-9A6D-E61ACC2E7630}" type="pres">
      <dgm:prSet presAssocID="{8F8D934C-9AC1-F047-8DC5-0E3952BB100B}" presName="parTrans" presStyleLbl="bgSibTrans2D1" presStyleIdx="0" presStyleCnt="8"/>
      <dgm:spPr/>
      <dgm:t>
        <a:bodyPr/>
        <a:lstStyle/>
        <a:p>
          <a:endParaRPr lang="en-US"/>
        </a:p>
      </dgm:t>
    </dgm:pt>
    <dgm:pt modelId="{85BD72C2-78E0-4E47-B267-C612D9A30CAE}" type="pres">
      <dgm:prSet presAssocID="{8E39B6F4-24EA-E442-B80C-4300AEF135BE}" presName="node" presStyleLbl="node1" presStyleIdx="0" presStyleCnt="8">
        <dgm:presLayoutVars>
          <dgm:bulletEnabled val="1"/>
        </dgm:presLayoutVars>
      </dgm:prSet>
      <dgm:spPr/>
      <dgm:t>
        <a:bodyPr/>
        <a:lstStyle/>
        <a:p>
          <a:endParaRPr lang="en-US"/>
        </a:p>
      </dgm:t>
    </dgm:pt>
    <dgm:pt modelId="{5AFA64CE-6AFF-47F1-841C-904E585206B7}" type="pres">
      <dgm:prSet presAssocID="{0B680D2F-7C87-4CF4-A767-9C5FC6272819}" presName="parTrans" presStyleLbl="bgSibTrans2D1" presStyleIdx="1" presStyleCnt="8"/>
      <dgm:spPr/>
      <dgm:t>
        <a:bodyPr/>
        <a:lstStyle/>
        <a:p>
          <a:endParaRPr lang="en-US"/>
        </a:p>
      </dgm:t>
    </dgm:pt>
    <dgm:pt modelId="{997DFB0E-43DE-4E3F-8344-4D6D42F6C834}" type="pres">
      <dgm:prSet presAssocID="{52B22569-F3BB-4B0B-9D01-FF3C369E486C}" presName="node" presStyleLbl="node1" presStyleIdx="1" presStyleCnt="8">
        <dgm:presLayoutVars>
          <dgm:bulletEnabled val="1"/>
        </dgm:presLayoutVars>
      </dgm:prSet>
      <dgm:spPr/>
      <dgm:t>
        <a:bodyPr/>
        <a:lstStyle/>
        <a:p>
          <a:endParaRPr lang="en-US"/>
        </a:p>
      </dgm:t>
    </dgm:pt>
    <dgm:pt modelId="{ADB67817-5B1E-4CF4-A1A0-7BB1C292E6F0}" type="pres">
      <dgm:prSet presAssocID="{E5F97D5A-6A3D-4004-86CF-5A59BD8FF52B}" presName="parTrans" presStyleLbl="bgSibTrans2D1" presStyleIdx="2" presStyleCnt="8"/>
      <dgm:spPr/>
      <dgm:t>
        <a:bodyPr/>
        <a:lstStyle/>
        <a:p>
          <a:endParaRPr lang="en-US"/>
        </a:p>
      </dgm:t>
    </dgm:pt>
    <dgm:pt modelId="{67E209D1-94B8-4087-B247-B527706B12E5}" type="pres">
      <dgm:prSet presAssocID="{AFC76BFD-C513-4B83-A1D3-E27F6E09280C}" presName="node" presStyleLbl="node1" presStyleIdx="2" presStyleCnt="8">
        <dgm:presLayoutVars>
          <dgm:bulletEnabled val="1"/>
        </dgm:presLayoutVars>
      </dgm:prSet>
      <dgm:spPr/>
      <dgm:t>
        <a:bodyPr/>
        <a:lstStyle/>
        <a:p>
          <a:endParaRPr lang="en-US"/>
        </a:p>
      </dgm:t>
    </dgm:pt>
    <dgm:pt modelId="{9980CC0E-EA59-A940-BC00-38C03661E478}" type="pres">
      <dgm:prSet presAssocID="{D1FF0F7D-962F-A245-9E82-8DB5569BA4EE}" presName="parTrans" presStyleLbl="bgSibTrans2D1" presStyleIdx="3" presStyleCnt="8"/>
      <dgm:spPr/>
      <dgm:t>
        <a:bodyPr/>
        <a:lstStyle/>
        <a:p>
          <a:endParaRPr lang="en-US"/>
        </a:p>
      </dgm:t>
    </dgm:pt>
    <dgm:pt modelId="{354F9EEC-224A-7247-86AC-66D719862EC2}" type="pres">
      <dgm:prSet presAssocID="{07AA2F70-9EFA-2A42-9CDC-E186064B4944}" presName="node" presStyleLbl="node1" presStyleIdx="3" presStyleCnt="8">
        <dgm:presLayoutVars>
          <dgm:bulletEnabled val="1"/>
        </dgm:presLayoutVars>
      </dgm:prSet>
      <dgm:spPr/>
      <dgm:t>
        <a:bodyPr/>
        <a:lstStyle/>
        <a:p>
          <a:endParaRPr lang="en-US"/>
        </a:p>
      </dgm:t>
    </dgm:pt>
    <dgm:pt modelId="{7A6F357B-ED07-F14C-9154-6ED300E95B0A}" type="pres">
      <dgm:prSet presAssocID="{41D97B00-3600-E64D-B396-4D793D174401}" presName="parTrans" presStyleLbl="bgSibTrans2D1" presStyleIdx="4" presStyleCnt="8"/>
      <dgm:spPr/>
      <dgm:t>
        <a:bodyPr/>
        <a:lstStyle/>
        <a:p>
          <a:endParaRPr lang="en-US"/>
        </a:p>
      </dgm:t>
    </dgm:pt>
    <dgm:pt modelId="{B6E94BBF-6127-B344-BC39-8D903A0C8E9F}" type="pres">
      <dgm:prSet presAssocID="{62CBCB17-7235-EC4C-AF66-7FF488FF1796}" presName="node" presStyleLbl="node1" presStyleIdx="4" presStyleCnt="8">
        <dgm:presLayoutVars>
          <dgm:bulletEnabled val="1"/>
        </dgm:presLayoutVars>
      </dgm:prSet>
      <dgm:spPr/>
      <dgm:t>
        <a:bodyPr/>
        <a:lstStyle/>
        <a:p>
          <a:endParaRPr lang="en-US"/>
        </a:p>
      </dgm:t>
    </dgm:pt>
    <dgm:pt modelId="{B0D273AB-376F-D747-ABC3-F20D65AC07FA}" type="pres">
      <dgm:prSet presAssocID="{74BC16AF-583C-FD45-B311-D19A8C46D361}" presName="parTrans" presStyleLbl="bgSibTrans2D1" presStyleIdx="5" presStyleCnt="8"/>
      <dgm:spPr/>
      <dgm:t>
        <a:bodyPr/>
        <a:lstStyle/>
        <a:p>
          <a:endParaRPr lang="en-US"/>
        </a:p>
      </dgm:t>
    </dgm:pt>
    <dgm:pt modelId="{683E0B38-B2C3-D64A-A73D-513E16562CEB}" type="pres">
      <dgm:prSet presAssocID="{70863168-897A-E34C-ADE1-2AA722DB73C2}" presName="node" presStyleLbl="node1" presStyleIdx="5" presStyleCnt="8">
        <dgm:presLayoutVars>
          <dgm:bulletEnabled val="1"/>
        </dgm:presLayoutVars>
      </dgm:prSet>
      <dgm:spPr/>
      <dgm:t>
        <a:bodyPr/>
        <a:lstStyle/>
        <a:p>
          <a:endParaRPr lang="en-US"/>
        </a:p>
      </dgm:t>
    </dgm:pt>
    <dgm:pt modelId="{955D7EA7-DE60-F644-9EDE-41D243DBBD1F}" type="pres">
      <dgm:prSet presAssocID="{269477F7-0BEB-2F41-B017-028ED19CEB75}" presName="parTrans" presStyleLbl="bgSibTrans2D1" presStyleIdx="6" presStyleCnt="8"/>
      <dgm:spPr/>
      <dgm:t>
        <a:bodyPr/>
        <a:lstStyle/>
        <a:p>
          <a:endParaRPr lang="en-US"/>
        </a:p>
      </dgm:t>
    </dgm:pt>
    <dgm:pt modelId="{EA2B6ADA-032D-0E41-9F77-9A54ABBB30FD}" type="pres">
      <dgm:prSet presAssocID="{7D590828-FA76-C045-8E61-BA9B92F011F7}" presName="node" presStyleLbl="node1" presStyleIdx="6" presStyleCnt="8">
        <dgm:presLayoutVars>
          <dgm:bulletEnabled val="1"/>
        </dgm:presLayoutVars>
      </dgm:prSet>
      <dgm:spPr/>
      <dgm:t>
        <a:bodyPr/>
        <a:lstStyle/>
        <a:p>
          <a:endParaRPr lang="en-US"/>
        </a:p>
      </dgm:t>
    </dgm:pt>
    <dgm:pt modelId="{7C6BBB14-CB86-0342-90E4-D9DB470183BF}" type="pres">
      <dgm:prSet presAssocID="{2157267B-CAF9-D340-8F1C-21B92C922DDD}" presName="parTrans" presStyleLbl="bgSibTrans2D1" presStyleIdx="7" presStyleCnt="8"/>
      <dgm:spPr/>
      <dgm:t>
        <a:bodyPr/>
        <a:lstStyle/>
        <a:p>
          <a:endParaRPr lang="en-US"/>
        </a:p>
      </dgm:t>
    </dgm:pt>
    <dgm:pt modelId="{4CED1996-700E-D041-93CC-A71D8E994328}" type="pres">
      <dgm:prSet presAssocID="{F49F3F2F-803E-3E49-BDBD-DEC5BAC3A938}" presName="node" presStyleLbl="node1" presStyleIdx="7" presStyleCnt="8">
        <dgm:presLayoutVars>
          <dgm:bulletEnabled val="1"/>
        </dgm:presLayoutVars>
      </dgm:prSet>
      <dgm:spPr/>
      <dgm:t>
        <a:bodyPr/>
        <a:lstStyle/>
        <a:p>
          <a:endParaRPr lang="en-US"/>
        </a:p>
      </dgm:t>
    </dgm:pt>
  </dgm:ptLst>
  <dgm:cxnLst>
    <dgm:cxn modelId="{2EB700EE-52D1-4355-83AC-EA33B4E74783}" type="presOf" srcId="{F49F3F2F-803E-3E49-BDBD-DEC5BAC3A938}" destId="{4CED1996-700E-D041-93CC-A71D8E994328}" srcOrd="0" destOrd="0" presId="urn:microsoft.com/office/officeart/2005/8/layout/radial4"/>
    <dgm:cxn modelId="{7A466ADD-56CC-1B44-80B3-6EF2C4675EF6}" srcId="{B9A06129-B6E7-994B-BD75-B46D996E33A5}" destId="{8E39B6F4-24EA-E442-B80C-4300AEF135BE}" srcOrd="0" destOrd="0" parTransId="{8F8D934C-9AC1-F047-8DC5-0E3952BB100B}" sibTransId="{188DEBDE-7562-574A-9537-DD3164A0462D}"/>
    <dgm:cxn modelId="{44EB5D5C-9C6B-49A6-A6BA-71E08F27F8D0}" type="presOf" srcId="{41D97B00-3600-E64D-B396-4D793D174401}" destId="{7A6F357B-ED07-F14C-9154-6ED300E95B0A}" srcOrd="0" destOrd="0" presId="urn:microsoft.com/office/officeart/2005/8/layout/radial4"/>
    <dgm:cxn modelId="{6780879B-AA5F-4049-A769-70D1DC61DE52}" type="presOf" srcId="{0B680D2F-7C87-4CF4-A767-9C5FC6272819}" destId="{5AFA64CE-6AFF-47F1-841C-904E585206B7}" srcOrd="0" destOrd="0" presId="urn:microsoft.com/office/officeart/2005/8/layout/radial4"/>
    <dgm:cxn modelId="{8E83A604-9D73-42E8-8568-EC2490A70A45}" type="presOf" srcId="{E5F97D5A-6A3D-4004-86CF-5A59BD8FF52B}" destId="{ADB67817-5B1E-4CF4-A1A0-7BB1C292E6F0}" srcOrd="0" destOrd="0" presId="urn:microsoft.com/office/officeart/2005/8/layout/radial4"/>
    <dgm:cxn modelId="{7AB7895F-2F3F-3947-B80D-6253A8130B3F}" srcId="{B9A06129-B6E7-994B-BD75-B46D996E33A5}" destId="{7D590828-FA76-C045-8E61-BA9B92F011F7}" srcOrd="6" destOrd="0" parTransId="{269477F7-0BEB-2F41-B017-028ED19CEB75}" sibTransId="{28549BF8-1899-0A4C-A1BA-780FF1A97813}"/>
    <dgm:cxn modelId="{550A80D9-8989-CF4D-AE3B-51749B1518A7}" srcId="{B9A06129-B6E7-994B-BD75-B46D996E33A5}" destId="{07AA2F70-9EFA-2A42-9CDC-E186064B4944}" srcOrd="3" destOrd="0" parTransId="{D1FF0F7D-962F-A245-9E82-8DB5569BA4EE}" sibTransId="{35AC39D7-0626-9845-BBF5-92AFFFAC5123}"/>
    <dgm:cxn modelId="{12784546-209B-4888-BD2E-4BBA75727C25}" type="presOf" srcId="{7D590828-FA76-C045-8E61-BA9B92F011F7}" destId="{EA2B6ADA-032D-0E41-9F77-9A54ABBB30FD}" srcOrd="0" destOrd="0" presId="urn:microsoft.com/office/officeart/2005/8/layout/radial4"/>
    <dgm:cxn modelId="{27E3940C-DF74-0944-8245-ABCAAE0243E6}" srcId="{B9A06129-B6E7-994B-BD75-B46D996E33A5}" destId="{70863168-897A-E34C-ADE1-2AA722DB73C2}" srcOrd="5" destOrd="0" parTransId="{74BC16AF-583C-FD45-B311-D19A8C46D361}" sibTransId="{EB9342C4-9E3B-1D44-B9E6-3534D48CEE3E}"/>
    <dgm:cxn modelId="{644A9F11-8806-5B46-868A-D78325EB193C}" srcId="{B9A06129-B6E7-994B-BD75-B46D996E33A5}" destId="{F49F3F2F-803E-3E49-BDBD-DEC5BAC3A938}" srcOrd="7" destOrd="0" parTransId="{2157267B-CAF9-D340-8F1C-21B92C922DDD}" sibTransId="{7B15C312-CCD8-9E47-BD7F-BD4E15A460FD}"/>
    <dgm:cxn modelId="{AE605E30-902B-4F8B-8E0D-883BF3F9B92B}" type="presOf" srcId="{D1FF0F7D-962F-A245-9E82-8DB5569BA4EE}" destId="{9980CC0E-EA59-A940-BC00-38C03661E478}" srcOrd="0" destOrd="0" presId="urn:microsoft.com/office/officeart/2005/8/layout/radial4"/>
    <dgm:cxn modelId="{96D32A6E-B6D1-FA49-B391-92F547CC8CAE}" srcId="{CAA7D97B-7F0C-4F4F-AB17-7B942A2E54E4}" destId="{B9A06129-B6E7-994B-BD75-B46D996E33A5}" srcOrd="0" destOrd="0" parTransId="{AE7F76EC-CADF-EC47-A0FE-9BBF94545A49}" sibTransId="{4043CD2E-DF32-8B4C-AA9C-78E523534039}"/>
    <dgm:cxn modelId="{15CD463D-2E4C-435C-A917-BAAD450DF105}" type="presOf" srcId="{269477F7-0BEB-2F41-B017-028ED19CEB75}" destId="{955D7EA7-DE60-F644-9EDE-41D243DBBD1F}" srcOrd="0" destOrd="0" presId="urn:microsoft.com/office/officeart/2005/8/layout/radial4"/>
    <dgm:cxn modelId="{908BCFA6-525D-41F8-BDB2-B2D18D8EC0A4}" type="presOf" srcId="{52B22569-F3BB-4B0B-9D01-FF3C369E486C}" destId="{997DFB0E-43DE-4E3F-8344-4D6D42F6C834}" srcOrd="0" destOrd="0" presId="urn:microsoft.com/office/officeart/2005/8/layout/radial4"/>
    <dgm:cxn modelId="{43F60E45-BC9C-4A42-A1C6-267A00AE1E0C}" type="presOf" srcId="{8F8D934C-9AC1-F047-8DC5-0E3952BB100B}" destId="{3B910380-08A6-C94C-9A6D-E61ACC2E7630}" srcOrd="0" destOrd="0" presId="urn:microsoft.com/office/officeart/2005/8/layout/radial4"/>
    <dgm:cxn modelId="{10E46BDE-34AD-4044-B0B4-CFA4DBF23426}" srcId="{CAA7D97B-7F0C-4F4F-AB17-7B942A2E54E4}" destId="{7205EBCC-A729-4258-A7C0-39AFD7F8EF16}" srcOrd="1" destOrd="0" parTransId="{40FFBE7D-D983-41DD-8888-3AC3D97ABDED}" sibTransId="{53BC4A74-CFE5-4BB6-B0D4-F2221CF208E3}"/>
    <dgm:cxn modelId="{A37D1607-37CB-4AB0-9926-5C590014D5D6}" type="presOf" srcId="{74BC16AF-583C-FD45-B311-D19A8C46D361}" destId="{B0D273AB-376F-D747-ABC3-F20D65AC07FA}" srcOrd="0" destOrd="0" presId="urn:microsoft.com/office/officeart/2005/8/layout/radial4"/>
    <dgm:cxn modelId="{61E7425C-C626-4C7A-A32D-996B877FA470}" type="presOf" srcId="{2157267B-CAF9-D340-8F1C-21B92C922DDD}" destId="{7C6BBB14-CB86-0342-90E4-D9DB470183BF}" srcOrd="0" destOrd="0" presId="urn:microsoft.com/office/officeart/2005/8/layout/radial4"/>
    <dgm:cxn modelId="{EA8C2170-7B52-4F8E-A0D7-A3116FAAE28B}" srcId="{B9A06129-B6E7-994B-BD75-B46D996E33A5}" destId="{AFC76BFD-C513-4B83-A1D3-E27F6E09280C}" srcOrd="2" destOrd="0" parTransId="{E5F97D5A-6A3D-4004-86CF-5A59BD8FF52B}" sibTransId="{FEA7EE4B-9AA5-4F7A-BEA1-EA4AB85E5B43}"/>
    <dgm:cxn modelId="{65BBFFA6-F75F-420C-8108-1E59126C34ED}" type="presOf" srcId="{62CBCB17-7235-EC4C-AF66-7FF488FF1796}" destId="{B6E94BBF-6127-B344-BC39-8D903A0C8E9F}" srcOrd="0" destOrd="0" presId="urn:microsoft.com/office/officeart/2005/8/layout/radial4"/>
    <dgm:cxn modelId="{3D3CED93-0FBE-744A-9BF0-14D22236B51B}" srcId="{B9A06129-B6E7-994B-BD75-B46D996E33A5}" destId="{62CBCB17-7235-EC4C-AF66-7FF488FF1796}" srcOrd="4" destOrd="0" parTransId="{41D97B00-3600-E64D-B396-4D793D174401}" sibTransId="{64912AE3-72CF-854E-9E62-9237C7B0C0BD}"/>
    <dgm:cxn modelId="{032179A1-DADB-40C1-B644-D2F1B5F3E67D}" type="presOf" srcId="{AFC76BFD-C513-4B83-A1D3-E27F6E09280C}" destId="{67E209D1-94B8-4087-B247-B527706B12E5}" srcOrd="0" destOrd="0" presId="urn:microsoft.com/office/officeart/2005/8/layout/radial4"/>
    <dgm:cxn modelId="{D9544BF7-E635-4006-900A-5BE42A4A0A9A}" type="presOf" srcId="{70863168-897A-E34C-ADE1-2AA722DB73C2}" destId="{683E0B38-B2C3-D64A-A73D-513E16562CEB}" srcOrd="0" destOrd="0" presId="urn:microsoft.com/office/officeart/2005/8/layout/radial4"/>
    <dgm:cxn modelId="{18FCC149-0D4F-4FE2-B858-1A1C8C937372}" type="presOf" srcId="{07AA2F70-9EFA-2A42-9CDC-E186064B4944}" destId="{354F9EEC-224A-7247-86AC-66D719862EC2}" srcOrd="0" destOrd="0" presId="urn:microsoft.com/office/officeart/2005/8/layout/radial4"/>
    <dgm:cxn modelId="{195BF40D-CAE1-4FF4-AC7D-6DE41C09D7EB}" type="presOf" srcId="{B9A06129-B6E7-994B-BD75-B46D996E33A5}" destId="{102C08DC-C821-8449-A199-4BD828509AC3}" srcOrd="0" destOrd="0" presId="urn:microsoft.com/office/officeart/2005/8/layout/radial4"/>
    <dgm:cxn modelId="{F5272718-F94D-4AC1-89E8-3C25CB85412E}" type="presOf" srcId="{8E39B6F4-24EA-E442-B80C-4300AEF135BE}" destId="{85BD72C2-78E0-4E47-B267-C612D9A30CAE}" srcOrd="0" destOrd="0" presId="urn:microsoft.com/office/officeart/2005/8/layout/radial4"/>
    <dgm:cxn modelId="{9BAB0B37-3BF1-4569-9A0B-29E855583B7E}" srcId="{B9A06129-B6E7-994B-BD75-B46D996E33A5}" destId="{52B22569-F3BB-4B0B-9D01-FF3C369E486C}" srcOrd="1" destOrd="0" parTransId="{0B680D2F-7C87-4CF4-A767-9C5FC6272819}" sibTransId="{91BC95E1-9961-495D-B906-D312758E417F}"/>
    <dgm:cxn modelId="{14B46ED4-1B41-4EC1-A4B0-6CE22B53AE44}" type="presOf" srcId="{CAA7D97B-7F0C-4F4F-AB17-7B942A2E54E4}" destId="{C75D8721-6646-A94C-A785-7F7E139BF69E}" srcOrd="0" destOrd="0" presId="urn:microsoft.com/office/officeart/2005/8/layout/radial4"/>
    <dgm:cxn modelId="{E7C4B1B8-1220-41EE-8CD5-9277E548100E}" type="presParOf" srcId="{C75D8721-6646-A94C-A785-7F7E139BF69E}" destId="{102C08DC-C821-8449-A199-4BD828509AC3}" srcOrd="0" destOrd="0" presId="urn:microsoft.com/office/officeart/2005/8/layout/radial4"/>
    <dgm:cxn modelId="{AF53FB09-8F2B-422A-AB7E-52AB47D62C9B}" type="presParOf" srcId="{C75D8721-6646-A94C-A785-7F7E139BF69E}" destId="{3B910380-08A6-C94C-9A6D-E61ACC2E7630}" srcOrd="1" destOrd="0" presId="urn:microsoft.com/office/officeart/2005/8/layout/radial4"/>
    <dgm:cxn modelId="{8DC21C45-9DE2-4AD4-A858-701F8202102D}" type="presParOf" srcId="{C75D8721-6646-A94C-A785-7F7E139BF69E}" destId="{85BD72C2-78E0-4E47-B267-C612D9A30CAE}" srcOrd="2" destOrd="0" presId="urn:microsoft.com/office/officeart/2005/8/layout/radial4"/>
    <dgm:cxn modelId="{F807A1CA-3DC1-459D-A8FA-4E22393F3C08}" type="presParOf" srcId="{C75D8721-6646-A94C-A785-7F7E139BF69E}" destId="{5AFA64CE-6AFF-47F1-841C-904E585206B7}" srcOrd="3" destOrd="0" presId="urn:microsoft.com/office/officeart/2005/8/layout/radial4"/>
    <dgm:cxn modelId="{8B1E6115-036A-41F8-8AFF-CFA5F9ED904C}" type="presParOf" srcId="{C75D8721-6646-A94C-A785-7F7E139BF69E}" destId="{997DFB0E-43DE-4E3F-8344-4D6D42F6C834}" srcOrd="4" destOrd="0" presId="urn:microsoft.com/office/officeart/2005/8/layout/radial4"/>
    <dgm:cxn modelId="{4EB231DA-9B23-4CEF-9F8D-9D5D707ED88E}" type="presParOf" srcId="{C75D8721-6646-A94C-A785-7F7E139BF69E}" destId="{ADB67817-5B1E-4CF4-A1A0-7BB1C292E6F0}" srcOrd="5" destOrd="0" presId="urn:microsoft.com/office/officeart/2005/8/layout/radial4"/>
    <dgm:cxn modelId="{65512AEC-7658-4D27-9ABC-24B3CC726012}" type="presParOf" srcId="{C75D8721-6646-A94C-A785-7F7E139BF69E}" destId="{67E209D1-94B8-4087-B247-B527706B12E5}" srcOrd="6" destOrd="0" presId="urn:microsoft.com/office/officeart/2005/8/layout/radial4"/>
    <dgm:cxn modelId="{6EDD863B-9349-43FE-92D0-A82C964E05B3}" type="presParOf" srcId="{C75D8721-6646-A94C-A785-7F7E139BF69E}" destId="{9980CC0E-EA59-A940-BC00-38C03661E478}" srcOrd="7" destOrd="0" presId="urn:microsoft.com/office/officeart/2005/8/layout/radial4"/>
    <dgm:cxn modelId="{9D30B1C7-25B6-44CF-9549-D674727427CE}" type="presParOf" srcId="{C75D8721-6646-A94C-A785-7F7E139BF69E}" destId="{354F9EEC-224A-7247-86AC-66D719862EC2}" srcOrd="8" destOrd="0" presId="urn:microsoft.com/office/officeart/2005/8/layout/radial4"/>
    <dgm:cxn modelId="{86087E96-3903-4D13-BAC8-16017D7170C8}" type="presParOf" srcId="{C75D8721-6646-A94C-A785-7F7E139BF69E}" destId="{7A6F357B-ED07-F14C-9154-6ED300E95B0A}" srcOrd="9" destOrd="0" presId="urn:microsoft.com/office/officeart/2005/8/layout/radial4"/>
    <dgm:cxn modelId="{201E08DB-7120-4FA9-965C-8C758D878AAC}" type="presParOf" srcId="{C75D8721-6646-A94C-A785-7F7E139BF69E}" destId="{B6E94BBF-6127-B344-BC39-8D903A0C8E9F}" srcOrd="10" destOrd="0" presId="urn:microsoft.com/office/officeart/2005/8/layout/radial4"/>
    <dgm:cxn modelId="{7B86530A-5E2B-431B-8B7B-E1E396EBD0EC}" type="presParOf" srcId="{C75D8721-6646-A94C-A785-7F7E139BF69E}" destId="{B0D273AB-376F-D747-ABC3-F20D65AC07FA}" srcOrd="11" destOrd="0" presId="urn:microsoft.com/office/officeart/2005/8/layout/radial4"/>
    <dgm:cxn modelId="{2346EC76-F7B8-4112-ADE4-B7E550C15790}" type="presParOf" srcId="{C75D8721-6646-A94C-A785-7F7E139BF69E}" destId="{683E0B38-B2C3-D64A-A73D-513E16562CEB}" srcOrd="12" destOrd="0" presId="urn:microsoft.com/office/officeart/2005/8/layout/radial4"/>
    <dgm:cxn modelId="{911B962B-8780-43BB-9C95-24BE3BDFDEE8}" type="presParOf" srcId="{C75D8721-6646-A94C-A785-7F7E139BF69E}" destId="{955D7EA7-DE60-F644-9EDE-41D243DBBD1F}" srcOrd="13" destOrd="0" presId="urn:microsoft.com/office/officeart/2005/8/layout/radial4"/>
    <dgm:cxn modelId="{EC30B573-51D6-4600-ADEB-59C03DA192CA}" type="presParOf" srcId="{C75D8721-6646-A94C-A785-7F7E139BF69E}" destId="{EA2B6ADA-032D-0E41-9F77-9A54ABBB30FD}" srcOrd="14" destOrd="0" presId="urn:microsoft.com/office/officeart/2005/8/layout/radial4"/>
    <dgm:cxn modelId="{4DF88D67-33E8-42D0-BF3F-FC64563D546F}" type="presParOf" srcId="{C75D8721-6646-A94C-A785-7F7E139BF69E}" destId="{7C6BBB14-CB86-0342-90E4-D9DB470183BF}" srcOrd="15" destOrd="0" presId="urn:microsoft.com/office/officeart/2005/8/layout/radial4"/>
    <dgm:cxn modelId="{AC5ECDC9-321F-4689-B8A5-7239421A5603}" type="presParOf" srcId="{C75D8721-6646-A94C-A785-7F7E139BF69E}" destId="{4CED1996-700E-D041-93CC-A71D8E994328}" srcOrd="16" destOrd="0" presId="urn:microsoft.com/office/officeart/2005/8/layout/radial4"/>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02C08DC-C821-8449-A199-4BD828509AC3}">
      <dsp:nvSpPr>
        <dsp:cNvPr id="0" name=""/>
        <dsp:cNvSpPr/>
      </dsp:nvSpPr>
      <dsp:spPr>
        <a:xfrm>
          <a:off x="2429562" y="1777463"/>
          <a:ext cx="1084474" cy="1084474"/>
        </a:xfrm>
        <a:prstGeom prst="ellipse">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8415" tIns="18415" rIns="18415" bIns="18415" numCol="1" spcCol="1270" anchor="ctr" anchorCtr="0">
          <a:noAutofit/>
        </a:bodyPr>
        <a:lstStyle/>
        <a:p>
          <a:pPr lvl="0" algn="ctr" defTabSz="1289050">
            <a:lnSpc>
              <a:spcPct val="90000"/>
            </a:lnSpc>
            <a:spcBef>
              <a:spcPct val="0"/>
            </a:spcBef>
            <a:spcAft>
              <a:spcPct val="35000"/>
            </a:spcAft>
          </a:pPr>
          <a:r>
            <a:rPr lang="en-US" sz="2900" kern="1200" dirty="0" smtClean="0"/>
            <a:t>SNHI</a:t>
          </a:r>
          <a:endParaRPr lang="en-US" sz="2900" kern="1200" dirty="0"/>
        </a:p>
      </dsp:txBody>
      <dsp:txXfrm>
        <a:off x="2588380" y="1936281"/>
        <a:ext cx="766838" cy="766838"/>
      </dsp:txXfrm>
    </dsp:sp>
    <dsp:sp modelId="{3B910380-08A6-C94C-9A6D-E61ACC2E7630}">
      <dsp:nvSpPr>
        <dsp:cNvPr id="0" name=""/>
        <dsp:cNvSpPr/>
      </dsp:nvSpPr>
      <dsp:spPr>
        <a:xfrm rot="10800000">
          <a:off x="904563" y="2165163"/>
          <a:ext cx="1441123" cy="309075"/>
        </a:xfrm>
        <a:prstGeom prst="lef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5BD72C2-78E0-4E47-B267-C612D9A30CAE}">
      <dsp:nvSpPr>
        <dsp:cNvPr id="0" name=""/>
        <dsp:cNvSpPr/>
      </dsp:nvSpPr>
      <dsp:spPr>
        <a:xfrm>
          <a:off x="524997" y="2016047"/>
          <a:ext cx="759132" cy="607305"/>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7145" rIns="17145" bIns="17145" numCol="1" spcCol="1270" anchor="ctr" anchorCtr="0">
          <a:noAutofit/>
        </a:bodyPr>
        <a:lstStyle/>
        <a:p>
          <a:pPr lvl="0" algn="ctr" defTabSz="400050">
            <a:lnSpc>
              <a:spcPct val="90000"/>
            </a:lnSpc>
            <a:spcBef>
              <a:spcPct val="0"/>
            </a:spcBef>
            <a:spcAft>
              <a:spcPct val="35000"/>
            </a:spcAft>
          </a:pPr>
          <a:r>
            <a:rPr lang="en-US" sz="900" kern="1200" dirty="0" smtClean="0"/>
            <a:t>Other vertical or parallel programs or funding</a:t>
          </a:r>
          <a:endParaRPr lang="en-US" sz="900" kern="1200" dirty="0"/>
        </a:p>
      </dsp:txBody>
      <dsp:txXfrm>
        <a:off x="542784" y="2033834"/>
        <a:ext cx="723558" cy="571731"/>
      </dsp:txXfrm>
    </dsp:sp>
    <dsp:sp modelId="{5AFA64CE-6AFF-47F1-841C-904E585206B7}">
      <dsp:nvSpPr>
        <dsp:cNvPr id="0" name=""/>
        <dsp:cNvSpPr/>
      </dsp:nvSpPr>
      <dsp:spPr>
        <a:xfrm rot="12342857">
          <a:off x="1037926" y="1580863"/>
          <a:ext cx="1441123" cy="309075"/>
        </a:xfrm>
        <a:prstGeom prst="leftArrow">
          <a:avLst>
            <a:gd name="adj1" fmla="val 60000"/>
            <a:gd name="adj2" fmla="val 50000"/>
          </a:avLst>
        </a:prstGeom>
        <a:solidFill>
          <a:schemeClr val="accent4">
            <a:hueOff val="-637824"/>
            <a:satOff val="3843"/>
            <a:lumOff val="308"/>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97DFB0E-43DE-4E3F-8344-4D6D42F6C834}">
      <dsp:nvSpPr>
        <dsp:cNvPr id="0" name=""/>
        <dsp:cNvSpPr/>
      </dsp:nvSpPr>
      <dsp:spPr>
        <a:xfrm>
          <a:off x="729718" y="1119107"/>
          <a:ext cx="759132" cy="607305"/>
        </a:xfrm>
        <a:prstGeom prst="roundRect">
          <a:avLst>
            <a:gd name="adj" fmla="val 10000"/>
          </a:avLst>
        </a:prstGeom>
        <a:solidFill>
          <a:schemeClr val="accent4">
            <a:hueOff val="-637824"/>
            <a:satOff val="3843"/>
            <a:lumOff val="30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7145" rIns="17145" bIns="17145" numCol="1" spcCol="1270" anchor="ctr" anchorCtr="0">
          <a:noAutofit/>
        </a:bodyPr>
        <a:lstStyle/>
        <a:p>
          <a:pPr lvl="0" algn="ctr" defTabSz="400050">
            <a:lnSpc>
              <a:spcPct val="90000"/>
            </a:lnSpc>
            <a:spcBef>
              <a:spcPct val="0"/>
            </a:spcBef>
            <a:spcAft>
              <a:spcPct val="35000"/>
            </a:spcAft>
          </a:pPr>
          <a:r>
            <a:rPr lang="en-US" sz="900" kern="1200" dirty="0" smtClean="0"/>
            <a:t>Remainder of general revenue budget &amp; HBF</a:t>
          </a:r>
          <a:endParaRPr lang="en-US" sz="900" kern="1200" dirty="0"/>
        </a:p>
      </dsp:txBody>
      <dsp:txXfrm>
        <a:off x="747505" y="1136894"/>
        <a:ext cx="723558" cy="571731"/>
      </dsp:txXfrm>
    </dsp:sp>
    <dsp:sp modelId="{ADB67817-5B1E-4CF4-A1A0-7BB1C292E6F0}">
      <dsp:nvSpPr>
        <dsp:cNvPr id="0" name=""/>
        <dsp:cNvSpPr/>
      </dsp:nvSpPr>
      <dsp:spPr>
        <a:xfrm rot="13885714">
          <a:off x="1411600" y="1112290"/>
          <a:ext cx="1441123" cy="309075"/>
        </a:xfrm>
        <a:prstGeom prst="leftArrow">
          <a:avLst>
            <a:gd name="adj1" fmla="val 60000"/>
            <a:gd name="adj2" fmla="val 50000"/>
          </a:avLst>
        </a:prstGeom>
        <a:solidFill>
          <a:schemeClr val="accent4">
            <a:hueOff val="-1275649"/>
            <a:satOff val="7685"/>
            <a:lumOff val="616"/>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7E209D1-94B8-4087-B247-B527706B12E5}">
      <dsp:nvSpPr>
        <dsp:cNvPr id="0" name=""/>
        <dsp:cNvSpPr/>
      </dsp:nvSpPr>
      <dsp:spPr>
        <a:xfrm>
          <a:off x="1303333" y="399817"/>
          <a:ext cx="759132" cy="607305"/>
        </a:xfrm>
        <a:prstGeom prst="roundRect">
          <a:avLst>
            <a:gd name="adj" fmla="val 10000"/>
          </a:avLst>
        </a:prstGeom>
        <a:solidFill>
          <a:schemeClr val="accent4">
            <a:hueOff val="-1275649"/>
            <a:satOff val="7685"/>
            <a:lumOff val="61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7145" rIns="17145" bIns="17145" numCol="1" spcCol="1270" anchor="ctr" anchorCtr="0">
          <a:noAutofit/>
        </a:bodyPr>
        <a:lstStyle/>
        <a:p>
          <a:pPr lvl="0" algn="ctr" defTabSz="400050">
            <a:lnSpc>
              <a:spcPct val="90000"/>
            </a:lnSpc>
            <a:spcBef>
              <a:spcPct val="0"/>
            </a:spcBef>
            <a:spcAft>
              <a:spcPct val="35000"/>
            </a:spcAft>
          </a:pPr>
          <a:r>
            <a:rPr lang="en-US" sz="900" kern="1200" dirty="0" smtClean="0"/>
            <a:t>Portion of OC Budget</a:t>
          </a:r>
          <a:endParaRPr lang="en-US" sz="900" kern="1200" dirty="0"/>
        </a:p>
      </dsp:txBody>
      <dsp:txXfrm>
        <a:off x="1321120" y="417604"/>
        <a:ext cx="723558" cy="571731"/>
      </dsp:txXfrm>
    </dsp:sp>
    <dsp:sp modelId="{9980CC0E-EA59-A940-BC00-38C03661E478}">
      <dsp:nvSpPr>
        <dsp:cNvPr id="0" name=""/>
        <dsp:cNvSpPr/>
      </dsp:nvSpPr>
      <dsp:spPr>
        <a:xfrm rot="15428571">
          <a:off x="1951574" y="852252"/>
          <a:ext cx="1441123" cy="309075"/>
        </a:xfrm>
        <a:prstGeom prst="leftArrow">
          <a:avLst>
            <a:gd name="adj1" fmla="val 60000"/>
            <a:gd name="adj2" fmla="val 50000"/>
          </a:avLst>
        </a:prstGeom>
        <a:solidFill>
          <a:schemeClr val="accent4">
            <a:hueOff val="-1913473"/>
            <a:satOff val="11528"/>
            <a:lumOff val="924"/>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54F9EEC-224A-7247-86AC-66D719862EC2}">
      <dsp:nvSpPr>
        <dsp:cNvPr id="0" name=""/>
        <dsp:cNvSpPr/>
      </dsp:nvSpPr>
      <dsp:spPr>
        <a:xfrm>
          <a:off x="2132230" y="641"/>
          <a:ext cx="759132" cy="607305"/>
        </a:xfrm>
        <a:prstGeom prst="roundRect">
          <a:avLst>
            <a:gd name="adj" fmla="val 10000"/>
          </a:avLst>
        </a:prstGeom>
        <a:solidFill>
          <a:schemeClr val="accent4">
            <a:hueOff val="-1913473"/>
            <a:satOff val="11528"/>
            <a:lumOff val="92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7145" rIns="17145" bIns="17145" numCol="1" spcCol="1270" anchor="ctr" anchorCtr="0">
          <a:noAutofit/>
        </a:bodyPr>
        <a:lstStyle/>
        <a:p>
          <a:pPr lvl="0" algn="ctr" defTabSz="400050">
            <a:lnSpc>
              <a:spcPct val="90000"/>
            </a:lnSpc>
            <a:spcBef>
              <a:spcPct val="0"/>
            </a:spcBef>
            <a:spcAft>
              <a:spcPct val="35000"/>
            </a:spcAft>
          </a:pPr>
          <a:r>
            <a:rPr lang="en-US" sz="900" kern="1200" dirty="0" smtClean="0"/>
            <a:t>AIDS Trust Fund</a:t>
          </a:r>
          <a:endParaRPr lang="en-US" sz="900" kern="1200" dirty="0"/>
        </a:p>
      </dsp:txBody>
      <dsp:txXfrm>
        <a:off x="2150017" y="18428"/>
        <a:ext cx="723558" cy="571731"/>
      </dsp:txXfrm>
    </dsp:sp>
    <dsp:sp modelId="{7A6F357B-ED07-F14C-9154-6ED300E95B0A}">
      <dsp:nvSpPr>
        <dsp:cNvPr id="0" name=""/>
        <dsp:cNvSpPr/>
      </dsp:nvSpPr>
      <dsp:spPr>
        <a:xfrm rot="16971429">
          <a:off x="2550901" y="852252"/>
          <a:ext cx="1441123" cy="309075"/>
        </a:xfrm>
        <a:prstGeom prst="leftArrow">
          <a:avLst>
            <a:gd name="adj1" fmla="val 60000"/>
            <a:gd name="adj2" fmla="val 50000"/>
          </a:avLst>
        </a:prstGeom>
        <a:solidFill>
          <a:schemeClr val="accent4">
            <a:hueOff val="-2551297"/>
            <a:satOff val="15371"/>
            <a:lumOff val="1232"/>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6E94BBF-6127-B344-BC39-8D903A0C8E9F}">
      <dsp:nvSpPr>
        <dsp:cNvPr id="0" name=""/>
        <dsp:cNvSpPr/>
      </dsp:nvSpPr>
      <dsp:spPr>
        <a:xfrm>
          <a:off x="3052237" y="641"/>
          <a:ext cx="759132" cy="607305"/>
        </a:xfrm>
        <a:prstGeom prst="roundRect">
          <a:avLst>
            <a:gd name="adj" fmla="val 10000"/>
          </a:avLst>
        </a:prstGeom>
        <a:solidFill>
          <a:schemeClr val="accent4">
            <a:hueOff val="-2551297"/>
            <a:satOff val="15371"/>
            <a:lumOff val="123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7145" rIns="17145" bIns="17145" numCol="1" spcCol="1270" anchor="ctr" anchorCtr="0">
          <a:noAutofit/>
        </a:bodyPr>
        <a:lstStyle/>
        <a:p>
          <a:pPr lvl="0" algn="ctr" defTabSz="400050">
            <a:lnSpc>
              <a:spcPct val="90000"/>
            </a:lnSpc>
            <a:spcBef>
              <a:spcPct val="0"/>
            </a:spcBef>
            <a:spcAft>
              <a:spcPct val="35000"/>
            </a:spcAft>
          </a:pPr>
          <a:r>
            <a:rPr lang="en-US" sz="900" kern="1200" dirty="0" smtClean="0"/>
            <a:t>Formal Sector Employer Contribution</a:t>
          </a:r>
          <a:endParaRPr lang="en-US" sz="900" kern="1200" dirty="0"/>
        </a:p>
      </dsp:txBody>
      <dsp:txXfrm>
        <a:off x="3070024" y="18428"/>
        <a:ext cx="723558" cy="571731"/>
      </dsp:txXfrm>
    </dsp:sp>
    <dsp:sp modelId="{B0D273AB-376F-D747-ABC3-F20D65AC07FA}">
      <dsp:nvSpPr>
        <dsp:cNvPr id="0" name=""/>
        <dsp:cNvSpPr/>
      </dsp:nvSpPr>
      <dsp:spPr>
        <a:xfrm rot="18514286">
          <a:off x="3090875" y="1112290"/>
          <a:ext cx="1441123" cy="309075"/>
        </a:xfrm>
        <a:prstGeom prst="leftArrow">
          <a:avLst>
            <a:gd name="adj1" fmla="val 60000"/>
            <a:gd name="adj2" fmla="val 50000"/>
          </a:avLst>
        </a:prstGeom>
        <a:solidFill>
          <a:schemeClr val="accent4">
            <a:hueOff val="-3189121"/>
            <a:satOff val="19214"/>
            <a:lumOff val="154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83E0B38-B2C3-D64A-A73D-513E16562CEB}">
      <dsp:nvSpPr>
        <dsp:cNvPr id="0" name=""/>
        <dsp:cNvSpPr/>
      </dsp:nvSpPr>
      <dsp:spPr>
        <a:xfrm>
          <a:off x="3881134" y="399817"/>
          <a:ext cx="759132" cy="607305"/>
        </a:xfrm>
        <a:prstGeom prst="roundRect">
          <a:avLst>
            <a:gd name="adj" fmla="val 10000"/>
          </a:avLst>
        </a:prstGeom>
        <a:solidFill>
          <a:schemeClr val="accent4">
            <a:hueOff val="-3189121"/>
            <a:satOff val="19214"/>
            <a:lumOff val="154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7145" rIns="17145" bIns="17145" numCol="1" spcCol="1270" anchor="ctr" anchorCtr="0">
          <a:noAutofit/>
        </a:bodyPr>
        <a:lstStyle/>
        <a:p>
          <a:pPr lvl="0" algn="ctr" defTabSz="400050">
            <a:lnSpc>
              <a:spcPct val="90000"/>
            </a:lnSpc>
            <a:spcBef>
              <a:spcPct val="0"/>
            </a:spcBef>
            <a:spcAft>
              <a:spcPct val="35000"/>
            </a:spcAft>
          </a:pPr>
          <a:r>
            <a:rPr lang="en-US" sz="900" kern="1200" dirty="0" smtClean="0"/>
            <a:t>Formal Sector Employee Contribution</a:t>
          </a:r>
          <a:endParaRPr lang="en-US" sz="900" kern="1200" dirty="0"/>
        </a:p>
      </dsp:txBody>
      <dsp:txXfrm>
        <a:off x="3898921" y="417604"/>
        <a:ext cx="723558" cy="571731"/>
      </dsp:txXfrm>
    </dsp:sp>
    <dsp:sp modelId="{955D7EA7-DE60-F644-9EDE-41D243DBBD1F}">
      <dsp:nvSpPr>
        <dsp:cNvPr id="0" name=""/>
        <dsp:cNvSpPr/>
      </dsp:nvSpPr>
      <dsp:spPr>
        <a:xfrm rot="20057143">
          <a:off x="3464549" y="1580863"/>
          <a:ext cx="1441123" cy="309075"/>
        </a:xfrm>
        <a:prstGeom prst="leftArrow">
          <a:avLst>
            <a:gd name="adj1" fmla="val 60000"/>
            <a:gd name="adj2" fmla="val 50000"/>
          </a:avLst>
        </a:prstGeom>
        <a:solidFill>
          <a:schemeClr val="accent4">
            <a:hueOff val="-3826945"/>
            <a:satOff val="23056"/>
            <a:lumOff val="1848"/>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A2B6ADA-032D-0E41-9F77-9A54ABBB30FD}">
      <dsp:nvSpPr>
        <dsp:cNvPr id="0" name=""/>
        <dsp:cNvSpPr/>
      </dsp:nvSpPr>
      <dsp:spPr>
        <a:xfrm>
          <a:off x="4454749" y="1119107"/>
          <a:ext cx="759132" cy="607305"/>
        </a:xfrm>
        <a:prstGeom prst="roundRect">
          <a:avLst>
            <a:gd name="adj" fmla="val 10000"/>
          </a:avLst>
        </a:prstGeom>
        <a:solidFill>
          <a:schemeClr val="accent4">
            <a:hueOff val="-3826945"/>
            <a:satOff val="23056"/>
            <a:lumOff val="184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7145" rIns="17145" bIns="17145" numCol="1" spcCol="1270" anchor="ctr" anchorCtr="0">
          <a:noAutofit/>
        </a:bodyPr>
        <a:lstStyle/>
        <a:p>
          <a:pPr lvl="0" algn="ctr" defTabSz="400050">
            <a:lnSpc>
              <a:spcPct val="90000"/>
            </a:lnSpc>
            <a:spcBef>
              <a:spcPct val="0"/>
            </a:spcBef>
            <a:spcAft>
              <a:spcPct val="35000"/>
            </a:spcAft>
          </a:pPr>
          <a:r>
            <a:rPr lang="en-US" sz="900" kern="1200" dirty="0" smtClean="0"/>
            <a:t> </a:t>
          </a:r>
          <a:r>
            <a:rPr lang="en-US" sz="900" kern="1200" dirty="0" smtClean="0">
              <a:solidFill>
                <a:schemeClr val="tx1"/>
              </a:solidFill>
            </a:rPr>
            <a:t>GOT subsidy for poor and vulnerable</a:t>
          </a:r>
          <a:endParaRPr lang="en-US" sz="900" kern="1200" dirty="0">
            <a:solidFill>
              <a:schemeClr val="tx1"/>
            </a:solidFill>
          </a:endParaRPr>
        </a:p>
      </dsp:txBody>
      <dsp:txXfrm>
        <a:off x="4472536" y="1136894"/>
        <a:ext cx="723558" cy="571731"/>
      </dsp:txXfrm>
    </dsp:sp>
    <dsp:sp modelId="{7C6BBB14-CB86-0342-90E4-D9DB470183BF}">
      <dsp:nvSpPr>
        <dsp:cNvPr id="0" name=""/>
        <dsp:cNvSpPr/>
      </dsp:nvSpPr>
      <dsp:spPr>
        <a:xfrm>
          <a:off x="3597912" y="2165163"/>
          <a:ext cx="1441123" cy="309075"/>
        </a:xfrm>
        <a:prstGeom prst="leftArrow">
          <a:avLst>
            <a:gd name="adj1" fmla="val 60000"/>
            <a:gd name="adj2" fmla="val 50000"/>
          </a:avLst>
        </a:prstGeom>
        <a:solidFill>
          <a:schemeClr val="accent4">
            <a:hueOff val="-4464770"/>
            <a:satOff val="26899"/>
            <a:lumOff val="2156"/>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CED1996-700E-D041-93CC-A71D8E994328}">
      <dsp:nvSpPr>
        <dsp:cNvPr id="0" name=""/>
        <dsp:cNvSpPr/>
      </dsp:nvSpPr>
      <dsp:spPr>
        <a:xfrm>
          <a:off x="4659470" y="2016047"/>
          <a:ext cx="759132" cy="607305"/>
        </a:xfrm>
        <a:prstGeom prst="roundRect">
          <a:avLst>
            <a:gd name="adj" fmla="val 10000"/>
          </a:avLst>
        </a:prstGeom>
        <a:solidFill>
          <a:schemeClr val="accent4">
            <a:hueOff val="-4464770"/>
            <a:satOff val="26899"/>
            <a:lumOff val="215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7145" rIns="17145" bIns="17145" numCol="1" spcCol="1270" anchor="ctr" anchorCtr="0">
          <a:noAutofit/>
        </a:bodyPr>
        <a:lstStyle/>
        <a:p>
          <a:pPr lvl="0" algn="ctr" defTabSz="400050">
            <a:lnSpc>
              <a:spcPct val="90000"/>
            </a:lnSpc>
            <a:spcBef>
              <a:spcPct val="0"/>
            </a:spcBef>
            <a:spcAft>
              <a:spcPct val="35000"/>
            </a:spcAft>
          </a:pPr>
          <a:r>
            <a:rPr lang="en-US" sz="900" kern="1200" dirty="0" smtClean="0">
              <a:solidFill>
                <a:schemeClr val="tx1"/>
              </a:solidFill>
            </a:rPr>
            <a:t>Informal Sector Contributions </a:t>
          </a:r>
          <a:endParaRPr lang="en-US" sz="900" kern="1200" dirty="0">
            <a:solidFill>
              <a:schemeClr val="tx1"/>
            </a:solidFill>
          </a:endParaRPr>
        </a:p>
      </dsp:txBody>
      <dsp:txXfrm>
        <a:off x="4677257" y="2033834"/>
        <a:ext cx="723558" cy="571731"/>
      </dsp:txXfrm>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207C69-9A67-4488-8F5E-50DA85D74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65</Pages>
  <Words>19898</Words>
  <Characters>113419</Characters>
  <Application>Microsoft Office Word</Application>
  <DocSecurity>0</DocSecurity>
  <Lines>945</Lines>
  <Paragraphs>266</Paragraphs>
  <ScaleCrop>false</ScaleCrop>
  <HeadingPairs>
    <vt:vector size="2" baseType="variant">
      <vt:variant>
        <vt:lpstr>Title</vt:lpstr>
      </vt:variant>
      <vt:variant>
        <vt:i4>1</vt:i4>
      </vt:variant>
    </vt:vector>
  </HeadingPairs>
  <TitlesOfParts>
    <vt:vector size="1" baseType="lpstr">
      <vt:lpstr/>
    </vt:vector>
  </TitlesOfParts>
  <Company>GIZ GmbH</Company>
  <LinksUpToDate>false</LinksUpToDate>
  <CharactersWithSpaces>133051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Dnaiel Ngowi</dc:creator>
  <cp:lastModifiedBy>Nina Siegert</cp:lastModifiedBy>
  <cp:revision>3</cp:revision>
  <cp:lastPrinted>2015-01-23T05:39:00Z</cp:lastPrinted>
  <dcterms:created xsi:type="dcterms:W3CDTF">2015-04-23T07:42:00Z</dcterms:created>
  <dcterms:modified xsi:type="dcterms:W3CDTF">2015-04-23T08:01:00Z</dcterms:modified>
</cp:coreProperties>
</file>