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2907"/>
        <w:gridCol w:w="7130"/>
      </w:tblGrid>
      <w:tr w:rsidR="00EC36E5" w:rsidRPr="007B679A" w:rsidTr="003C6CF8">
        <w:trPr>
          <w:trHeight w:val="3960"/>
          <w:jc w:val="center"/>
        </w:trPr>
        <w:tc>
          <w:tcPr>
            <w:tcW w:w="1450" w:type="pct"/>
            <w:tcBorders>
              <w:top w:val="nil"/>
              <w:left w:val="nil"/>
              <w:bottom w:val="nil"/>
              <w:right w:val="nil"/>
            </w:tcBorders>
            <w:shd w:val="clear" w:color="auto" w:fill="auto"/>
          </w:tcPr>
          <w:p w:rsidR="00EC36E5" w:rsidRPr="007B679A" w:rsidRDefault="00B66853" w:rsidP="00244142">
            <w:pPr>
              <w:pStyle w:val="NoSpacing"/>
            </w:pPr>
            <w:r w:rsidRPr="00453E48">
              <w:rPr>
                <w:noProof/>
                <w:lang w:val="en-GB" w:eastAsia="zh-CN"/>
              </w:rPr>
              <w:drawing>
                <wp:inline distT="0" distB="0" distL="0" distR="0" wp14:anchorId="2D421681" wp14:editId="5B66134D">
                  <wp:extent cx="1666875" cy="771525"/>
                  <wp:effectExtent l="0" t="0" r="0" b="9525"/>
                  <wp:docPr id="3" name="Image 4" descr="Logo OMS WHO-FR-C-H.jpg"/>
                  <wp:cNvGraphicFramePr/>
                  <a:graphic xmlns:a="http://schemas.openxmlformats.org/drawingml/2006/main">
                    <a:graphicData uri="http://schemas.openxmlformats.org/drawingml/2006/picture">
                      <pic:pic xmlns:pic="http://schemas.openxmlformats.org/drawingml/2006/picture">
                        <pic:nvPicPr>
                          <pic:cNvPr id="13315" name="Image 4" descr="Logo OMS WHO-FR-C-H.jpg"/>
                          <pic:cNvPicPr>
                            <a:picLocks noChangeAspect="1"/>
                          </pic:cNvPicPr>
                        </pic:nvPicPr>
                        <pic:blipFill>
                          <a:blip r:embed="rId9" cstate="print"/>
                          <a:srcRect/>
                          <a:stretch>
                            <a:fillRect/>
                          </a:stretch>
                        </pic:blipFill>
                        <pic:spPr bwMode="auto">
                          <a:xfrm>
                            <a:off x="0" y="0"/>
                            <a:ext cx="1667412" cy="771774"/>
                          </a:xfrm>
                          <a:prstGeom prst="rect">
                            <a:avLst/>
                          </a:prstGeom>
                          <a:noFill/>
                          <a:ln w="9525">
                            <a:noFill/>
                            <a:miter lim="800000"/>
                            <a:headEnd/>
                            <a:tailEnd/>
                          </a:ln>
                        </pic:spPr>
                      </pic:pic>
                    </a:graphicData>
                  </a:graphic>
                </wp:inline>
              </w:drawing>
            </w:r>
          </w:p>
        </w:tc>
        <w:tc>
          <w:tcPr>
            <w:tcW w:w="3550" w:type="pct"/>
            <w:tcBorders>
              <w:top w:val="nil"/>
              <w:left w:val="nil"/>
              <w:bottom w:val="nil"/>
              <w:right w:val="nil"/>
            </w:tcBorders>
            <w:shd w:val="clear" w:color="auto" w:fill="auto"/>
            <w:tcMar>
              <w:left w:w="115" w:type="dxa"/>
              <w:bottom w:w="115" w:type="dxa"/>
            </w:tcMar>
            <w:vAlign w:val="bottom"/>
          </w:tcPr>
          <w:p w:rsidR="00EC36E5" w:rsidRPr="008F1972" w:rsidRDefault="00EC36E5" w:rsidP="00244142">
            <w:pPr>
              <w:spacing w:after="200" w:line="276" w:lineRule="auto"/>
              <w:rPr>
                <w:color w:val="1F497D"/>
                <w:sz w:val="44"/>
                <w:szCs w:val="48"/>
              </w:rPr>
            </w:pPr>
          </w:p>
          <w:p w:rsidR="00EC36E5" w:rsidRPr="008F1972" w:rsidRDefault="008F1972" w:rsidP="0023330C">
            <w:pPr>
              <w:pStyle w:val="Title"/>
              <w:jc w:val="center"/>
              <w:rPr>
                <w:sz w:val="32"/>
                <w:szCs w:val="32"/>
              </w:rPr>
            </w:pPr>
            <w:r w:rsidRPr="008F1972">
              <w:rPr>
                <w:sz w:val="32"/>
                <w:szCs w:val="32"/>
              </w:rPr>
              <w:t xml:space="preserve">MISSION D’APPUI CONJOINT IST AFRO &amp; HQ POUR L’ELABORATION DU </w:t>
            </w:r>
            <w:r>
              <w:rPr>
                <w:sz w:val="32"/>
                <w:szCs w:val="32"/>
              </w:rPr>
              <w:t xml:space="preserve">PNDS, DU </w:t>
            </w:r>
            <w:r w:rsidRPr="008F1972">
              <w:rPr>
                <w:sz w:val="32"/>
                <w:szCs w:val="32"/>
              </w:rPr>
              <w:t xml:space="preserve">CADRE D’INVESTISSEMENT DU </w:t>
            </w:r>
            <w:r>
              <w:rPr>
                <w:sz w:val="32"/>
                <w:szCs w:val="32"/>
              </w:rPr>
              <w:t xml:space="preserve">GFF ET </w:t>
            </w:r>
            <w:r w:rsidRPr="008F1972">
              <w:rPr>
                <w:sz w:val="32"/>
                <w:szCs w:val="32"/>
              </w:rPr>
              <w:t>DE LA STRATEGIE DE FINANCEMENT DE LA C</w:t>
            </w:r>
            <w:r>
              <w:rPr>
                <w:sz w:val="32"/>
                <w:szCs w:val="32"/>
              </w:rPr>
              <w:t>SU</w:t>
            </w:r>
            <w:r w:rsidRPr="008F1972">
              <w:rPr>
                <w:sz w:val="32"/>
                <w:szCs w:val="32"/>
              </w:rPr>
              <w:t xml:space="preserve"> EN RDC EN FAVEUR DE LA SANTE DE LA MERE, DU NOUVEAU-NE, DE L’ENFANT ET DE L’ADOLESCENT EN RDC</w:t>
            </w:r>
          </w:p>
          <w:p w:rsidR="00EC36E5" w:rsidRPr="008F1972" w:rsidRDefault="00EC36E5" w:rsidP="00244142">
            <w:pPr>
              <w:pStyle w:val="NoSpacing"/>
              <w:rPr>
                <w:color w:val="1F497D"/>
                <w:sz w:val="44"/>
                <w:szCs w:val="48"/>
              </w:rPr>
            </w:pPr>
          </w:p>
          <w:p w:rsidR="001767AA" w:rsidRPr="008F1972" w:rsidRDefault="001767AA" w:rsidP="00244142">
            <w:pPr>
              <w:pStyle w:val="NoSpacing"/>
              <w:rPr>
                <w:color w:val="1F497D"/>
                <w:sz w:val="44"/>
                <w:szCs w:val="48"/>
              </w:rPr>
            </w:pPr>
          </w:p>
          <w:p w:rsidR="009A1E8A" w:rsidRDefault="009A1E8A" w:rsidP="009A1E8A">
            <w:pPr>
              <w:pStyle w:val="NoSpacing"/>
              <w:keepNext/>
            </w:pPr>
            <w:r>
              <w:rPr>
                <w:noProof/>
                <w:color w:val="1F497D"/>
                <w:sz w:val="44"/>
                <w:szCs w:val="48"/>
                <w:lang w:val="en-GB" w:eastAsia="zh-CN"/>
              </w:rPr>
              <w:drawing>
                <wp:inline distT="0" distB="0" distL="0" distR="0" wp14:anchorId="048740A3" wp14:editId="53C74EB5">
                  <wp:extent cx="4381296" cy="2464863"/>
                  <wp:effectExtent l="0" t="0" r="635" b="0"/>
                  <wp:docPr id="1" name="Image 1" descr="C:\Users\manzengoc\Pictures\20150828_090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zengoc\Pictures\20150828_09070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8056" cy="2468666"/>
                          </a:xfrm>
                          <a:prstGeom prst="rect">
                            <a:avLst/>
                          </a:prstGeom>
                          <a:noFill/>
                          <a:ln>
                            <a:noFill/>
                          </a:ln>
                        </pic:spPr>
                      </pic:pic>
                    </a:graphicData>
                  </a:graphic>
                </wp:inline>
              </w:drawing>
            </w:r>
          </w:p>
          <w:p w:rsidR="001767AA" w:rsidRPr="008F1972" w:rsidRDefault="009A1E8A" w:rsidP="009A1E8A">
            <w:pPr>
              <w:pStyle w:val="Caption"/>
              <w:rPr>
                <w:color w:val="1F497D"/>
                <w:sz w:val="44"/>
                <w:szCs w:val="48"/>
              </w:rPr>
            </w:pPr>
            <w:r>
              <w:t xml:space="preserve">Figure </w:t>
            </w:r>
            <w:r>
              <w:fldChar w:fldCharType="begin"/>
            </w:r>
            <w:r>
              <w:instrText xml:space="preserve"> SEQ Figure \* ARABIC </w:instrText>
            </w:r>
            <w:r>
              <w:fldChar w:fldCharType="separate"/>
            </w:r>
            <w:r>
              <w:rPr>
                <w:noProof/>
              </w:rPr>
              <w:t>1</w:t>
            </w:r>
            <w:r>
              <w:fldChar w:fldCharType="end"/>
            </w:r>
            <w:r>
              <w:t>. Réception de la délégation de l'OMS par le Secrétaire Général de la Santé, Kinshasa le 29/09/2015</w:t>
            </w:r>
          </w:p>
          <w:p w:rsidR="001767AA" w:rsidRPr="008F1972" w:rsidRDefault="001767AA" w:rsidP="00244142">
            <w:pPr>
              <w:pStyle w:val="NoSpacing"/>
              <w:rPr>
                <w:color w:val="1F497D"/>
                <w:sz w:val="44"/>
                <w:szCs w:val="48"/>
              </w:rPr>
            </w:pPr>
          </w:p>
        </w:tc>
      </w:tr>
      <w:tr w:rsidR="00EC36E5" w:rsidRPr="007B679A" w:rsidTr="003C6CF8">
        <w:trPr>
          <w:jc w:val="center"/>
        </w:trPr>
        <w:tc>
          <w:tcPr>
            <w:tcW w:w="1450" w:type="pct"/>
            <w:tcBorders>
              <w:top w:val="nil"/>
              <w:left w:val="nil"/>
              <w:bottom w:val="nil"/>
              <w:right w:val="nil"/>
            </w:tcBorders>
            <w:shd w:val="clear" w:color="auto" w:fill="auto"/>
          </w:tcPr>
          <w:p w:rsidR="00EC36E5" w:rsidRPr="007B679A" w:rsidRDefault="00EC36E5" w:rsidP="00244142">
            <w:pPr>
              <w:pStyle w:val="NoSpacing"/>
              <w:rPr>
                <w:color w:val="EEECE1"/>
              </w:rPr>
            </w:pPr>
          </w:p>
        </w:tc>
        <w:tc>
          <w:tcPr>
            <w:tcW w:w="3550" w:type="pct"/>
            <w:tcBorders>
              <w:top w:val="nil"/>
              <w:left w:val="nil"/>
              <w:bottom w:val="nil"/>
              <w:right w:val="nil"/>
            </w:tcBorders>
            <w:shd w:val="clear" w:color="auto" w:fill="auto"/>
            <w:tcMar>
              <w:left w:w="72" w:type="dxa"/>
              <w:bottom w:w="216" w:type="dxa"/>
              <w:right w:w="0" w:type="dxa"/>
            </w:tcMar>
            <w:vAlign w:val="bottom"/>
          </w:tcPr>
          <w:p w:rsidR="00EC36E5" w:rsidRPr="007B679A" w:rsidRDefault="00EC36E5" w:rsidP="00244142"/>
        </w:tc>
      </w:tr>
      <w:tr w:rsidR="00EC36E5" w:rsidRPr="007B679A" w:rsidTr="003C6CF8">
        <w:trPr>
          <w:trHeight w:val="864"/>
          <w:jc w:val="center"/>
        </w:trPr>
        <w:tc>
          <w:tcPr>
            <w:tcW w:w="1450" w:type="pct"/>
            <w:tcBorders>
              <w:top w:val="nil"/>
              <w:left w:val="nil"/>
              <w:bottom w:val="nil"/>
            </w:tcBorders>
            <w:shd w:val="clear" w:color="auto" w:fill="C0504D"/>
            <w:vAlign w:val="center"/>
          </w:tcPr>
          <w:p w:rsidR="00EC36E5" w:rsidRPr="007B679A" w:rsidRDefault="008F1972" w:rsidP="00244142">
            <w:pPr>
              <w:pStyle w:val="NoSpacing"/>
              <w:jc w:val="center"/>
              <w:rPr>
                <w:color w:val="FFFFFF"/>
                <w:sz w:val="32"/>
                <w:szCs w:val="32"/>
              </w:rPr>
            </w:pPr>
            <w:r>
              <w:rPr>
                <w:color w:val="FFFFFF"/>
                <w:sz w:val="32"/>
                <w:szCs w:val="32"/>
                <w:lang w:val="fr-FR"/>
              </w:rPr>
              <w:t>29</w:t>
            </w:r>
            <w:r w:rsidR="00EC36E5">
              <w:rPr>
                <w:color w:val="FFFFFF"/>
                <w:sz w:val="32"/>
                <w:szCs w:val="32"/>
                <w:lang w:val="fr-FR"/>
              </w:rPr>
              <w:t>/</w:t>
            </w:r>
            <w:r w:rsidR="00EC36E5" w:rsidRPr="007B679A">
              <w:rPr>
                <w:color w:val="FFFFFF"/>
                <w:sz w:val="32"/>
                <w:szCs w:val="32"/>
                <w:lang w:val="fr-FR"/>
              </w:rPr>
              <w:t>0</w:t>
            </w:r>
            <w:r w:rsidR="00735BB6">
              <w:rPr>
                <w:color w:val="FFFFFF"/>
                <w:sz w:val="32"/>
                <w:szCs w:val="32"/>
                <w:lang w:val="fr-FR"/>
              </w:rPr>
              <w:t>8</w:t>
            </w:r>
            <w:r w:rsidR="00EC36E5" w:rsidRPr="007B679A">
              <w:rPr>
                <w:color w:val="FFFFFF"/>
                <w:sz w:val="32"/>
                <w:szCs w:val="32"/>
                <w:lang w:val="fr-FR"/>
              </w:rPr>
              <w:t>/2015</w:t>
            </w:r>
          </w:p>
        </w:tc>
        <w:tc>
          <w:tcPr>
            <w:tcW w:w="3550" w:type="pct"/>
            <w:tcBorders>
              <w:top w:val="nil"/>
              <w:bottom w:val="nil"/>
              <w:right w:val="nil"/>
            </w:tcBorders>
            <w:shd w:val="clear" w:color="auto" w:fill="4F81BD"/>
            <w:tcMar>
              <w:left w:w="216" w:type="dxa"/>
            </w:tcMar>
            <w:vAlign w:val="center"/>
          </w:tcPr>
          <w:p w:rsidR="00EC36E5" w:rsidRPr="007B679A" w:rsidRDefault="008F1972" w:rsidP="00B21437">
            <w:pPr>
              <w:pStyle w:val="NoSpacing"/>
              <w:jc w:val="center"/>
              <w:rPr>
                <w:color w:val="FFFFFF"/>
                <w:sz w:val="40"/>
                <w:szCs w:val="40"/>
              </w:rPr>
            </w:pPr>
            <w:r>
              <w:rPr>
                <w:color w:val="FFFFFF"/>
                <w:sz w:val="40"/>
                <w:szCs w:val="40"/>
              </w:rPr>
              <w:t>POINT DE</w:t>
            </w:r>
            <w:r w:rsidR="00B21437">
              <w:rPr>
                <w:color w:val="FFFFFF"/>
                <w:sz w:val="40"/>
                <w:szCs w:val="40"/>
              </w:rPr>
              <w:t xml:space="preserve"> LA MISSION CONJOINTE OMS &amp; BANQUE MONDIALE</w:t>
            </w:r>
          </w:p>
        </w:tc>
      </w:tr>
      <w:tr w:rsidR="00EC36E5" w:rsidRPr="007B679A" w:rsidTr="003C6CF8">
        <w:trPr>
          <w:jc w:val="center"/>
        </w:trPr>
        <w:tc>
          <w:tcPr>
            <w:tcW w:w="1450" w:type="pct"/>
            <w:tcBorders>
              <w:top w:val="nil"/>
              <w:left w:val="nil"/>
              <w:bottom w:val="nil"/>
              <w:right w:val="nil"/>
            </w:tcBorders>
            <w:shd w:val="clear" w:color="auto" w:fill="auto"/>
            <w:vAlign w:val="center"/>
          </w:tcPr>
          <w:p w:rsidR="00EC36E5" w:rsidRPr="007B679A" w:rsidRDefault="00EC36E5" w:rsidP="00244142">
            <w:pPr>
              <w:pStyle w:val="NoSpacing"/>
              <w:rPr>
                <w:color w:val="FFFFFF"/>
                <w:sz w:val="36"/>
                <w:szCs w:val="36"/>
              </w:rPr>
            </w:pPr>
          </w:p>
        </w:tc>
        <w:tc>
          <w:tcPr>
            <w:tcW w:w="3550" w:type="pct"/>
            <w:tcBorders>
              <w:top w:val="nil"/>
              <w:left w:val="nil"/>
              <w:bottom w:val="nil"/>
              <w:right w:val="nil"/>
            </w:tcBorders>
            <w:shd w:val="clear" w:color="auto" w:fill="auto"/>
            <w:tcMar>
              <w:top w:w="432" w:type="dxa"/>
              <w:left w:w="216" w:type="dxa"/>
              <w:right w:w="432" w:type="dxa"/>
            </w:tcMar>
          </w:tcPr>
          <w:p w:rsidR="00EC36E5" w:rsidRDefault="00EC36E5" w:rsidP="0075053A">
            <w:pPr>
              <w:jc w:val="both"/>
              <w:rPr>
                <w:rFonts w:ascii="Cambria" w:eastAsia="Times New Roman" w:hAnsi="Cambria"/>
                <w:i/>
                <w:iCs/>
                <w:color w:val="1F497D"/>
                <w:sz w:val="26"/>
                <w:szCs w:val="26"/>
              </w:rPr>
            </w:pPr>
          </w:p>
        </w:tc>
      </w:tr>
    </w:tbl>
    <w:p w:rsidR="003C6CF8" w:rsidRDefault="003C6CF8">
      <w:r>
        <w:br w:type="page"/>
      </w:r>
    </w:p>
    <w:p w:rsidR="00BC06AE" w:rsidRDefault="00BC06AE" w:rsidP="00BC06AE">
      <w:pPr>
        <w:numPr>
          <w:ilvl w:val="0"/>
          <w:numId w:val="5"/>
        </w:numPr>
        <w:tabs>
          <w:tab w:val="clear" w:pos="1080"/>
          <w:tab w:val="num" w:pos="360"/>
        </w:tabs>
        <w:spacing w:after="0" w:line="240" w:lineRule="auto"/>
        <w:ind w:left="720"/>
        <w:rPr>
          <w:rFonts w:ascii="Arial" w:hAnsi="Arial" w:cs="Arial"/>
          <w:b/>
          <w:color w:val="4F81BD" w:themeColor="accent1"/>
        </w:rPr>
      </w:pPr>
      <w:r w:rsidRPr="001D6ED9">
        <w:rPr>
          <w:rFonts w:ascii="Arial" w:hAnsi="Arial" w:cs="Arial"/>
          <w:b/>
          <w:color w:val="4F81BD" w:themeColor="accent1"/>
        </w:rPr>
        <w:lastRenderedPageBreak/>
        <w:t>INFORMATIONS GENERALES</w:t>
      </w:r>
    </w:p>
    <w:p w:rsidR="00BC06AE" w:rsidRPr="001D6ED9" w:rsidRDefault="00BC06AE" w:rsidP="00BC06AE">
      <w:pPr>
        <w:spacing w:after="0" w:line="240" w:lineRule="auto"/>
        <w:ind w:left="720"/>
        <w:rPr>
          <w:rFonts w:ascii="Arial" w:hAnsi="Arial" w:cs="Arial"/>
          <w:b/>
          <w:color w:val="4F81BD" w:themeColor="accent1"/>
        </w:rPr>
      </w:pPr>
    </w:p>
    <w:p w:rsidR="00BC06AE" w:rsidRPr="001D6ED9" w:rsidRDefault="00BC06AE" w:rsidP="00BC06AE">
      <w:pPr>
        <w:numPr>
          <w:ilvl w:val="1"/>
          <w:numId w:val="5"/>
        </w:numPr>
        <w:tabs>
          <w:tab w:val="clear" w:pos="1440"/>
          <w:tab w:val="num" w:pos="1080"/>
        </w:tabs>
        <w:spacing w:after="0" w:line="240" w:lineRule="auto"/>
        <w:ind w:left="1080"/>
        <w:rPr>
          <w:rFonts w:ascii="Arial" w:hAnsi="Arial" w:cs="Arial"/>
          <w:b/>
        </w:rPr>
      </w:pPr>
      <w:r w:rsidRPr="001D6ED9">
        <w:rPr>
          <w:rFonts w:ascii="Arial" w:hAnsi="Arial" w:cs="Arial"/>
          <w:b/>
        </w:rPr>
        <w:t>DATE </w:t>
      </w:r>
      <w:r w:rsidRPr="001D6ED9">
        <w:rPr>
          <w:rFonts w:ascii="Arial" w:hAnsi="Arial" w:cs="Arial"/>
        </w:rPr>
        <w:t xml:space="preserve">: </w:t>
      </w:r>
      <w:r>
        <w:rPr>
          <w:rFonts w:ascii="Arial" w:hAnsi="Arial" w:cs="Arial"/>
        </w:rPr>
        <w:t>2</w:t>
      </w:r>
      <w:r w:rsidRPr="001D6ED9">
        <w:rPr>
          <w:rFonts w:ascii="Arial" w:hAnsi="Arial" w:cs="Arial"/>
        </w:rPr>
        <w:t>3</w:t>
      </w:r>
      <w:r>
        <w:rPr>
          <w:rFonts w:ascii="Arial" w:hAnsi="Arial" w:cs="Arial"/>
        </w:rPr>
        <w:t>/8 au 30/08/</w:t>
      </w:r>
      <w:r w:rsidRPr="001D6ED9">
        <w:rPr>
          <w:rFonts w:ascii="Arial" w:hAnsi="Arial" w:cs="Arial"/>
        </w:rPr>
        <w:t xml:space="preserve">2015 </w:t>
      </w:r>
    </w:p>
    <w:p w:rsidR="00BC06AE" w:rsidRPr="00DD7FB8" w:rsidRDefault="00BC06AE" w:rsidP="00BC06AE">
      <w:pPr>
        <w:numPr>
          <w:ilvl w:val="1"/>
          <w:numId w:val="5"/>
        </w:numPr>
        <w:tabs>
          <w:tab w:val="clear" w:pos="1440"/>
          <w:tab w:val="num" w:pos="1080"/>
        </w:tabs>
        <w:spacing w:after="0" w:line="240" w:lineRule="auto"/>
        <w:ind w:left="1080"/>
        <w:rPr>
          <w:rFonts w:ascii="Arial" w:hAnsi="Arial" w:cs="Arial"/>
          <w:b/>
        </w:rPr>
      </w:pPr>
      <w:r w:rsidRPr="001D6ED9">
        <w:rPr>
          <w:rFonts w:ascii="Arial" w:hAnsi="Arial" w:cs="Arial"/>
          <w:b/>
        </w:rPr>
        <w:t xml:space="preserve">LIEU : </w:t>
      </w:r>
      <w:r>
        <w:rPr>
          <w:rFonts w:ascii="Arial" w:hAnsi="Arial" w:cs="Arial"/>
        </w:rPr>
        <w:t>Kinshasa</w:t>
      </w:r>
      <w:r w:rsidRPr="001D6ED9">
        <w:rPr>
          <w:rFonts w:ascii="Arial" w:hAnsi="Arial" w:cs="Arial"/>
          <w:b/>
        </w:rPr>
        <w:t xml:space="preserve"> </w:t>
      </w:r>
    </w:p>
    <w:p w:rsidR="00BC06AE" w:rsidRPr="009A1E8A" w:rsidRDefault="00BC06AE" w:rsidP="00BC06AE">
      <w:pPr>
        <w:numPr>
          <w:ilvl w:val="1"/>
          <w:numId w:val="5"/>
        </w:numPr>
        <w:tabs>
          <w:tab w:val="clear" w:pos="1440"/>
          <w:tab w:val="num" w:pos="1080"/>
        </w:tabs>
        <w:spacing w:after="0" w:line="240" w:lineRule="auto"/>
        <w:ind w:left="1080"/>
        <w:jc w:val="both"/>
        <w:rPr>
          <w:rFonts w:ascii="Arial" w:hAnsi="Arial" w:cs="Arial"/>
          <w:b/>
        </w:rPr>
      </w:pPr>
      <w:r>
        <w:rPr>
          <w:rFonts w:ascii="Arial" w:hAnsi="Arial" w:cs="Arial"/>
          <w:b/>
        </w:rPr>
        <w:t>DELEGATION OMS</w:t>
      </w:r>
      <w:r w:rsidRPr="001D6ED9">
        <w:rPr>
          <w:rFonts w:ascii="Arial" w:hAnsi="Arial" w:cs="Arial"/>
          <w:b/>
        </w:rPr>
        <w:t> :</w:t>
      </w:r>
      <w:r>
        <w:rPr>
          <w:rFonts w:ascii="Arial" w:hAnsi="Arial" w:cs="Arial"/>
          <w:b/>
        </w:rPr>
        <w:t xml:space="preserve"> </w:t>
      </w:r>
      <w:r>
        <w:rPr>
          <w:rFonts w:ascii="Arial" w:hAnsi="Arial" w:cs="Arial"/>
        </w:rPr>
        <w:t>Claude MEYER (HQ), BANERJEE ANSHU (HQ), Symplice MBOLA (AFRO), Jean ETTE (IST), Simin (GIZ)</w:t>
      </w:r>
      <w:r>
        <w:rPr>
          <w:rFonts w:ascii="Arial" w:hAnsi="Arial" w:cs="Arial"/>
          <w:b/>
        </w:rPr>
        <w:t xml:space="preserve">, </w:t>
      </w:r>
      <w:r>
        <w:rPr>
          <w:rFonts w:ascii="Arial" w:hAnsi="Arial" w:cs="Arial"/>
        </w:rPr>
        <w:t>Bernadette MBU (WC</w:t>
      </w:r>
      <w:r w:rsidRPr="00A633BD">
        <w:rPr>
          <w:rFonts w:ascii="Arial" w:hAnsi="Arial" w:cs="Arial"/>
        </w:rPr>
        <w:t>O</w:t>
      </w:r>
      <w:r>
        <w:rPr>
          <w:rFonts w:ascii="Arial" w:hAnsi="Arial" w:cs="Arial"/>
        </w:rPr>
        <w:t>/DRC</w:t>
      </w:r>
      <w:r w:rsidRPr="00A633BD">
        <w:rPr>
          <w:rFonts w:ascii="Arial" w:hAnsi="Arial" w:cs="Arial"/>
        </w:rPr>
        <w:t>),</w:t>
      </w:r>
      <w:r>
        <w:rPr>
          <w:rFonts w:ascii="Arial" w:hAnsi="Arial" w:cs="Arial"/>
          <w:b/>
        </w:rPr>
        <w:t xml:space="preserve"> </w:t>
      </w:r>
      <w:r w:rsidRPr="00A633BD">
        <w:rPr>
          <w:rFonts w:ascii="Arial" w:hAnsi="Arial" w:cs="Arial"/>
        </w:rPr>
        <w:t>Brigitte KINI</w:t>
      </w:r>
      <w:r>
        <w:rPr>
          <w:rFonts w:ascii="Arial" w:hAnsi="Arial" w:cs="Arial"/>
        </w:rPr>
        <w:t xml:space="preserve"> (WC</w:t>
      </w:r>
      <w:r w:rsidRPr="00A633BD">
        <w:rPr>
          <w:rFonts w:ascii="Arial" w:hAnsi="Arial" w:cs="Arial"/>
        </w:rPr>
        <w:t>O</w:t>
      </w:r>
      <w:r>
        <w:rPr>
          <w:rFonts w:ascii="Arial" w:hAnsi="Arial" w:cs="Arial"/>
        </w:rPr>
        <w:t>/DRC</w:t>
      </w:r>
      <w:r w:rsidRPr="00A633BD">
        <w:rPr>
          <w:rFonts w:ascii="Arial" w:hAnsi="Arial" w:cs="Arial"/>
        </w:rPr>
        <w:t xml:space="preserve">), Jean-Pierre LOKONGA </w:t>
      </w:r>
      <w:r>
        <w:rPr>
          <w:rFonts w:ascii="Arial" w:hAnsi="Arial" w:cs="Arial"/>
        </w:rPr>
        <w:t>(WC</w:t>
      </w:r>
      <w:r w:rsidRPr="00A633BD">
        <w:rPr>
          <w:rFonts w:ascii="Arial" w:hAnsi="Arial" w:cs="Arial"/>
        </w:rPr>
        <w:t>O</w:t>
      </w:r>
      <w:r>
        <w:rPr>
          <w:rFonts w:ascii="Arial" w:hAnsi="Arial" w:cs="Arial"/>
        </w:rPr>
        <w:t>/DRC</w:t>
      </w:r>
      <w:r w:rsidRPr="00A633BD">
        <w:rPr>
          <w:rFonts w:ascii="Arial" w:hAnsi="Arial" w:cs="Arial"/>
        </w:rPr>
        <w:t xml:space="preserve">), Casimir MANZENGO </w:t>
      </w:r>
      <w:r>
        <w:rPr>
          <w:rFonts w:ascii="Arial" w:hAnsi="Arial" w:cs="Arial"/>
        </w:rPr>
        <w:t>(WC</w:t>
      </w:r>
      <w:r w:rsidRPr="00A633BD">
        <w:rPr>
          <w:rFonts w:ascii="Arial" w:hAnsi="Arial" w:cs="Arial"/>
        </w:rPr>
        <w:t>O</w:t>
      </w:r>
      <w:r>
        <w:rPr>
          <w:rFonts w:ascii="Arial" w:hAnsi="Arial" w:cs="Arial"/>
        </w:rPr>
        <w:t>/DRC</w:t>
      </w:r>
      <w:r w:rsidRPr="00A633BD">
        <w:rPr>
          <w:rFonts w:ascii="Arial" w:hAnsi="Arial" w:cs="Arial"/>
        </w:rPr>
        <w:t xml:space="preserve">) </w:t>
      </w:r>
    </w:p>
    <w:p w:rsidR="009A1E8A" w:rsidRPr="009A1E8A" w:rsidRDefault="009A1E8A" w:rsidP="009A1E8A">
      <w:pPr>
        <w:numPr>
          <w:ilvl w:val="1"/>
          <w:numId w:val="5"/>
        </w:numPr>
        <w:tabs>
          <w:tab w:val="clear" w:pos="1440"/>
          <w:tab w:val="num" w:pos="1080"/>
        </w:tabs>
        <w:ind w:left="1080"/>
        <w:jc w:val="both"/>
        <w:rPr>
          <w:rFonts w:ascii="Arial" w:hAnsi="Arial" w:cs="Arial"/>
          <w:lang w:val="en-US"/>
        </w:rPr>
      </w:pPr>
      <w:r w:rsidRPr="009A1E8A">
        <w:rPr>
          <w:rFonts w:ascii="Arial" w:hAnsi="Arial" w:cs="Arial"/>
          <w:b/>
          <w:lang w:val="en-US"/>
        </w:rPr>
        <w:t xml:space="preserve">DELEGATION Banque Mondiale : </w:t>
      </w:r>
      <w:r>
        <w:rPr>
          <w:rFonts w:ascii="Arial" w:hAnsi="Arial" w:cs="Arial"/>
          <w:bCs/>
          <w:lang w:val="en-US"/>
        </w:rPr>
        <w:t xml:space="preserve">Helene Barroy (HQ), </w:t>
      </w:r>
      <w:r w:rsidRPr="009A1E8A">
        <w:rPr>
          <w:rFonts w:ascii="Arial" w:hAnsi="Arial" w:cs="Arial"/>
          <w:bCs/>
          <w:lang w:val="en-US"/>
        </w:rPr>
        <w:t>Ricardo Bitran</w:t>
      </w:r>
      <w:r>
        <w:rPr>
          <w:rFonts w:ascii="Arial" w:hAnsi="Arial" w:cs="Arial"/>
          <w:bCs/>
          <w:lang w:val="en-US"/>
        </w:rPr>
        <w:t xml:space="preserve"> (Consultant)</w:t>
      </w:r>
      <w:r w:rsidRPr="009A1E8A">
        <w:rPr>
          <w:rFonts w:ascii="Arial" w:hAnsi="Arial" w:cs="Arial"/>
          <w:bCs/>
          <w:lang w:val="en-US"/>
        </w:rPr>
        <w:t xml:space="preserve">, </w:t>
      </w:r>
      <w:r>
        <w:rPr>
          <w:rFonts w:ascii="Arial" w:hAnsi="Arial" w:cs="Arial"/>
          <w:bCs/>
          <w:lang w:val="en-US"/>
        </w:rPr>
        <w:t>Zina Jarrah (Consultant)</w:t>
      </w:r>
      <w:r w:rsidRPr="009A1E8A">
        <w:rPr>
          <w:rFonts w:ascii="Arial" w:hAnsi="Arial" w:cs="Arial"/>
          <w:bCs/>
          <w:lang w:val="en-US"/>
        </w:rPr>
        <w:t>, Didier RAMAHANA</w:t>
      </w:r>
      <w:r>
        <w:rPr>
          <w:rFonts w:ascii="Arial" w:hAnsi="Arial" w:cs="Arial"/>
          <w:bCs/>
          <w:lang w:val="en-US"/>
        </w:rPr>
        <w:t xml:space="preserve"> (Bureau Pays)</w:t>
      </w:r>
    </w:p>
    <w:p w:rsidR="009A1E8A" w:rsidRPr="009A1E8A" w:rsidRDefault="009A1E8A" w:rsidP="009A1E8A">
      <w:pPr>
        <w:ind w:left="1080"/>
        <w:jc w:val="both"/>
        <w:rPr>
          <w:rFonts w:ascii="Arial" w:hAnsi="Arial" w:cs="Arial"/>
          <w:lang w:val="en-US"/>
        </w:rPr>
      </w:pPr>
    </w:p>
    <w:p w:rsidR="00BC06AE" w:rsidRPr="001D6ED9" w:rsidRDefault="00BC06AE" w:rsidP="00BC06AE">
      <w:pPr>
        <w:numPr>
          <w:ilvl w:val="0"/>
          <w:numId w:val="5"/>
        </w:numPr>
        <w:tabs>
          <w:tab w:val="clear" w:pos="1080"/>
          <w:tab w:val="num" w:pos="720"/>
        </w:tabs>
        <w:spacing w:after="0" w:line="240" w:lineRule="auto"/>
        <w:ind w:left="720"/>
        <w:jc w:val="both"/>
        <w:rPr>
          <w:rFonts w:ascii="Arial" w:hAnsi="Arial" w:cs="Arial"/>
          <w:b/>
          <w:color w:val="4F81BD" w:themeColor="accent1"/>
        </w:rPr>
      </w:pPr>
      <w:r w:rsidRPr="001D6ED9">
        <w:rPr>
          <w:rFonts w:ascii="Arial" w:hAnsi="Arial" w:cs="Arial"/>
          <w:b/>
          <w:color w:val="4F81BD" w:themeColor="accent1"/>
        </w:rPr>
        <w:t>CONTEXTE</w:t>
      </w:r>
    </w:p>
    <w:p w:rsidR="00BC06AE" w:rsidRDefault="00BC06AE" w:rsidP="00BC06AE">
      <w:pPr>
        <w:jc w:val="both"/>
      </w:pPr>
    </w:p>
    <w:p w:rsidR="00BC06AE" w:rsidRDefault="00BC06AE" w:rsidP="00BC06AE">
      <w:pPr>
        <w:jc w:val="both"/>
        <w:rPr>
          <w:rFonts w:ascii="Arial" w:hAnsi="Arial" w:cs="Arial"/>
        </w:rPr>
      </w:pPr>
      <w:r w:rsidRPr="0013706E">
        <w:rPr>
          <w:rFonts w:ascii="Arial" w:hAnsi="Arial" w:cs="Arial"/>
        </w:rPr>
        <w:t xml:space="preserve">Le Ministère de la Santé de la RDC est engagé dans le processus d’élaboration de trois documents stratégiques actuellement. Il s’agit du diagnostic sectoriel pour le PNDS 2016-2020, de la stratégie de financement de la CSU et du cadre d’investissement du GFF. Tous ces documents comportent un caractère urgent. En effet, la stratégie de financement de la CSU doit être finalisée au mois d’août car le Ministre compte défendre la loi sur la CSU devant le Parlement en septembre 2015. Cette stratégie de financement va définir entre autres le paquet de services en faveur de la santé de la reproduction, de la mère, du nouveau-né, de l’enfant et de l’adolescent (SR-SMNE-A) qui sera financé par le GFF. Et enfin, les interventions prioritaires doivent provenir de l’analyse situationnelle qui est le diagnostic sectoriel du PNDS. Ainsi donc, les trois documents </w:t>
      </w:r>
      <w:r>
        <w:rPr>
          <w:rFonts w:ascii="Arial" w:hAnsi="Arial" w:cs="Arial"/>
        </w:rPr>
        <w:t xml:space="preserve">sont </w:t>
      </w:r>
      <w:r w:rsidRPr="0013706E">
        <w:rPr>
          <w:rFonts w:ascii="Arial" w:hAnsi="Arial" w:cs="Arial"/>
        </w:rPr>
        <w:t>liés et doivent demeurer cohérents dans leur développement afin de garantir une mise en œuvre harmonieuse. Ce qui explique les besoins en assistance technique.</w:t>
      </w:r>
    </w:p>
    <w:p w:rsidR="00BC06AE" w:rsidRPr="001E7ED8" w:rsidRDefault="00BC06AE" w:rsidP="00BC06AE">
      <w:pPr>
        <w:jc w:val="both"/>
        <w:rPr>
          <w:rFonts w:ascii="Arial" w:hAnsi="Arial" w:cs="Arial"/>
        </w:rPr>
      </w:pPr>
      <w:r w:rsidRPr="001E7ED8">
        <w:rPr>
          <w:rFonts w:ascii="Arial" w:hAnsi="Arial" w:cs="Arial"/>
        </w:rPr>
        <w:t>C’est pourquoi les différents experts sont arrivés d</w:t>
      </w:r>
      <w:r w:rsidR="009A1E8A">
        <w:rPr>
          <w:rFonts w:ascii="Arial" w:hAnsi="Arial" w:cs="Arial"/>
        </w:rPr>
        <w:t>e l’OMS et de la Banque Mondiale</w:t>
      </w:r>
      <w:r w:rsidRPr="001E7ED8">
        <w:rPr>
          <w:rFonts w:ascii="Arial" w:hAnsi="Arial" w:cs="Arial"/>
        </w:rPr>
        <w:t xml:space="preserve"> pour appuyer le pays au cours de cette semaine critique au cours de laquelle l’atelier sur le diagnostic sectoriel est en voie d’élaboration.</w:t>
      </w:r>
      <w:r>
        <w:rPr>
          <w:rFonts w:ascii="Arial" w:hAnsi="Arial" w:cs="Arial"/>
        </w:rPr>
        <w:t xml:space="preserve"> </w:t>
      </w:r>
    </w:p>
    <w:p w:rsidR="00BC06AE" w:rsidRDefault="00BC06AE" w:rsidP="00BC06AE">
      <w:pPr>
        <w:jc w:val="both"/>
      </w:pPr>
    </w:p>
    <w:p w:rsidR="00BC06AE" w:rsidRPr="001D6ED9" w:rsidRDefault="00BC06AE" w:rsidP="00BC06AE">
      <w:pPr>
        <w:numPr>
          <w:ilvl w:val="0"/>
          <w:numId w:val="5"/>
        </w:numPr>
        <w:tabs>
          <w:tab w:val="clear" w:pos="1080"/>
          <w:tab w:val="num" w:pos="720"/>
        </w:tabs>
        <w:spacing w:after="0" w:line="240" w:lineRule="auto"/>
        <w:ind w:left="720"/>
        <w:jc w:val="both"/>
        <w:rPr>
          <w:rFonts w:ascii="Arial" w:hAnsi="Arial" w:cs="Arial"/>
          <w:b/>
          <w:color w:val="4F81BD" w:themeColor="accent1"/>
        </w:rPr>
      </w:pPr>
      <w:r w:rsidRPr="001D6ED9">
        <w:rPr>
          <w:rFonts w:ascii="Arial" w:hAnsi="Arial" w:cs="Arial"/>
          <w:b/>
          <w:color w:val="4F81BD" w:themeColor="accent1"/>
        </w:rPr>
        <w:t>O</w:t>
      </w:r>
      <w:r>
        <w:rPr>
          <w:rFonts w:ascii="Arial" w:hAnsi="Arial" w:cs="Arial"/>
          <w:b/>
          <w:color w:val="4F81BD" w:themeColor="accent1"/>
        </w:rPr>
        <w:t>BJET DE LA MISSION</w:t>
      </w:r>
    </w:p>
    <w:p w:rsidR="00BC06AE" w:rsidRDefault="00BC06AE" w:rsidP="00BC06AE">
      <w:pPr>
        <w:jc w:val="both"/>
        <w:rPr>
          <w:rFonts w:ascii="Arial" w:hAnsi="Arial" w:cs="Arial"/>
        </w:rPr>
      </w:pPr>
    </w:p>
    <w:p w:rsidR="00BC06AE" w:rsidRDefault="00BC06AE" w:rsidP="00BC06AE">
      <w:pPr>
        <w:jc w:val="both"/>
        <w:rPr>
          <w:rFonts w:ascii="Arial" w:hAnsi="Arial" w:cs="Arial"/>
        </w:rPr>
      </w:pPr>
      <w:r>
        <w:rPr>
          <w:rFonts w:ascii="Arial" w:hAnsi="Arial" w:cs="Arial"/>
        </w:rPr>
        <w:t>L’objet de la mission est d’appuyer l’élaboration de trois documents stratégiques par le Ministère de la Santé.</w:t>
      </w:r>
      <w:r w:rsidR="00B21437">
        <w:rPr>
          <w:rFonts w:ascii="Arial" w:hAnsi="Arial" w:cs="Arial"/>
        </w:rPr>
        <w:t xml:space="preserve"> Ces documents sont le Plan National de Développement Sanitaire (PNDS), </w:t>
      </w:r>
      <w:r w:rsidR="00DF71CD">
        <w:rPr>
          <w:rFonts w:ascii="Arial" w:hAnsi="Arial" w:cs="Arial"/>
        </w:rPr>
        <w:t>le cadre d’investissement du Mécanisme de Financement Mondial (GFF : Global Financing Facility) et de la stratégie de financement de la santé.</w:t>
      </w:r>
    </w:p>
    <w:p w:rsidR="00BC06AE" w:rsidRDefault="00BC06AE" w:rsidP="00BC06AE">
      <w:pPr>
        <w:jc w:val="both"/>
        <w:rPr>
          <w:rFonts w:ascii="Arial" w:hAnsi="Arial" w:cs="Arial"/>
        </w:rPr>
      </w:pPr>
      <w:r>
        <w:rPr>
          <w:rFonts w:ascii="Arial" w:hAnsi="Arial" w:cs="Arial"/>
        </w:rPr>
        <w:t>C’est aussi une opportunité pour renforcer la collaboration avec la Banque Mondiale, ce qui rassure le Ministère de la Santé qui voudrait recevoir des observations concordantes.</w:t>
      </w:r>
    </w:p>
    <w:p w:rsidR="00BC06AE" w:rsidRDefault="00BC06AE" w:rsidP="00BC06AE">
      <w:pPr>
        <w:ind w:left="720"/>
        <w:jc w:val="both"/>
        <w:rPr>
          <w:rFonts w:ascii="Arial" w:hAnsi="Arial" w:cs="Arial"/>
        </w:rPr>
      </w:pPr>
    </w:p>
    <w:p w:rsidR="008B36C8" w:rsidRDefault="008B36C8">
      <w:pPr>
        <w:spacing w:after="200" w:line="276" w:lineRule="auto"/>
        <w:rPr>
          <w:rFonts w:ascii="Arial" w:hAnsi="Arial" w:cs="Arial"/>
        </w:rPr>
      </w:pPr>
      <w:r>
        <w:rPr>
          <w:rFonts w:ascii="Arial" w:hAnsi="Arial" w:cs="Arial"/>
        </w:rPr>
        <w:br w:type="page"/>
      </w:r>
    </w:p>
    <w:p w:rsidR="008B36C8" w:rsidRDefault="008B36C8" w:rsidP="00BC06AE">
      <w:pPr>
        <w:ind w:left="720"/>
        <w:jc w:val="both"/>
        <w:rPr>
          <w:rFonts w:ascii="Arial" w:hAnsi="Arial" w:cs="Arial"/>
        </w:rPr>
      </w:pPr>
    </w:p>
    <w:p w:rsidR="00BC06AE" w:rsidRDefault="00BC06AE" w:rsidP="00BC06AE">
      <w:pPr>
        <w:numPr>
          <w:ilvl w:val="0"/>
          <w:numId w:val="5"/>
        </w:numPr>
        <w:tabs>
          <w:tab w:val="clear" w:pos="1080"/>
          <w:tab w:val="num" w:pos="720"/>
        </w:tabs>
        <w:spacing w:after="0" w:line="240" w:lineRule="auto"/>
        <w:ind w:left="720"/>
        <w:jc w:val="both"/>
        <w:rPr>
          <w:rFonts w:ascii="Arial" w:hAnsi="Arial" w:cs="Arial"/>
          <w:b/>
          <w:color w:val="4F81BD" w:themeColor="accent1"/>
        </w:rPr>
      </w:pPr>
      <w:r w:rsidRPr="00AC0121">
        <w:rPr>
          <w:rFonts w:ascii="Arial" w:hAnsi="Arial" w:cs="Arial"/>
          <w:b/>
          <w:color w:val="4F81BD" w:themeColor="accent1"/>
        </w:rPr>
        <w:t>DEROULEMENT</w:t>
      </w:r>
    </w:p>
    <w:p w:rsidR="00BC06AE" w:rsidRDefault="00BC06AE" w:rsidP="00BC06AE">
      <w:pPr>
        <w:jc w:val="both"/>
        <w:rPr>
          <w:rFonts w:ascii="Arial" w:hAnsi="Arial" w:cs="Arial"/>
        </w:rPr>
      </w:pPr>
    </w:p>
    <w:p w:rsidR="00BC06AE" w:rsidRDefault="00BC06AE" w:rsidP="00BC06AE">
      <w:pPr>
        <w:jc w:val="both"/>
        <w:rPr>
          <w:rFonts w:ascii="Arial" w:hAnsi="Arial" w:cs="Arial"/>
        </w:rPr>
      </w:pPr>
      <w:r>
        <w:rPr>
          <w:rFonts w:ascii="Arial" w:hAnsi="Arial" w:cs="Arial"/>
        </w:rPr>
        <w:t>Au cours de la mission, les activités suivantes ont été organisées :</w:t>
      </w:r>
    </w:p>
    <w:p w:rsidR="00BC06AE" w:rsidRPr="009A1E8A" w:rsidRDefault="00BC06AE" w:rsidP="00BC06AE">
      <w:pPr>
        <w:jc w:val="both"/>
        <w:rPr>
          <w:rFonts w:ascii="Arial" w:hAnsi="Arial" w:cs="Arial"/>
          <w:b/>
          <w:i/>
        </w:rPr>
      </w:pPr>
      <w:r w:rsidRPr="009A1E8A">
        <w:rPr>
          <w:rFonts w:ascii="Arial" w:hAnsi="Arial" w:cs="Arial"/>
          <w:b/>
          <w:i/>
        </w:rPr>
        <w:t>Premier jour : 24/08/2015</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Réunion d’harmonisation de l’agenda de travail avec les experts de la Banque Mondiale et la DEP</w:t>
      </w:r>
      <w:r w:rsidR="00FC02E3">
        <w:rPr>
          <w:rFonts w:ascii="Arial" w:hAnsi="Arial" w:cs="Arial"/>
        </w:rPr>
        <w:t>. Cette séance a permis de positionner deux grandes activités qui sont la restitution des travaux de costing des experts de la Banque Mondiale et la réunion de sensibilisation des cadres du Ministère des Finances, du Budget, du Plan et autres sur les enjeux de la CSU</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Séance de travail avec le MPN faisant l’intérim du WRai</w:t>
      </w:r>
      <w:r w:rsidR="00FC02E3">
        <w:rPr>
          <w:rFonts w:ascii="Arial" w:hAnsi="Arial" w:cs="Arial"/>
        </w:rPr>
        <w:t>. Elle a permis de partager les préoccupations du Bureau par rapport à</w:t>
      </w:r>
      <w:r w:rsidR="00D20A01">
        <w:rPr>
          <w:rFonts w:ascii="Arial" w:hAnsi="Arial" w:cs="Arial"/>
        </w:rPr>
        <w:t xml:space="preserve"> la priorité à accorder au PNDS et par rapport</w:t>
      </w:r>
      <w:r w:rsidR="00FC02E3">
        <w:rPr>
          <w:rFonts w:ascii="Arial" w:hAnsi="Arial" w:cs="Arial"/>
        </w:rPr>
        <w:t xml:space="preserve"> à la disponibilité continue de l’appui technique de l’OMS</w:t>
      </w:r>
    </w:p>
    <w:p w:rsidR="00BC06AE" w:rsidRDefault="00BC06AE" w:rsidP="00BC06AE">
      <w:pPr>
        <w:pStyle w:val="ListParagraph"/>
        <w:spacing w:after="0" w:line="240" w:lineRule="auto"/>
        <w:jc w:val="both"/>
        <w:rPr>
          <w:rFonts w:ascii="Arial" w:hAnsi="Arial" w:cs="Arial"/>
        </w:rPr>
      </w:pPr>
    </w:p>
    <w:p w:rsidR="00BC06AE" w:rsidRPr="009A1E8A" w:rsidRDefault="00BC06AE" w:rsidP="00BC06AE">
      <w:pPr>
        <w:jc w:val="both"/>
        <w:rPr>
          <w:rFonts w:ascii="Arial" w:hAnsi="Arial" w:cs="Arial"/>
          <w:b/>
          <w:i/>
        </w:rPr>
      </w:pPr>
      <w:r w:rsidRPr="009A1E8A">
        <w:rPr>
          <w:rFonts w:ascii="Arial" w:hAnsi="Arial" w:cs="Arial"/>
          <w:b/>
          <w:i/>
        </w:rPr>
        <w:t>Deuxième jour : 25/08/2015</w:t>
      </w:r>
    </w:p>
    <w:p w:rsidR="00D20A01" w:rsidRDefault="00BC06AE" w:rsidP="00D20A01">
      <w:pPr>
        <w:pStyle w:val="ListParagraph"/>
        <w:numPr>
          <w:ilvl w:val="0"/>
          <w:numId w:val="6"/>
        </w:numPr>
        <w:spacing w:after="0" w:line="240" w:lineRule="auto"/>
        <w:jc w:val="both"/>
        <w:rPr>
          <w:rFonts w:ascii="Arial" w:hAnsi="Arial" w:cs="Arial"/>
        </w:rPr>
      </w:pPr>
      <w:r>
        <w:rPr>
          <w:rFonts w:ascii="Arial" w:hAnsi="Arial" w:cs="Arial"/>
        </w:rPr>
        <w:t>Participation aux travaux de diagnostic sectoriel du PNDS</w:t>
      </w:r>
      <w:r w:rsidR="00D20A01">
        <w:rPr>
          <w:rFonts w:ascii="Arial" w:hAnsi="Arial" w:cs="Arial"/>
        </w:rPr>
        <w:t>. Les experts ont assisté aux échanges concernant le pilier financement et le pilier infrastructure et équipements</w:t>
      </w:r>
    </w:p>
    <w:p w:rsidR="00C57C08" w:rsidRDefault="00C57C08" w:rsidP="00D20A01">
      <w:pPr>
        <w:pStyle w:val="ListParagraph"/>
        <w:numPr>
          <w:ilvl w:val="0"/>
          <w:numId w:val="6"/>
        </w:numPr>
        <w:spacing w:after="0" w:line="240" w:lineRule="auto"/>
        <w:jc w:val="both"/>
        <w:rPr>
          <w:rFonts w:ascii="Arial" w:hAnsi="Arial" w:cs="Arial"/>
        </w:rPr>
      </w:pPr>
      <w:r>
        <w:rPr>
          <w:rFonts w:ascii="Arial" w:hAnsi="Arial" w:cs="Arial"/>
        </w:rPr>
        <w:t>Finalisation de la budgétisation du paquet de la CSU par les experts de la Banque Mondiale et les options des perspectives de financement de la santé à l’horizon 2030</w:t>
      </w:r>
    </w:p>
    <w:p w:rsidR="00D20A01" w:rsidRDefault="00BC06AE" w:rsidP="00D20A01">
      <w:pPr>
        <w:pStyle w:val="ListParagraph"/>
        <w:numPr>
          <w:ilvl w:val="0"/>
          <w:numId w:val="6"/>
        </w:numPr>
        <w:spacing w:after="0" w:line="240" w:lineRule="auto"/>
        <w:jc w:val="both"/>
        <w:rPr>
          <w:rFonts w:ascii="Arial" w:hAnsi="Arial" w:cs="Arial"/>
        </w:rPr>
      </w:pPr>
      <w:r w:rsidRPr="00D20A01">
        <w:rPr>
          <w:rFonts w:ascii="Arial" w:hAnsi="Arial" w:cs="Arial"/>
        </w:rPr>
        <w:t>Visites de travail avec le Ministère du Travail, Emploi et Prévoyance Sociale, le Ministère des Finances et celui du Budget</w:t>
      </w:r>
      <w:r w:rsidR="00D20A01" w:rsidRPr="00D20A01">
        <w:rPr>
          <w:rFonts w:ascii="Arial" w:hAnsi="Arial" w:cs="Arial"/>
        </w:rPr>
        <w:t xml:space="preserve">. Ces échanges ont permis de noter la lenteur dans la mise en œuvre des réformes des finances publiques, des initiatives relatives à la protection sociale </w:t>
      </w:r>
      <w:r w:rsidR="00D20A01">
        <w:rPr>
          <w:rFonts w:ascii="Arial" w:hAnsi="Arial" w:cs="Arial"/>
        </w:rPr>
        <w:t>et la nécessité d’un dialogue politique large pour la réussite de la CSU en RDC</w:t>
      </w:r>
    </w:p>
    <w:p w:rsidR="00BC06AE" w:rsidRPr="00D20A01" w:rsidRDefault="00D20A01" w:rsidP="00D20A01">
      <w:pPr>
        <w:pStyle w:val="ListParagraph"/>
        <w:numPr>
          <w:ilvl w:val="0"/>
          <w:numId w:val="6"/>
        </w:numPr>
        <w:spacing w:after="0" w:line="240" w:lineRule="auto"/>
        <w:jc w:val="both"/>
        <w:rPr>
          <w:rFonts w:ascii="Arial" w:hAnsi="Arial" w:cs="Arial"/>
        </w:rPr>
      </w:pPr>
      <w:r w:rsidRPr="00D20A01">
        <w:rPr>
          <w:rFonts w:ascii="Arial" w:hAnsi="Arial" w:cs="Arial"/>
        </w:rPr>
        <w:t xml:space="preserve">La visite au Programme National d’appui à la protection sociale a permis de noter les efforts en cours pour la mise en place de la protection sociale dans ses 4 dimensions, à savoir </w:t>
      </w:r>
      <w:r>
        <w:rPr>
          <w:rFonts w:ascii="Arial" w:hAnsi="Arial" w:cs="Arial"/>
        </w:rPr>
        <w:t xml:space="preserve">(1) </w:t>
      </w:r>
      <w:r w:rsidRPr="00D20A01">
        <w:rPr>
          <w:rFonts w:ascii="Arial" w:hAnsi="Arial" w:cs="Arial"/>
        </w:rPr>
        <w:t xml:space="preserve">l’accès aux soins de santé (à travers le principe de la couverture sanitaire universelle, la CSU), </w:t>
      </w:r>
      <w:r>
        <w:rPr>
          <w:rFonts w:ascii="Arial" w:hAnsi="Arial" w:cs="Arial"/>
        </w:rPr>
        <w:t>(2) l</w:t>
      </w:r>
      <w:r w:rsidRPr="00D20A01">
        <w:rPr>
          <w:rFonts w:ascii="Arial" w:hAnsi="Arial" w:cs="Arial"/>
        </w:rPr>
        <w:t xml:space="preserve">’enfance (alimentation, santé et éducation des enfants) ; </w:t>
      </w:r>
      <w:r>
        <w:rPr>
          <w:rFonts w:ascii="Arial" w:hAnsi="Arial" w:cs="Arial"/>
        </w:rPr>
        <w:t>(3) l</w:t>
      </w:r>
      <w:r w:rsidRPr="00D20A01">
        <w:rPr>
          <w:rFonts w:ascii="Arial" w:hAnsi="Arial" w:cs="Arial"/>
        </w:rPr>
        <w:t xml:space="preserve">a sécurité de revenus pour les personnes en situation difficile, notamment les plus vulnérables et les indigents ; </w:t>
      </w:r>
      <w:r>
        <w:rPr>
          <w:rFonts w:ascii="Arial" w:hAnsi="Arial" w:cs="Arial"/>
        </w:rPr>
        <w:t>(4) l</w:t>
      </w:r>
      <w:r w:rsidRPr="00D20A01">
        <w:rPr>
          <w:rFonts w:ascii="Arial" w:hAnsi="Arial" w:cs="Arial"/>
        </w:rPr>
        <w:t>e troisième âge, notamment les personnes du troisième âge qui sont indigentes.</w:t>
      </w:r>
    </w:p>
    <w:p w:rsidR="00BC06AE" w:rsidRDefault="00BC06AE" w:rsidP="00BC06AE">
      <w:pPr>
        <w:pStyle w:val="ListParagraph"/>
        <w:spacing w:after="0" w:line="240" w:lineRule="auto"/>
        <w:jc w:val="both"/>
        <w:rPr>
          <w:rFonts w:ascii="Arial" w:hAnsi="Arial" w:cs="Arial"/>
        </w:rPr>
      </w:pPr>
    </w:p>
    <w:p w:rsidR="00BC06AE" w:rsidRPr="009A1E8A" w:rsidRDefault="00BC06AE" w:rsidP="00BC06AE">
      <w:pPr>
        <w:jc w:val="both"/>
        <w:rPr>
          <w:rFonts w:ascii="Arial" w:hAnsi="Arial" w:cs="Arial"/>
          <w:b/>
          <w:i/>
        </w:rPr>
      </w:pPr>
      <w:r w:rsidRPr="009A1E8A">
        <w:rPr>
          <w:rFonts w:ascii="Arial" w:hAnsi="Arial" w:cs="Arial"/>
          <w:b/>
          <w:i/>
        </w:rPr>
        <w:t>Troisième jour : 26/08/2015</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Séance de restitution des travaux des experts de la Banque Mondiale sur la budgétisation du paquet de couverture sanitaire universelle (CSU) et des perspectives de financement dudit paquet</w:t>
      </w:r>
      <w:r w:rsidR="002E2C55">
        <w:rPr>
          <w:rFonts w:ascii="Arial" w:hAnsi="Arial" w:cs="Arial"/>
        </w:rPr>
        <w:t>. Des échanges ont concerné essentiellement la composition du paquet, l’évolution linéaire de différents scenarii de financement, l’horizon temporel des perspectives de financement</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Discussion avec le WR sur les orientations et la position de l’OMS dans ce processus</w:t>
      </w:r>
      <w:r w:rsidR="002E2C55">
        <w:rPr>
          <w:rFonts w:ascii="Arial" w:hAnsi="Arial" w:cs="Arial"/>
        </w:rPr>
        <w:t xml:space="preserve">. </w:t>
      </w:r>
      <w:r w:rsidR="00E22F09">
        <w:rPr>
          <w:rFonts w:ascii="Arial" w:hAnsi="Arial" w:cs="Arial"/>
        </w:rPr>
        <w:t>Le WR a saisi cette opportunité pour préciser les attentes par rapport à la mission</w:t>
      </w:r>
    </w:p>
    <w:p w:rsidR="00BC06AE" w:rsidRDefault="00BC06AE" w:rsidP="00BC06AE">
      <w:pPr>
        <w:pStyle w:val="ListParagraph"/>
        <w:spacing w:after="0" w:line="240" w:lineRule="auto"/>
        <w:jc w:val="both"/>
        <w:rPr>
          <w:rFonts w:ascii="Arial" w:hAnsi="Arial" w:cs="Arial"/>
        </w:rPr>
      </w:pPr>
    </w:p>
    <w:p w:rsidR="00BC06AE" w:rsidRPr="009A1E8A" w:rsidRDefault="00BC06AE" w:rsidP="00BC06AE">
      <w:pPr>
        <w:jc w:val="both"/>
        <w:rPr>
          <w:rFonts w:ascii="Arial" w:hAnsi="Arial" w:cs="Arial"/>
          <w:b/>
          <w:i/>
        </w:rPr>
      </w:pPr>
      <w:r w:rsidRPr="009A1E8A">
        <w:rPr>
          <w:rFonts w:ascii="Arial" w:hAnsi="Arial" w:cs="Arial"/>
          <w:b/>
          <w:i/>
        </w:rPr>
        <w:t>Quatrième jour : 27/08/2015</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Organisation conjointe de l’atelier de sensibilisation des cadres des Ministères connexes (Intérieur, Travail et Prévoyance Sociale, Budget, Finances, Plan), de l’Agence Nationale des Entreprises de la RDC (ANEP), de l’Université de Kinshasa, de la Société Civile et autres</w:t>
      </w:r>
      <w:r w:rsidR="00B4336B">
        <w:rPr>
          <w:rFonts w:ascii="Arial" w:hAnsi="Arial" w:cs="Arial"/>
        </w:rPr>
        <w:t>. Les discussions ont été axées autour des simulations de financement de la CSU, des options pour accroître l’espace fiscal et de la prise en compte des enregistrements des faits d’Etat Civil</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lastRenderedPageBreak/>
        <w:t>Séance de travail avec les cadres de la DEP pour échanger sur les contributions de l’OMS dans le processus en cours</w:t>
      </w:r>
      <w:r w:rsidR="00B4336B">
        <w:rPr>
          <w:rFonts w:ascii="Arial" w:hAnsi="Arial" w:cs="Arial"/>
        </w:rPr>
        <w:t>. Les discussions ont permis de s’accorder sur un chronogramme réaliste pour la production du PNDS et sur la nécessité de donner la priorité au processus de la production du PNDS qui est le point de départ à l’élaboration d’autres documents stratégiques</w:t>
      </w:r>
    </w:p>
    <w:p w:rsidR="006A03FC" w:rsidRDefault="006A03FC" w:rsidP="006A03FC">
      <w:pPr>
        <w:spacing w:after="0" w:line="240" w:lineRule="auto"/>
        <w:jc w:val="both"/>
        <w:rPr>
          <w:rFonts w:ascii="Arial" w:hAnsi="Arial" w:cs="Arial"/>
        </w:rPr>
      </w:pPr>
    </w:p>
    <w:p w:rsidR="00BC06AE" w:rsidRPr="00FC02E3" w:rsidRDefault="00BC06AE" w:rsidP="00BC06AE">
      <w:pPr>
        <w:jc w:val="both"/>
        <w:rPr>
          <w:rFonts w:ascii="Arial" w:hAnsi="Arial" w:cs="Arial"/>
          <w:b/>
          <w:i/>
        </w:rPr>
      </w:pPr>
      <w:r w:rsidRPr="00FC02E3">
        <w:rPr>
          <w:rFonts w:ascii="Arial" w:hAnsi="Arial" w:cs="Arial"/>
          <w:b/>
          <w:i/>
        </w:rPr>
        <w:t>Cinquième jour : 28/08/2015</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Débriefing au Secrétaire Général à la Santé assisté par le Directeur de la DEP, du Directeur des Ressources Humaines et avec le Chef de la Division Unique du Secrétariat Général du Ministère de la Santé</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Débriefing au WR</w:t>
      </w:r>
      <w:r w:rsidR="00595F56">
        <w:rPr>
          <w:rFonts w:ascii="Arial" w:hAnsi="Arial" w:cs="Arial"/>
        </w:rPr>
        <w:t xml:space="preserve">. Au cours de ladite réunion, </w:t>
      </w:r>
      <w:r w:rsidR="00AD2C74">
        <w:rPr>
          <w:rFonts w:ascii="Arial" w:hAnsi="Arial" w:cs="Arial"/>
        </w:rPr>
        <w:t>les experts ont présenté ce qui est déjà fait à ce jour en rapport avec les trois documents stratégiques et ce qui reste à faire.</w:t>
      </w:r>
      <w:r w:rsidR="00522548">
        <w:rPr>
          <w:rFonts w:ascii="Arial" w:hAnsi="Arial" w:cs="Arial"/>
        </w:rPr>
        <w:t xml:space="preserve"> Ils ont aussi manifesté leur disponibilité pour continuer à accompagner le processus</w:t>
      </w:r>
    </w:p>
    <w:p w:rsidR="00BC06AE" w:rsidRDefault="00BC06AE" w:rsidP="00BC06AE">
      <w:pPr>
        <w:pStyle w:val="ListParagraph"/>
        <w:spacing w:after="0" w:line="240" w:lineRule="auto"/>
        <w:jc w:val="both"/>
        <w:rPr>
          <w:rFonts w:ascii="Arial" w:hAnsi="Arial" w:cs="Arial"/>
        </w:rPr>
      </w:pPr>
    </w:p>
    <w:p w:rsidR="00BC06AE" w:rsidRPr="00FC02E3" w:rsidRDefault="00BC06AE" w:rsidP="00BC06AE">
      <w:pPr>
        <w:jc w:val="both"/>
        <w:rPr>
          <w:rFonts w:ascii="Arial" w:hAnsi="Arial" w:cs="Arial"/>
          <w:b/>
          <w:i/>
        </w:rPr>
      </w:pPr>
      <w:r w:rsidRPr="00FC02E3">
        <w:rPr>
          <w:rFonts w:ascii="Arial" w:hAnsi="Arial" w:cs="Arial"/>
          <w:b/>
          <w:i/>
        </w:rPr>
        <w:t>Sixième jour : 29/08/2015 </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Participation aux travaux sur le diagnostic sectoriel du PNDS</w:t>
      </w:r>
    </w:p>
    <w:p w:rsidR="00DF71CD" w:rsidRDefault="00DF71CD" w:rsidP="00BC06AE">
      <w:pPr>
        <w:pStyle w:val="ListParagraph"/>
        <w:numPr>
          <w:ilvl w:val="0"/>
          <w:numId w:val="6"/>
        </w:numPr>
        <w:spacing w:after="0" w:line="240" w:lineRule="auto"/>
        <w:jc w:val="both"/>
        <w:rPr>
          <w:rFonts w:ascii="Arial" w:hAnsi="Arial" w:cs="Arial"/>
        </w:rPr>
      </w:pPr>
      <w:r>
        <w:rPr>
          <w:rFonts w:ascii="Arial" w:hAnsi="Arial" w:cs="Arial"/>
        </w:rPr>
        <w:t xml:space="preserve">Séance de travail pour le débriefing de la mission avec les experts de la Banque Mondiale. Elle a permis d’identifier les tâches qui restent à faire pour finaliser la stratégie de financement de la santé. Il s’agit notamment du réajustement du paquet à la suite de la réunion mixte de la commission de prestation, de celle de Financement et celle de la gouvernance prévue pour la semaine prochaine.  </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Elaboration du rapport</w:t>
      </w:r>
    </w:p>
    <w:p w:rsidR="00BC06AE" w:rsidRPr="00E746EA" w:rsidRDefault="00BC06AE" w:rsidP="00BC06AE">
      <w:pPr>
        <w:pStyle w:val="ListParagraph"/>
        <w:jc w:val="both"/>
        <w:rPr>
          <w:rFonts w:ascii="Arial" w:hAnsi="Arial" w:cs="Arial"/>
        </w:rPr>
      </w:pPr>
    </w:p>
    <w:p w:rsidR="00BC06AE" w:rsidRDefault="00BC06AE" w:rsidP="00BC06AE">
      <w:pPr>
        <w:numPr>
          <w:ilvl w:val="0"/>
          <w:numId w:val="5"/>
        </w:numPr>
        <w:tabs>
          <w:tab w:val="clear" w:pos="1080"/>
          <w:tab w:val="num" w:pos="-720"/>
        </w:tabs>
        <w:spacing w:after="0" w:line="240" w:lineRule="auto"/>
        <w:ind w:left="720"/>
        <w:jc w:val="both"/>
        <w:rPr>
          <w:rFonts w:ascii="Arial" w:hAnsi="Arial" w:cs="Arial"/>
          <w:b/>
          <w:color w:val="4F81BD" w:themeColor="accent1"/>
        </w:rPr>
      </w:pPr>
      <w:r w:rsidRPr="001D6ED9">
        <w:rPr>
          <w:rFonts w:ascii="Arial" w:hAnsi="Arial" w:cs="Arial"/>
          <w:b/>
          <w:color w:val="4F81BD" w:themeColor="accent1"/>
        </w:rPr>
        <w:t>POINTS CLES A RETENIR</w:t>
      </w:r>
    </w:p>
    <w:p w:rsidR="00BC06AE" w:rsidRDefault="00BC06AE" w:rsidP="00BC06AE">
      <w:pPr>
        <w:jc w:val="both"/>
        <w:rPr>
          <w:rFonts w:ascii="Arial" w:hAnsi="Arial" w:cs="Arial"/>
          <w:b/>
          <w:color w:val="4F81BD" w:themeColor="accent1"/>
        </w:rPr>
      </w:pPr>
    </w:p>
    <w:p w:rsidR="00BC06AE" w:rsidRDefault="00BC06AE" w:rsidP="00BC06AE">
      <w:pPr>
        <w:jc w:val="both"/>
        <w:rPr>
          <w:rFonts w:ascii="Arial" w:hAnsi="Arial" w:cs="Arial"/>
          <w:b/>
          <w:color w:val="4F81BD" w:themeColor="accent1"/>
        </w:rPr>
      </w:pPr>
      <w:r>
        <w:rPr>
          <w:rFonts w:ascii="Arial" w:hAnsi="Arial" w:cs="Arial"/>
          <w:b/>
          <w:color w:val="4F81BD" w:themeColor="accent1"/>
        </w:rPr>
        <w:t>En rapport avec l’élaboration du PNDS</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Le PNDS est le socle pour l’élaboration de tous les autres documents stratégiques, d’où la nécessité de définir un chronogramme réaliste qui va permettre d’obtenir un PNDS consistant à partir duquel vont découler les autres documents</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L’échéance optimiste fixé va jusqu’en fin Novembre 2015, avec la possibilité d’avoir un diagnostic sectoriel détaillé en début septembre et un premier draft du PNDS en fin Octobre 2015</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 xml:space="preserve">Il y a besoin d’assistance technique pour le cadrage macroéconomique, la budgétisation avec le logiciel ONE HEALTH, le cadre de suivi et évaluation dans le contexte de la redevabilité. </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Il y a une formation sur le ONE HEALTH à Libreville du 17 septembre au 3 Octobre 2015. Il sera souhaitable de saisir cette opportunité pour renforcer les capacités de quelques cadres de la RDC</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Il sera aussi souhaitable d’identifier un consultant national pour appuyer le processus de l’écriture du document de PNDS</w:t>
      </w:r>
    </w:p>
    <w:p w:rsidR="00BC06AE" w:rsidRDefault="00BC06AE" w:rsidP="00BC06AE">
      <w:pPr>
        <w:jc w:val="both"/>
        <w:rPr>
          <w:rFonts w:ascii="Arial" w:hAnsi="Arial" w:cs="Arial"/>
          <w:b/>
          <w:color w:val="4F81BD" w:themeColor="accent1"/>
        </w:rPr>
      </w:pPr>
    </w:p>
    <w:p w:rsidR="00BC06AE" w:rsidRDefault="00BC06AE" w:rsidP="00BC06AE">
      <w:pPr>
        <w:jc w:val="both"/>
        <w:rPr>
          <w:rFonts w:ascii="Arial" w:hAnsi="Arial" w:cs="Arial"/>
          <w:b/>
          <w:color w:val="4F81BD" w:themeColor="accent1"/>
        </w:rPr>
      </w:pPr>
      <w:r>
        <w:rPr>
          <w:rFonts w:ascii="Arial" w:hAnsi="Arial" w:cs="Arial"/>
          <w:b/>
          <w:color w:val="4F81BD" w:themeColor="accent1"/>
        </w:rPr>
        <w:t>En rapport avec le cadre d’investissement du GFF</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Ce cadre doit être l’émanation du PNDS. Son écriture devra être liée au processus d’élaboration du PNDS</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 xml:space="preserve">Le GFF devra avoir une vision large et non celle d’un simple projet. Il s’agit en fait d’un mécanisme de financement mondial en faveur de la réduction de la mortalité de la mère, du nouveau-né, de l’enfant et de l’adolescent. </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lastRenderedPageBreak/>
        <w:t>Dans un premier temps, les dernières discussions renseignent que la RDC va bénéficier de 40 millions USD de fonds IDA et de 80 millions de Trust Fund, soit au total 120 millions USD pour une durée de 3 ans</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Il y a déjà un draft disponible, il a été élaboré sur la base des pri</w:t>
      </w:r>
      <w:bookmarkStart w:id="0" w:name="_GoBack"/>
      <w:bookmarkEnd w:id="0"/>
      <w:r>
        <w:rPr>
          <w:rFonts w:ascii="Arial" w:hAnsi="Arial" w:cs="Arial"/>
        </w:rPr>
        <w:t>orités définies par la revue du PNDS 2011-2015. Il sera question de bien l’affiner à la lumière des priorités du PNDS actuellement en cours de préparation. Il est aussi possible de le simplifier en restructurant le plan et en supprimant les redondances</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Les chapitres qui restent sont les suivants : priorisation des interventions, stratégie d’investissement et la budgétisation (costing). La priorisation devra tenir compte des interventions en faveur de la nutrition et des adolescents qui n’ont pas été suffisamment développés à ce stade</w:t>
      </w:r>
    </w:p>
    <w:p w:rsidR="00BC06AE" w:rsidRPr="00D20906" w:rsidRDefault="00BC06AE" w:rsidP="00BC06AE">
      <w:pPr>
        <w:pStyle w:val="ListParagraph"/>
        <w:jc w:val="both"/>
        <w:rPr>
          <w:rFonts w:ascii="Arial" w:hAnsi="Arial" w:cs="Arial"/>
        </w:rPr>
      </w:pPr>
    </w:p>
    <w:p w:rsidR="00BC06AE" w:rsidRDefault="00BC06AE" w:rsidP="00BC06AE">
      <w:pPr>
        <w:jc w:val="both"/>
        <w:rPr>
          <w:rFonts w:ascii="Arial" w:hAnsi="Arial" w:cs="Arial"/>
          <w:b/>
          <w:color w:val="4F81BD" w:themeColor="accent1"/>
        </w:rPr>
      </w:pPr>
      <w:r>
        <w:rPr>
          <w:rFonts w:ascii="Arial" w:hAnsi="Arial" w:cs="Arial"/>
          <w:b/>
          <w:color w:val="4F81BD" w:themeColor="accent1"/>
        </w:rPr>
        <w:t>En rapport avec la définition du paquet de CSU</w:t>
      </w:r>
    </w:p>
    <w:p w:rsidR="00BC06AE" w:rsidRDefault="00BC06AE" w:rsidP="00BC06AE">
      <w:pPr>
        <w:pStyle w:val="ListParagraph"/>
        <w:numPr>
          <w:ilvl w:val="0"/>
          <w:numId w:val="6"/>
        </w:numPr>
        <w:spacing w:after="0" w:line="240" w:lineRule="auto"/>
        <w:jc w:val="both"/>
        <w:rPr>
          <w:rFonts w:ascii="Arial" w:hAnsi="Arial" w:cs="Arial"/>
        </w:rPr>
      </w:pPr>
      <w:r w:rsidRPr="00D20906">
        <w:rPr>
          <w:rFonts w:ascii="Arial" w:hAnsi="Arial" w:cs="Arial"/>
        </w:rPr>
        <w:t xml:space="preserve">Le paquet de services discuté dans la commission prestation du CNP comprend au niveau du CS : </w:t>
      </w:r>
      <w:r w:rsidRPr="00D20906">
        <w:rPr>
          <w:rFonts w:ascii="Arial" w:eastAsia="Times New Roman" w:hAnsi="Arial" w:cs="Arial"/>
        </w:rPr>
        <w:t>Accouchement eutocique</w:t>
      </w:r>
      <w:r w:rsidRPr="00D20906">
        <w:rPr>
          <w:rFonts w:ascii="Arial" w:hAnsi="Arial" w:cs="Arial"/>
        </w:rPr>
        <w:t xml:space="preserve">, </w:t>
      </w:r>
      <w:r w:rsidRPr="00D20906">
        <w:rPr>
          <w:rFonts w:ascii="Arial" w:eastAsia="Times New Roman" w:hAnsi="Arial" w:cs="Arial"/>
        </w:rPr>
        <w:t>Soins prénatals (CPN recentrée, incluant PF)</w:t>
      </w:r>
      <w:r w:rsidRPr="00D20906">
        <w:rPr>
          <w:rFonts w:ascii="Arial" w:hAnsi="Arial" w:cs="Arial"/>
        </w:rPr>
        <w:t xml:space="preserve">, </w:t>
      </w:r>
      <w:r w:rsidRPr="00D20906">
        <w:rPr>
          <w:rFonts w:ascii="Arial" w:eastAsia="Times New Roman" w:hAnsi="Arial" w:cs="Arial"/>
        </w:rPr>
        <w:t>Traitement préventif intermittent du paludisme</w:t>
      </w:r>
      <w:r w:rsidRPr="00D20906">
        <w:rPr>
          <w:rFonts w:ascii="Arial" w:hAnsi="Arial" w:cs="Arial"/>
        </w:rPr>
        <w:t xml:space="preserve">, </w:t>
      </w:r>
      <w:r w:rsidRPr="00D20906">
        <w:rPr>
          <w:rFonts w:ascii="Arial" w:eastAsia="Times New Roman" w:hAnsi="Arial" w:cs="Arial"/>
        </w:rPr>
        <w:t>Prévention de la Transmission Mère-Enfant  du VIH (PTME)</w:t>
      </w:r>
      <w:r w:rsidRPr="00D20906">
        <w:rPr>
          <w:rFonts w:ascii="Arial" w:hAnsi="Arial" w:cs="Arial"/>
        </w:rPr>
        <w:t xml:space="preserve">, </w:t>
      </w:r>
      <w:r w:rsidRPr="00D20906">
        <w:rPr>
          <w:rFonts w:ascii="Arial" w:eastAsia="Times New Roman" w:hAnsi="Arial" w:cs="Arial"/>
        </w:rPr>
        <w:t>Immunisation + Vitamine A</w:t>
      </w:r>
      <w:r w:rsidRPr="00D20906">
        <w:rPr>
          <w:rFonts w:ascii="Arial" w:hAnsi="Arial" w:cs="Arial"/>
        </w:rPr>
        <w:t xml:space="preserve">, </w:t>
      </w:r>
      <w:r w:rsidRPr="00D20906">
        <w:rPr>
          <w:rFonts w:ascii="Arial" w:eastAsia="Times New Roman" w:hAnsi="Arial" w:cs="Arial"/>
        </w:rPr>
        <w:t>PEC maladies courantes + VIH/SIDA, paludisme, TB</w:t>
      </w:r>
    </w:p>
    <w:p w:rsidR="00BC06AE" w:rsidRPr="00D20906" w:rsidRDefault="00BC06AE" w:rsidP="00BC06AE">
      <w:pPr>
        <w:pStyle w:val="ListParagraph"/>
        <w:numPr>
          <w:ilvl w:val="0"/>
          <w:numId w:val="6"/>
        </w:numPr>
        <w:spacing w:after="0" w:line="240" w:lineRule="auto"/>
        <w:jc w:val="both"/>
        <w:rPr>
          <w:rFonts w:ascii="Arial" w:hAnsi="Arial" w:cs="Arial"/>
        </w:rPr>
      </w:pPr>
      <w:r w:rsidRPr="00D20906">
        <w:rPr>
          <w:rFonts w:ascii="Arial" w:hAnsi="Arial" w:cs="Arial"/>
        </w:rPr>
        <w:t>Au niveau de l’HGR, il comprend l’</w:t>
      </w:r>
      <w:r w:rsidRPr="00D20906">
        <w:rPr>
          <w:rFonts w:ascii="Arial" w:eastAsia="Times New Roman" w:hAnsi="Arial" w:cs="Arial"/>
        </w:rPr>
        <w:t>Accouchement eutocique et dystocique</w:t>
      </w:r>
      <w:r w:rsidRPr="00D20906">
        <w:rPr>
          <w:rFonts w:ascii="Arial" w:hAnsi="Arial" w:cs="Arial"/>
        </w:rPr>
        <w:t>,</w:t>
      </w:r>
      <w:r w:rsidRPr="00D20906">
        <w:rPr>
          <w:rFonts w:ascii="Arial" w:hAnsi="Arial" w:cs="Arial"/>
          <w:b/>
          <w:bCs/>
        </w:rPr>
        <w:t xml:space="preserve"> </w:t>
      </w:r>
      <w:r w:rsidRPr="00D20906">
        <w:rPr>
          <w:rFonts w:ascii="Arial" w:hAnsi="Arial" w:cs="Arial"/>
        </w:rPr>
        <w:t xml:space="preserve">les </w:t>
      </w:r>
      <w:r w:rsidRPr="00D20906">
        <w:rPr>
          <w:rFonts w:ascii="Arial" w:eastAsia="Times New Roman" w:hAnsi="Arial" w:cs="Arial"/>
        </w:rPr>
        <w:t>Soins obstétricaux de base et complets en urgence</w:t>
      </w:r>
      <w:r w:rsidRPr="00D20906">
        <w:rPr>
          <w:rFonts w:ascii="Arial" w:hAnsi="Arial" w:cs="Arial"/>
        </w:rPr>
        <w:t xml:space="preserve">, les </w:t>
      </w:r>
      <w:r w:rsidRPr="00D20906">
        <w:rPr>
          <w:rFonts w:ascii="Arial" w:eastAsia="Times New Roman" w:hAnsi="Arial" w:cs="Arial"/>
        </w:rPr>
        <w:t>Soins néonatals en urgence</w:t>
      </w:r>
      <w:r w:rsidRPr="00D20906">
        <w:rPr>
          <w:rFonts w:ascii="Arial" w:hAnsi="Arial" w:cs="Arial"/>
        </w:rPr>
        <w:t>, l’</w:t>
      </w:r>
      <w:r w:rsidRPr="00D20906">
        <w:rPr>
          <w:rFonts w:ascii="Arial" w:eastAsia="Times New Roman" w:hAnsi="Arial" w:cs="Arial"/>
        </w:rPr>
        <w:t>Antibiothérapie pour la pneumonie, les fièvres sévères, et la dysenterie chez les enfants</w:t>
      </w:r>
      <w:r w:rsidRPr="00D20906">
        <w:rPr>
          <w:rFonts w:ascii="Arial" w:hAnsi="Arial" w:cs="Arial"/>
        </w:rPr>
        <w:t xml:space="preserve">, le </w:t>
      </w:r>
      <w:r w:rsidRPr="00D20906">
        <w:rPr>
          <w:rFonts w:ascii="Arial" w:eastAsia="Times New Roman" w:hAnsi="Arial" w:cs="Arial"/>
        </w:rPr>
        <w:t>Dépistage et traitement des IST</w:t>
      </w:r>
      <w:r w:rsidRPr="00D20906">
        <w:rPr>
          <w:rFonts w:ascii="Arial" w:hAnsi="Arial" w:cs="Arial"/>
        </w:rPr>
        <w:t xml:space="preserve"> et le </w:t>
      </w:r>
      <w:r w:rsidRPr="00D20906">
        <w:rPr>
          <w:rFonts w:ascii="Arial" w:eastAsia="Times New Roman" w:hAnsi="Arial" w:cs="Arial"/>
        </w:rPr>
        <w:t>Dépistage et traitement du VIH, TB (1 et 2 lignes)</w:t>
      </w:r>
    </w:p>
    <w:p w:rsidR="00BC06AE" w:rsidRPr="00D20906" w:rsidRDefault="00BC06AE" w:rsidP="00BC06AE">
      <w:pPr>
        <w:pStyle w:val="ListParagraph"/>
        <w:numPr>
          <w:ilvl w:val="0"/>
          <w:numId w:val="6"/>
        </w:numPr>
        <w:spacing w:after="0" w:line="240" w:lineRule="auto"/>
        <w:jc w:val="both"/>
        <w:rPr>
          <w:rFonts w:ascii="Arial" w:hAnsi="Arial" w:cs="Arial"/>
        </w:rPr>
      </w:pPr>
      <w:r w:rsidRPr="00D20906">
        <w:rPr>
          <w:rFonts w:ascii="Arial" w:hAnsi="Arial" w:cs="Arial"/>
        </w:rPr>
        <w:t xml:space="preserve">La budgétisation a été faite avec la technique « bottom-up costing ». </w:t>
      </w:r>
      <w:r w:rsidRPr="00D20906">
        <w:rPr>
          <w:rFonts w:ascii="Arial" w:eastAsia="Times New Roman" w:hAnsi="Arial" w:cs="Arial"/>
        </w:rPr>
        <w:t>Les couts du paquet comprennent: les couts récurrents variables (médicamen</w:t>
      </w:r>
      <w:r>
        <w:rPr>
          <w:rFonts w:ascii="Arial" w:hAnsi="Arial" w:cs="Arial"/>
        </w:rPr>
        <w:t>ts, personnel technique, etc.) et</w:t>
      </w:r>
      <w:r w:rsidRPr="00D20906">
        <w:rPr>
          <w:rFonts w:ascii="Arial" w:eastAsia="Times New Roman" w:hAnsi="Arial" w:cs="Arial"/>
        </w:rPr>
        <w:t xml:space="preserve"> une partie des couts fixes administratifs</w:t>
      </w:r>
    </w:p>
    <w:p w:rsidR="00BC06AE" w:rsidRDefault="00BC06AE" w:rsidP="00BC06AE">
      <w:pPr>
        <w:pStyle w:val="ListParagraph"/>
        <w:numPr>
          <w:ilvl w:val="0"/>
          <w:numId w:val="6"/>
        </w:numPr>
        <w:spacing w:after="0" w:line="240" w:lineRule="auto"/>
        <w:jc w:val="both"/>
        <w:rPr>
          <w:rFonts w:ascii="Arial" w:hAnsi="Arial" w:cs="Arial"/>
        </w:rPr>
      </w:pPr>
      <w:r w:rsidRPr="00D20906">
        <w:rPr>
          <w:rFonts w:ascii="Arial" w:eastAsia="Times New Roman" w:hAnsi="Arial" w:cs="Arial"/>
        </w:rPr>
        <w:t>Les cou</w:t>
      </w:r>
      <w:r w:rsidRPr="00D20906">
        <w:rPr>
          <w:rFonts w:ascii="Arial" w:hAnsi="Arial" w:cs="Arial"/>
        </w:rPr>
        <w:t xml:space="preserve">ts du paquet ne comprennent pas </w:t>
      </w:r>
      <w:r w:rsidRPr="00D20906">
        <w:rPr>
          <w:rFonts w:ascii="Arial" w:eastAsia="Times New Roman" w:hAnsi="Arial" w:cs="Arial"/>
        </w:rPr>
        <w:t>les couts capitaux, les couts de fonctionnement, les couts a niveau régional / central, et les couts des interventions hors du paquet</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Le coût du paquet est de 6,22 USD en 2016 avec une couverture moyenne des services de 35%, et va évoluer jusqu’à 22 USD en 2030 avec une couverture de 80%. L’une des faiblesses notées est l’évolution linéaire de l’utilisation des services, ce qui est rarement le cas en réalité</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Les dépenses totales en santé vont varier de 1,1 milliard USD en 2016 à 3,2 milliards USD en 2030. Les différents scenarii donnent des gaps allant de 93 millions USD pour le plus conservateur à 692 millions pour le plus pessimiste. Les experts de la Banque Mondiale sont prêts à finaliser la budgétisation dans les deux semaines qui suivent</w:t>
      </w:r>
    </w:p>
    <w:p w:rsidR="00BC06AE" w:rsidRPr="00337BEE" w:rsidRDefault="00BC06AE" w:rsidP="00BC06AE">
      <w:pPr>
        <w:pStyle w:val="ListParagraph"/>
        <w:numPr>
          <w:ilvl w:val="0"/>
          <w:numId w:val="6"/>
        </w:numPr>
        <w:spacing w:after="0" w:line="240" w:lineRule="auto"/>
        <w:jc w:val="both"/>
        <w:rPr>
          <w:rFonts w:ascii="Arial" w:hAnsi="Arial" w:cs="Arial"/>
        </w:rPr>
      </w:pPr>
      <w:r w:rsidRPr="00D73C9B">
        <w:rPr>
          <w:rFonts w:ascii="Arial" w:hAnsi="Arial" w:cs="Arial"/>
        </w:rPr>
        <w:t>Parmi les leviers recommandés</w:t>
      </w:r>
      <w:r>
        <w:rPr>
          <w:rFonts w:ascii="Arial" w:hAnsi="Arial" w:cs="Arial"/>
        </w:rPr>
        <w:t xml:space="preserve"> pour couvrir ce gap</w:t>
      </w:r>
      <w:r w:rsidRPr="00D73C9B">
        <w:rPr>
          <w:rFonts w:ascii="Arial" w:hAnsi="Arial" w:cs="Arial"/>
        </w:rPr>
        <w:t>, il y a la m</w:t>
      </w:r>
      <w:r w:rsidR="00831C61" w:rsidRPr="00D73C9B">
        <w:rPr>
          <w:rFonts w:ascii="Arial" w:eastAsia="Times New Roman" w:hAnsi="Arial" w:cs="Arial"/>
          <w:lang w:val="fr-FR"/>
        </w:rPr>
        <w:t>mobilisation</w:t>
      </w:r>
      <w:r w:rsidRPr="00D73C9B">
        <w:rPr>
          <w:rFonts w:ascii="Arial" w:eastAsia="Times New Roman" w:hAnsi="Arial" w:cs="Arial"/>
          <w:lang w:val="fr-FR"/>
        </w:rPr>
        <w:t xml:space="preserve"> accrue des recettes de l’Etat</w:t>
      </w:r>
      <w:r w:rsidRPr="00D73C9B">
        <w:rPr>
          <w:rFonts w:ascii="Arial" w:hAnsi="Arial" w:cs="Arial"/>
        </w:rPr>
        <w:t>, l’augmentation de la part sante dans le budget, l’e</w:t>
      </w:r>
      <w:r w:rsidR="00831C61" w:rsidRPr="00D73C9B">
        <w:rPr>
          <w:rFonts w:ascii="Arial" w:eastAsia="Times New Roman" w:hAnsi="Arial" w:cs="Arial"/>
          <w:lang w:val="fr-FR"/>
        </w:rPr>
        <w:t>efficience</w:t>
      </w:r>
      <w:r w:rsidRPr="00D73C9B">
        <w:rPr>
          <w:rFonts w:ascii="Arial" w:eastAsia="Times New Roman" w:hAnsi="Arial" w:cs="Arial"/>
          <w:lang w:val="fr-FR"/>
        </w:rPr>
        <w:t xml:space="preserve"> </w:t>
      </w:r>
      <w:r w:rsidRPr="00D73C9B">
        <w:rPr>
          <w:rFonts w:ascii="Arial" w:hAnsi="Arial" w:cs="Arial"/>
        </w:rPr>
        <w:t>renforcé</w:t>
      </w:r>
      <w:r w:rsidRPr="00D73C9B">
        <w:rPr>
          <w:rFonts w:ascii="Arial" w:eastAsia="Times New Roman" w:hAnsi="Arial" w:cs="Arial"/>
          <w:lang w:val="fr-FR"/>
        </w:rPr>
        <w:t>e</w:t>
      </w:r>
      <w:r w:rsidRPr="00D73C9B">
        <w:rPr>
          <w:rFonts w:ascii="Arial" w:hAnsi="Arial" w:cs="Arial"/>
        </w:rPr>
        <w:t xml:space="preserve"> et le m</w:t>
      </w:r>
      <w:r w:rsidR="00831C61" w:rsidRPr="00D73C9B">
        <w:rPr>
          <w:rFonts w:ascii="Arial" w:eastAsia="Times New Roman" w:hAnsi="Arial" w:cs="Arial"/>
          <w:lang w:val="fr-FR"/>
        </w:rPr>
        <w:t>maintien</w:t>
      </w:r>
      <w:r w:rsidRPr="00D73C9B">
        <w:rPr>
          <w:rFonts w:ascii="Arial" w:eastAsia="Times New Roman" w:hAnsi="Arial" w:cs="Arial"/>
          <w:lang w:val="fr-FR"/>
        </w:rPr>
        <w:t xml:space="preserve"> de l’aide </w:t>
      </w:r>
      <w:r w:rsidRPr="00D73C9B">
        <w:rPr>
          <w:rFonts w:ascii="Arial" w:hAnsi="Arial" w:cs="Arial"/>
        </w:rPr>
        <w:t>extérieure</w:t>
      </w:r>
      <w:r w:rsidRPr="00D73C9B">
        <w:rPr>
          <w:rFonts w:ascii="Arial" w:eastAsia="Times New Roman" w:hAnsi="Arial" w:cs="Arial"/>
          <w:lang w:val="fr-FR"/>
        </w:rPr>
        <w:t>.</w:t>
      </w:r>
    </w:p>
    <w:p w:rsidR="00337BEE" w:rsidRPr="00D73C9B" w:rsidRDefault="00337BEE" w:rsidP="00BC06AE">
      <w:pPr>
        <w:pStyle w:val="ListParagraph"/>
        <w:numPr>
          <w:ilvl w:val="0"/>
          <w:numId w:val="6"/>
        </w:numPr>
        <w:spacing w:after="0" w:line="240" w:lineRule="auto"/>
        <w:jc w:val="both"/>
        <w:rPr>
          <w:rFonts w:ascii="Arial" w:hAnsi="Arial" w:cs="Arial"/>
        </w:rPr>
      </w:pPr>
      <w:r>
        <w:rPr>
          <w:rFonts w:ascii="Arial" w:eastAsia="Times New Roman" w:hAnsi="Arial" w:cs="Arial"/>
          <w:lang w:val="fr-FR"/>
        </w:rPr>
        <w:t>Les experts de la Banque Mondiale ont promis de partager l’outil de costing du paquet de CSU avec l’équipe de la DEP</w:t>
      </w:r>
    </w:p>
    <w:p w:rsidR="00BC06AE" w:rsidRPr="00D20906" w:rsidRDefault="00BC06AE" w:rsidP="00BC06AE">
      <w:pPr>
        <w:pStyle w:val="ListParagraph"/>
        <w:jc w:val="both"/>
        <w:rPr>
          <w:rFonts w:ascii="Arial" w:hAnsi="Arial" w:cs="Arial"/>
        </w:rPr>
      </w:pPr>
    </w:p>
    <w:p w:rsidR="00BC06AE" w:rsidRDefault="00BC06AE" w:rsidP="00BC06AE">
      <w:pPr>
        <w:jc w:val="both"/>
        <w:rPr>
          <w:rFonts w:ascii="Arial" w:hAnsi="Arial" w:cs="Arial"/>
          <w:b/>
          <w:color w:val="4F81BD" w:themeColor="accent1"/>
        </w:rPr>
      </w:pPr>
      <w:r>
        <w:rPr>
          <w:rFonts w:ascii="Arial" w:hAnsi="Arial" w:cs="Arial"/>
          <w:b/>
          <w:color w:val="4F81BD" w:themeColor="accent1"/>
        </w:rPr>
        <w:t>En rapport avec la stratégie de financement</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Beaucoup d’éléments sont déjà disponibles, notamment l’analyse de la situation en rapport avec le paquet de services et les perspectives de financement (mobilisation des ressources. Il reste à développer les aspects relatifs à la mutualisation et à l’achat des services</w:t>
      </w:r>
    </w:p>
    <w:p w:rsidR="00CA5B89" w:rsidRDefault="00CA5B89" w:rsidP="00BC06AE">
      <w:pPr>
        <w:pStyle w:val="ListParagraph"/>
        <w:numPr>
          <w:ilvl w:val="0"/>
          <w:numId w:val="6"/>
        </w:numPr>
        <w:spacing w:after="0" w:line="240" w:lineRule="auto"/>
        <w:jc w:val="both"/>
        <w:rPr>
          <w:rFonts w:ascii="Arial" w:hAnsi="Arial" w:cs="Arial"/>
        </w:rPr>
      </w:pPr>
      <w:r>
        <w:rPr>
          <w:rFonts w:ascii="Arial" w:hAnsi="Arial" w:cs="Arial"/>
        </w:rPr>
        <w:t xml:space="preserve">Les experts de la Banque Mondiale </w:t>
      </w:r>
      <w:r w:rsidR="000C7626">
        <w:rPr>
          <w:rFonts w:ascii="Arial" w:hAnsi="Arial" w:cs="Arial"/>
        </w:rPr>
        <w:t>ont promis d’envoyer l</w:t>
      </w:r>
      <w:r>
        <w:rPr>
          <w:rFonts w:ascii="Arial" w:hAnsi="Arial" w:cs="Arial"/>
        </w:rPr>
        <w:t>e</w:t>
      </w:r>
      <w:r w:rsidR="000C7626">
        <w:rPr>
          <w:rFonts w:ascii="Arial" w:hAnsi="Arial" w:cs="Arial"/>
        </w:rPr>
        <w:t>ur</w:t>
      </w:r>
      <w:r>
        <w:rPr>
          <w:rFonts w:ascii="Arial" w:hAnsi="Arial" w:cs="Arial"/>
        </w:rPr>
        <w:t>s contributions sur la mutualisation et l’achat des services autour du 20 Septembre 2015.</w:t>
      </w:r>
      <w:r w:rsidR="000C7626">
        <w:rPr>
          <w:rFonts w:ascii="Arial" w:hAnsi="Arial" w:cs="Arial"/>
        </w:rPr>
        <w:t xml:space="preserve"> Hélène BAROY va continuer à travailler sur cette question bien qu’elle va quitter la Banque Mondiale pour </w:t>
      </w:r>
      <w:r w:rsidR="000C7626">
        <w:rPr>
          <w:rFonts w:ascii="Arial" w:hAnsi="Arial" w:cs="Arial"/>
        </w:rPr>
        <w:lastRenderedPageBreak/>
        <w:t>rejoindre son poste à l’OMS en début septembre 2015. Sa contribution sera considérée comme une contribution de l’OMS dans ce processus. Elle est aussi prête à centraliser les différentes contributions des collègues de l’OMS pour en faire une synthèse à transmettre au Bureau Pays de l’OMS avant la DEP</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 xml:space="preserve">S’agissant de la mutualisation, il y a de grandes questions sur la gestion de la  caisse des fonds mis en commun. S’agira-t-il de la caisse nationale de protection sociale (CNPS) gérée par le Ministère du Travail de l’Emploi et de Prévoyance Sociale, ou alors d’un fonds national pour la promotion de la santé (FNPS) qui sera gérée par le Ministère de la Santé. Les réflexions se poursuivent pour donner un conseil avisé au Gouvernement </w:t>
      </w:r>
      <w:r w:rsidR="004D3276">
        <w:rPr>
          <w:rFonts w:ascii="Arial" w:hAnsi="Arial" w:cs="Arial"/>
        </w:rPr>
        <w:t>car il s’agit de l’un des points importants de dissension au sein du Conseil National d</w:t>
      </w:r>
      <w:r w:rsidR="00337BEE">
        <w:rPr>
          <w:rFonts w:ascii="Arial" w:hAnsi="Arial" w:cs="Arial"/>
        </w:rPr>
        <w:t>’Appui à la Protection Sociale</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Vu la condition de l’avoir pour la soumission du cadre d’investissement du GFF, il est souhaitable de finaliser dans un premier temps une stratégie globale qui sera complété dans un deuxième temps par un plan de mise en œuvre</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Celui-ci exige une démarche mét</w:t>
      </w:r>
      <w:r w:rsidR="003E3717">
        <w:rPr>
          <w:rFonts w:ascii="Arial" w:hAnsi="Arial" w:cs="Arial"/>
        </w:rPr>
        <w:t>hodique qui peut prendre six à neuf</w:t>
      </w:r>
      <w:r>
        <w:rPr>
          <w:rFonts w:ascii="Arial" w:hAnsi="Arial" w:cs="Arial"/>
        </w:rPr>
        <w:t xml:space="preserve"> mois. Le réseau P4H est disposé à fournir une assistance technique permanente ou perlée pour le faire.</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Il y a nécessité de préparer les TDR avec un chronogramme pour ce processus, et des modèles de stratégies de financement d’autres pays</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Il est prévu des états généraux de la protection sociale du 7 au 11 septembre 2015, il a été suggéré qu’IST puisse y être représenté</w:t>
      </w:r>
    </w:p>
    <w:p w:rsidR="00984B88" w:rsidRDefault="00984B88" w:rsidP="00BC06AE">
      <w:pPr>
        <w:pStyle w:val="ListParagraph"/>
        <w:numPr>
          <w:ilvl w:val="0"/>
          <w:numId w:val="6"/>
        </w:numPr>
        <w:spacing w:after="0" w:line="240" w:lineRule="auto"/>
        <w:jc w:val="both"/>
        <w:rPr>
          <w:rFonts w:ascii="Arial" w:hAnsi="Arial" w:cs="Arial"/>
        </w:rPr>
      </w:pPr>
      <w:r>
        <w:rPr>
          <w:rFonts w:ascii="Arial" w:hAnsi="Arial" w:cs="Arial"/>
        </w:rPr>
        <w:t>Dans le cadre de suivi de la CSU, l’information sur l’organisation d’une étude des mesures de base de la CSU est prévue au mois de Novembre 2015. La Banque Mondiale a donné son accord de contribuer au financement de l’étude. L’UNICEF a donné son principe d’accord, les échanges se poursuivent à l’intérieur de l’OMS avant de déclencher la réalisation effective de ladite étude.</w:t>
      </w:r>
    </w:p>
    <w:p w:rsidR="00BC06AE" w:rsidRDefault="00BC06AE" w:rsidP="00BC06AE">
      <w:pPr>
        <w:jc w:val="both"/>
        <w:rPr>
          <w:rFonts w:ascii="Arial" w:hAnsi="Arial" w:cs="Arial"/>
          <w:b/>
          <w:color w:val="4F81BD" w:themeColor="accent1"/>
        </w:rPr>
      </w:pPr>
    </w:p>
    <w:p w:rsidR="00BC06AE" w:rsidRDefault="00BC06AE" w:rsidP="00BC06AE">
      <w:pPr>
        <w:numPr>
          <w:ilvl w:val="0"/>
          <w:numId w:val="5"/>
        </w:numPr>
        <w:tabs>
          <w:tab w:val="clear" w:pos="1080"/>
          <w:tab w:val="num" w:pos="720"/>
        </w:tabs>
        <w:spacing w:after="0" w:line="240" w:lineRule="auto"/>
        <w:ind w:left="720"/>
        <w:jc w:val="both"/>
        <w:rPr>
          <w:rFonts w:ascii="Arial" w:hAnsi="Arial" w:cs="Arial"/>
          <w:b/>
          <w:color w:val="4F81BD" w:themeColor="accent1"/>
        </w:rPr>
      </w:pPr>
      <w:r w:rsidRPr="001D6ED9">
        <w:rPr>
          <w:rFonts w:ascii="Arial" w:hAnsi="Arial" w:cs="Arial"/>
          <w:b/>
          <w:color w:val="4F81BD" w:themeColor="accent1"/>
        </w:rPr>
        <w:t xml:space="preserve">POINTS </w:t>
      </w:r>
      <w:r>
        <w:rPr>
          <w:rFonts w:ascii="Arial" w:hAnsi="Arial" w:cs="Arial"/>
          <w:b/>
          <w:color w:val="4F81BD" w:themeColor="accent1"/>
        </w:rPr>
        <w:t>D’ACTION</w:t>
      </w:r>
    </w:p>
    <w:p w:rsidR="00BC06AE" w:rsidRPr="001D6ED9" w:rsidRDefault="00BC06AE" w:rsidP="00BC06AE">
      <w:pPr>
        <w:ind w:left="720"/>
        <w:jc w:val="both"/>
        <w:rPr>
          <w:rFonts w:ascii="Arial" w:hAnsi="Arial" w:cs="Arial"/>
          <w:b/>
          <w:color w:val="4F81BD" w:themeColor="accent1"/>
        </w:rPr>
      </w:pPr>
    </w:p>
    <w:p w:rsidR="00BC06AE" w:rsidRDefault="00BC06AE" w:rsidP="00BC06AE">
      <w:pPr>
        <w:jc w:val="both"/>
        <w:rPr>
          <w:rFonts w:ascii="Arial" w:hAnsi="Arial" w:cs="Arial"/>
          <w:b/>
          <w:color w:val="4F81BD" w:themeColor="accent1"/>
        </w:rPr>
      </w:pPr>
      <w:r>
        <w:rPr>
          <w:rFonts w:ascii="Arial" w:hAnsi="Arial" w:cs="Arial"/>
          <w:b/>
          <w:color w:val="4F81BD" w:themeColor="accent1"/>
        </w:rPr>
        <w:t>En rapport avec l’élaboration du PNDS</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Apporter un appui consistant au processus d’élaboration du PNDS (Lokonga et Casimir)</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Faire le plaidoyer pour la prise en charge de quelques cadres de la DEP pour la formation sur le ONE HEALTH à Libreville (HSS/IST) (Jean ETTE)</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Appuyer la prise en charge d’un consultant national pour l’écriture du PNDS (Lokonga)</w:t>
      </w:r>
    </w:p>
    <w:p w:rsidR="00B4336B" w:rsidRDefault="00B4336B" w:rsidP="00B4336B">
      <w:pPr>
        <w:spacing w:after="0" w:line="240" w:lineRule="auto"/>
        <w:jc w:val="both"/>
        <w:rPr>
          <w:rFonts w:ascii="Arial" w:hAnsi="Arial" w:cs="Arial"/>
        </w:rPr>
      </w:pPr>
    </w:p>
    <w:p w:rsidR="00B4336B" w:rsidRDefault="00B4336B" w:rsidP="00B4336B">
      <w:pPr>
        <w:spacing w:after="0" w:line="240" w:lineRule="auto"/>
        <w:jc w:val="both"/>
        <w:rPr>
          <w:rFonts w:ascii="Arial" w:hAnsi="Arial" w:cs="Arial"/>
        </w:rPr>
      </w:pPr>
    </w:p>
    <w:p w:rsidR="00BC06AE" w:rsidRDefault="00BC06AE" w:rsidP="00BC06AE">
      <w:pPr>
        <w:jc w:val="both"/>
        <w:rPr>
          <w:rFonts w:ascii="Arial" w:hAnsi="Arial" w:cs="Arial"/>
          <w:b/>
          <w:color w:val="4F81BD" w:themeColor="accent1"/>
        </w:rPr>
      </w:pPr>
      <w:r>
        <w:rPr>
          <w:rFonts w:ascii="Arial" w:hAnsi="Arial" w:cs="Arial"/>
          <w:b/>
          <w:color w:val="4F81BD" w:themeColor="accent1"/>
        </w:rPr>
        <w:t>En rapport avec le cadre d’investissement du GFF</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Veiller à l’alignement du cadre d’investissement aux priorités du PNDS (Lokonga et Casimir)</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Appuyer l’écriture des chapitres restants, à savoir la priorisation des interventions, la stratégie de financement et la budgétisation (Casimir, Brigitte)</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Apporter des enrichissements au draft actuellement disponible (Symplice et Anshu)</w:t>
      </w:r>
    </w:p>
    <w:p w:rsidR="00984B88" w:rsidRPr="00EA0DEA" w:rsidRDefault="00984B88" w:rsidP="00BC06AE">
      <w:pPr>
        <w:pStyle w:val="ListParagraph"/>
        <w:numPr>
          <w:ilvl w:val="0"/>
          <w:numId w:val="6"/>
        </w:numPr>
        <w:spacing w:after="0" w:line="240" w:lineRule="auto"/>
        <w:jc w:val="both"/>
        <w:rPr>
          <w:rFonts w:ascii="Arial" w:hAnsi="Arial" w:cs="Arial"/>
        </w:rPr>
      </w:pPr>
      <w:r>
        <w:rPr>
          <w:rFonts w:ascii="Arial" w:hAnsi="Arial" w:cs="Arial"/>
        </w:rPr>
        <w:t>Partager l’outil de costing du paquet CSU (Hélène, Zina et Ricardo)</w:t>
      </w:r>
    </w:p>
    <w:p w:rsidR="00BC06AE" w:rsidRPr="00D20906" w:rsidRDefault="00BC06AE" w:rsidP="00BC06AE">
      <w:pPr>
        <w:pStyle w:val="ListParagraph"/>
        <w:jc w:val="both"/>
        <w:rPr>
          <w:rFonts w:ascii="Arial" w:hAnsi="Arial" w:cs="Arial"/>
        </w:rPr>
      </w:pPr>
    </w:p>
    <w:p w:rsidR="00BC06AE" w:rsidRDefault="00BC06AE" w:rsidP="00BC06AE">
      <w:pPr>
        <w:jc w:val="both"/>
        <w:rPr>
          <w:rFonts w:ascii="Arial" w:hAnsi="Arial" w:cs="Arial"/>
          <w:b/>
          <w:color w:val="4F81BD" w:themeColor="accent1"/>
        </w:rPr>
      </w:pPr>
      <w:r>
        <w:rPr>
          <w:rFonts w:ascii="Arial" w:hAnsi="Arial" w:cs="Arial"/>
          <w:b/>
          <w:color w:val="4F81BD" w:themeColor="accent1"/>
        </w:rPr>
        <w:t>En rapport avec la définition du paquet de CSU</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Prévoir des scenarii qui intègrent les coûts non pris en compte à ce stade afin de préparer l’élaboration de la stratégie globale de financement de la santé (Hélène et Zina)</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Faire de bonnes simulations de l’évolution de l’utilisation des services sur les 15 ans (Brigitte, Casimir)</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Renforcer le dialogue avec les autres secteurs pour augmenter le financement de la santé et combler le gap</w:t>
      </w:r>
    </w:p>
    <w:p w:rsidR="00BC06AE" w:rsidRPr="00D20906" w:rsidRDefault="00BC06AE" w:rsidP="00BC06AE">
      <w:pPr>
        <w:pStyle w:val="ListParagraph"/>
        <w:jc w:val="both"/>
        <w:rPr>
          <w:rFonts w:ascii="Arial" w:hAnsi="Arial" w:cs="Arial"/>
        </w:rPr>
      </w:pPr>
    </w:p>
    <w:p w:rsidR="00BC06AE" w:rsidRDefault="00BC06AE" w:rsidP="00BC06AE">
      <w:pPr>
        <w:jc w:val="both"/>
        <w:rPr>
          <w:rFonts w:ascii="Arial" w:hAnsi="Arial" w:cs="Arial"/>
          <w:b/>
          <w:color w:val="4F81BD" w:themeColor="accent1"/>
        </w:rPr>
      </w:pPr>
      <w:r>
        <w:rPr>
          <w:rFonts w:ascii="Arial" w:hAnsi="Arial" w:cs="Arial"/>
          <w:b/>
          <w:color w:val="4F81BD" w:themeColor="accent1"/>
        </w:rPr>
        <w:t>En rapport avec la stratégie de financement</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Préparer les TDR pour l’élaboration du plan de mise en œuvre de la stratégie de financement avec un chronogramme réaliste (Claude)</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Poursuivre les réflexions sur les avantages et les inconvénients de chacune des options de mutualisation évoquées plus haut (CNPS ou FNPS) (Claude et Jean)</w:t>
      </w:r>
    </w:p>
    <w:p w:rsidR="004D3276" w:rsidRDefault="004D3276" w:rsidP="00BC06AE">
      <w:pPr>
        <w:pStyle w:val="ListParagraph"/>
        <w:numPr>
          <w:ilvl w:val="0"/>
          <w:numId w:val="6"/>
        </w:numPr>
        <w:spacing w:after="0" w:line="240" w:lineRule="auto"/>
        <w:jc w:val="both"/>
        <w:rPr>
          <w:rFonts w:ascii="Arial" w:hAnsi="Arial" w:cs="Arial"/>
        </w:rPr>
      </w:pPr>
      <w:r>
        <w:rPr>
          <w:rFonts w:ascii="Arial" w:hAnsi="Arial" w:cs="Arial"/>
        </w:rPr>
        <w:t xml:space="preserve">Synthétiser les contributions des experts de la Banque Mondiale pour les intégrer dans la stratégie de financement (Hélène) </w:t>
      </w:r>
    </w:p>
    <w:p w:rsidR="00BC06AE" w:rsidRDefault="00BC06AE" w:rsidP="00BC06AE">
      <w:pPr>
        <w:pStyle w:val="ListParagraph"/>
        <w:numPr>
          <w:ilvl w:val="0"/>
          <w:numId w:val="6"/>
        </w:numPr>
        <w:spacing w:after="0" w:line="240" w:lineRule="auto"/>
        <w:jc w:val="both"/>
        <w:rPr>
          <w:rFonts w:ascii="Arial" w:hAnsi="Arial" w:cs="Arial"/>
        </w:rPr>
      </w:pPr>
      <w:r>
        <w:rPr>
          <w:rFonts w:ascii="Arial" w:hAnsi="Arial" w:cs="Arial"/>
        </w:rPr>
        <w:t>Prévoir une requête d’assistance technique pour les états généraux du CNPS qui auront lieu du 7 au 11 septembre 2015 (Casimir)</w:t>
      </w:r>
    </w:p>
    <w:p w:rsidR="00FE7B9B" w:rsidRDefault="004D3276" w:rsidP="00BC06AE">
      <w:pPr>
        <w:pStyle w:val="ListParagraph"/>
        <w:numPr>
          <w:ilvl w:val="0"/>
          <w:numId w:val="6"/>
        </w:numPr>
        <w:spacing w:after="0" w:line="240" w:lineRule="auto"/>
        <w:jc w:val="both"/>
        <w:rPr>
          <w:rFonts w:ascii="Arial" w:hAnsi="Arial" w:cs="Arial"/>
        </w:rPr>
      </w:pPr>
      <w:r>
        <w:rPr>
          <w:rFonts w:ascii="Arial" w:hAnsi="Arial" w:cs="Arial"/>
        </w:rPr>
        <w:t>Identifier les points de consensus et de dissension avec les autres secteurs en particulier au sein du Conseil National d’appui à la Protection Sociale (Robin)</w:t>
      </w:r>
    </w:p>
    <w:p w:rsidR="004D3276" w:rsidRDefault="00FE7B9B" w:rsidP="00BC06AE">
      <w:pPr>
        <w:pStyle w:val="ListParagraph"/>
        <w:numPr>
          <w:ilvl w:val="0"/>
          <w:numId w:val="6"/>
        </w:numPr>
        <w:spacing w:after="0" w:line="240" w:lineRule="auto"/>
        <w:jc w:val="both"/>
        <w:rPr>
          <w:rFonts w:ascii="Arial" w:hAnsi="Arial" w:cs="Arial"/>
        </w:rPr>
      </w:pPr>
      <w:r>
        <w:rPr>
          <w:rFonts w:ascii="Arial" w:hAnsi="Arial" w:cs="Arial"/>
        </w:rPr>
        <w:t>Poursuivre les échanges en interne au sein de l’OMS pour définir les modalités de financement de l’étude des mesures de base de la CSU en RDC (Casimir)</w:t>
      </w:r>
      <w:r w:rsidR="004D3276">
        <w:rPr>
          <w:rFonts w:ascii="Arial" w:hAnsi="Arial" w:cs="Arial"/>
        </w:rPr>
        <w:t xml:space="preserve"> </w:t>
      </w:r>
    </w:p>
    <w:sectPr w:rsidR="004D3276" w:rsidSect="00036D61">
      <w:headerReference w:type="even" r:id="rId11"/>
      <w:headerReference w:type="default" r:id="rId12"/>
      <w:footerReference w:type="even" r:id="rId13"/>
      <w:footerReference w:type="default" r:id="rId14"/>
      <w:pgSz w:w="11907" w:h="16839"/>
      <w:pgMar w:top="1148" w:right="1050" w:bottom="1148" w:left="1050"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3BC" w:rsidRDefault="007C03BC">
      <w:pPr>
        <w:spacing w:after="0" w:line="240" w:lineRule="auto"/>
      </w:pPr>
      <w:r>
        <w:separator/>
      </w:r>
    </w:p>
  </w:endnote>
  <w:endnote w:type="continuationSeparator" w:id="0">
    <w:p w:rsidR="007C03BC" w:rsidRDefault="007C0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D61" w:rsidRDefault="003F6B53"/>
  <w:p w:rsidR="00036D61" w:rsidRDefault="00EA5562">
    <w:pPr>
      <w:pStyle w:val="Pieddepagepaire"/>
    </w:pPr>
    <w:r>
      <w:rPr>
        <w:lang w:val="fr-FR"/>
      </w:rPr>
      <w:t xml:space="preserve">Page </w:t>
    </w:r>
    <w:r>
      <w:fldChar w:fldCharType="begin"/>
    </w:r>
    <w:r>
      <w:instrText>PAGE   \* MERGEFORMAT</w:instrText>
    </w:r>
    <w:r>
      <w:fldChar w:fldCharType="separate"/>
    </w:r>
    <w:r w:rsidRPr="00361556">
      <w:rPr>
        <w:noProof/>
        <w:sz w:val="24"/>
        <w:szCs w:val="24"/>
        <w:lang w:val="fr-FR"/>
      </w:rPr>
      <w:t>2</w:t>
    </w:r>
    <w:r>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D61" w:rsidRDefault="00EC36E5">
    <w:pPr>
      <w:pStyle w:val="Pieddepageimpaire"/>
    </w:pPr>
    <w:r>
      <w:rPr>
        <w:noProof/>
        <w:lang w:val="en-GB" w:eastAsia="zh-CN"/>
      </w:rPr>
      <mc:AlternateContent>
        <mc:Choice Requires="wps">
          <w:drawing>
            <wp:anchor distT="0" distB="0" distL="114300" distR="114300" simplePos="0" relativeHeight="251659264" behindDoc="0" locked="0" layoutInCell="0" allowOverlap="1" wp14:anchorId="4ABA2B92" wp14:editId="632657EE">
              <wp:simplePos x="0" y="0"/>
              <wp:positionH relativeFrom="page">
                <wp:posOffset>6903720</wp:posOffset>
              </wp:positionH>
              <wp:positionV relativeFrom="page">
                <wp:posOffset>10001250</wp:posOffset>
              </wp:positionV>
              <wp:extent cx="368300" cy="274320"/>
              <wp:effectExtent l="7620" t="9525" r="5080" b="11430"/>
              <wp:wrapNone/>
              <wp:docPr id="2" name="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036D61" w:rsidRDefault="00EA5562">
                          <w:pPr>
                            <w:jc w:val="center"/>
                          </w:pPr>
                          <w:r>
                            <w:rPr>
                              <w:sz w:val="22"/>
                              <w:szCs w:val="22"/>
                            </w:rPr>
                            <w:fldChar w:fldCharType="begin"/>
                          </w:r>
                          <w:r>
                            <w:instrText>PAGE    \* MERGEFORMAT</w:instrText>
                          </w:r>
                          <w:r>
                            <w:rPr>
                              <w:sz w:val="22"/>
                              <w:szCs w:val="22"/>
                            </w:rPr>
                            <w:fldChar w:fldCharType="separate"/>
                          </w:r>
                          <w:r w:rsidR="003F6B53" w:rsidRPr="003F6B53">
                            <w:rPr>
                              <w:noProof/>
                              <w:sz w:val="16"/>
                              <w:szCs w:val="16"/>
                              <w:lang w:val="fr-FR"/>
                            </w:rPr>
                            <w:t>4</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 o:spid="_x0000_s1026" type="#_x0000_t65" style="position:absolute;left:0;text-align:left;margin-left:543.6pt;margin-top:787.5pt;width:29pt;height:2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" o:allowincell="f" adj="14135" strokecolor="gray" strokeweight=".25pt">
              <v:textbox>
                <w:txbxContent>
                  <w:p w:rsidR="00036D61" w:rsidRDefault="00EA5562">
                    <w:pPr>
                      <w:jc w:val="center"/>
                    </w:pPr>
                    <w:r>
                      <w:rPr>
                        <w:sz w:val="22"/>
                        <w:szCs w:val="22"/>
                      </w:rPr>
                      <w:fldChar w:fldCharType="begin"/>
                    </w:r>
                    <w:r>
                      <w:instrText>PAGE    \* MERGEFORMAT</w:instrText>
                    </w:r>
                    <w:r>
                      <w:rPr>
                        <w:sz w:val="22"/>
                        <w:szCs w:val="22"/>
                      </w:rPr>
                      <w:fldChar w:fldCharType="separate"/>
                    </w:r>
                    <w:r w:rsidR="003F6B53" w:rsidRPr="003F6B53">
                      <w:rPr>
                        <w:noProof/>
                        <w:sz w:val="16"/>
                        <w:szCs w:val="16"/>
                        <w:lang w:val="fr-FR"/>
                      </w:rPr>
                      <w:t>4</w:t>
                    </w:r>
                    <w:r>
                      <w:rPr>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3BC" w:rsidRDefault="007C03BC">
      <w:pPr>
        <w:spacing w:after="0" w:line="240" w:lineRule="auto"/>
      </w:pPr>
      <w:r>
        <w:separator/>
      </w:r>
    </w:p>
  </w:footnote>
  <w:footnote w:type="continuationSeparator" w:id="0">
    <w:p w:rsidR="007C03BC" w:rsidRDefault="007C03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D61" w:rsidRDefault="00EA5562">
    <w:pPr>
      <w:pStyle w:val="En-ttedepagepaire"/>
    </w:pPr>
    <w:r>
      <w:rPr>
        <w:lang w:val="fr-FR"/>
      </w:rPr>
      <w:t>COMPTE-RENDU DE LA REUNION DES CHEFS D’AGENCES ET DU PNMLS SUR LA TABLE RONDE DE MOBILISATION DES RESSOURCES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286" w:rsidRPr="00335286" w:rsidRDefault="008F1972" w:rsidP="005134C5">
    <w:pPr>
      <w:pStyle w:val="Title"/>
      <w:jc w:val="center"/>
      <w:rPr>
        <w:rFonts w:eastAsia="Times New Roman"/>
        <w:b/>
        <w:sz w:val="20"/>
        <w:szCs w:val="20"/>
        <w:lang w:val="fr-FR"/>
      </w:rPr>
    </w:pPr>
    <w:r>
      <w:rPr>
        <w:rFonts w:eastAsia="Times New Roman"/>
        <w:b/>
        <w:sz w:val="20"/>
        <w:szCs w:val="20"/>
        <w:lang w:val="fr-FR"/>
      </w:rPr>
      <w:t xml:space="preserve">MISSION CONJOINTE </w:t>
    </w:r>
    <w:r w:rsidR="00B21437">
      <w:rPr>
        <w:rFonts w:eastAsia="Times New Roman"/>
        <w:b/>
        <w:sz w:val="20"/>
        <w:szCs w:val="20"/>
        <w:lang w:val="fr-FR"/>
      </w:rPr>
      <w:t>OMS &amp; BANQUE MONDIALE</w:t>
    </w:r>
    <w:r>
      <w:rPr>
        <w:rFonts w:eastAsia="Times New Roman"/>
        <w:b/>
        <w:sz w:val="20"/>
        <w:szCs w:val="20"/>
        <w:lang w:val="fr-FR"/>
      </w:rPr>
      <w:t xml:space="preserve"> D’APPUI </w:t>
    </w:r>
    <w:r w:rsidR="00B21437">
      <w:rPr>
        <w:rFonts w:eastAsia="Times New Roman"/>
        <w:b/>
        <w:sz w:val="20"/>
        <w:szCs w:val="20"/>
        <w:lang w:val="fr-FR"/>
      </w:rPr>
      <w:t>A L’ELABORATION DU</w:t>
    </w:r>
    <w:r>
      <w:rPr>
        <w:rFonts w:eastAsia="Times New Roman"/>
        <w:b/>
        <w:sz w:val="20"/>
        <w:szCs w:val="20"/>
        <w:lang w:val="fr-FR"/>
      </w:rPr>
      <w:t xml:space="preserve"> PNDS, </w:t>
    </w:r>
    <w:r w:rsidR="00B21437">
      <w:rPr>
        <w:rFonts w:eastAsia="Times New Roman"/>
        <w:b/>
        <w:sz w:val="20"/>
        <w:szCs w:val="20"/>
        <w:lang w:val="fr-FR"/>
      </w:rPr>
      <w:t xml:space="preserve">DU </w:t>
    </w:r>
    <w:r>
      <w:rPr>
        <w:rFonts w:eastAsia="Times New Roman"/>
        <w:b/>
        <w:sz w:val="20"/>
        <w:szCs w:val="20"/>
        <w:lang w:val="fr-FR"/>
      </w:rPr>
      <w:t xml:space="preserve">GFF ET </w:t>
    </w:r>
    <w:r w:rsidR="00B21437">
      <w:rPr>
        <w:rFonts w:eastAsia="Times New Roman"/>
        <w:b/>
        <w:sz w:val="20"/>
        <w:szCs w:val="20"/>
        <w:lang w:val="fr-FR"/>
      </w:rPr>
      <w:t xml:space="preserve">DE LA </w:t>
    </w:r>
    <w:r>
      <w:rPr>
        <w:rFonts w:eastAsia="Times New Roman"/>
        <w:b/>
        <w:sz w:val="20"/>
        <w:szCs w:val="20"/>
        <w:lang w:val="fr-FR"/>
      </w:rPr>
      <w:t>CSU EN RDC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6338"/>
    <w:multiLevelType w:val="hybridMultilevel"/>
    <w:tmpl w:val="735E39B2"/>
    <w:lvl w:ilvl="0" w:tplc="5C3A99CA">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2189459A"/>
    <w:multiLevelType w:val="hybridMultilevel"/>
    <w:tmpl w:val="B4BAD39C"/>
    <w:lvl w:ilvl="0" w:tplc="32F41D1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9531675"/>
    <w:multiLevelType w:val="hybridMultilevel"/>
    <w:tmpl w:val="795E954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3C9A22D9"/>
    <w:multiLevelType w:val="hybridMultilevel"/>
    <w:tmpl w:val="F62469C8"/>
    <w:lvl w:ilvl="0" w:tplc="E26A9C0C">
      <w:start w:val="3"/>
      <w:numFmt w:val="bullet"/>
      <w:lvlText w:val="-"/>
      <w:lvlJc w:val="left"/>
      <w:pPr>
        <w:ind w:left="1060" w:hanging="700"/>
      </w:pPr>
      <w:rPr>
        <w:rFonts w:ascii="Arial" w:eastAsia="MS Mincho"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D8C6940"/>
    <w:multiLevelType w:val="hybridMultilevel"/>
    <w:tmpl w:val="F47CF94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791D177A"/>
    <w:multiLevelType w:val="hybridMultilevel"/>
    <w:tmpl w:val="B01E0922"/>
    <w:lvl w:ilvl="0" w:tplc="2CC857D6">
      <w:start w:val="1"/>
      <w:numFmt w:val="upperRoman"/>
      <w:lvlText w:val="%1."/>
      <w:lvlJc w:val="left"/>
      <w:pPr>
        <w:tabs>
          <w:tab w:val="num" w:pos="1080"/>
        </w:tabs>
        <w:ind w:left="1080" w:hanging="720"/>
      </w:pPr>
      <w:rPr>
        <w:rFonts w:hint="default"/>
        <w:b/>
      </w:rPr>
    </w:lvl>
    <w:lvl w:ilvl="1" w:tplc="040C0019">
      <w:start w:val="1"/>
      <w:numFmt w:val="lowerLetter"/>
      <w:lvlText w:val="%2."/>
      <w:lvlJc w:val="left"/>
      <w:pPr>
        <w:tabs>
          <w:tab w:val="num" w:pos="1440"/>
        </w:tabs>
        <w:ind w:left="1440" w:hanging="360"/>
      </w:pPr>
      <w:rPr>
        <w:rFonts w:hint="default"/>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7EB94C99"/>
    <w:multiLevelType w:val="hybridMultilevel"/>
    <w:tmpl w:val="038EC1B6"/>
    <w:lvl w:ilvl="0" w:tplc="B9D48FD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6E5"/>
    <w:rsid w:val="000345B7"/>
    <w:rsid w:val="0006585B"/>
    <w:rsid w:val="000B43FE"/>
    <w:rsid w:val="000C2F2E"/>
    <w:rsid w:val="000C7626"/>
    <w:rsid w:val="00130377"/>
    <w:rsid w:val="00135769"/>
    <w:rsid w:val="00143F3C"/>
    <w:rsid w:val="001642D1"/>
    <w:rsid w:val="001767AA"/>
    <w:rsid w:val="001E4E45"/>
    <w:rsid w:val="0022356C"/>
    <w:rsid w:val="0023330C"/>
    <w:rsid w:val="002E2C55"/>
    <w:rsid w:val="002E68E7"/>
    <w:rsid w:val="00303F0D"/>
    <w:rsid w:val="00333384"/>
    <w:rsid w:val="00335286"/>
    <w:rsid w:val="00337BEE"/>
    <w:rsid w:val="00342556"/>
    <w:rsid w:val="00365D41"/>
    <w:rsid w:val="00374391"/>
    <w:rsid w:val="003C6CF8"/>
    <w:rsid w:val="003E3717"/>
    <w:rsid w:val="003F6B53"/>
    <w:rsid w:val="004219B5"/>
    <w:rsid w:val="00483623"/>
    <w:rsid w:val="004D3276"/>
    <w:rsid w:val="004E32DD"/>
    <w:rsid w:val="005134C5"/>
    <w:rsid w:val="00520A65"/>
    <w:rsid w:val="00522548"/>
    <w:rsid w:val="00560FDF"/>
    <w:rsid w:val="00595F56"/>
    <w:rsid w:val="005A4775"/>
    <w:rsid w:val="005C72BA"/>
    <w:rsid w:val="005C7EF2"/>
    <w:rsid w:val="005D582D"/>
    <w:rsid w:val="005F4408"/>
    <w:rsid w:val="00604156"/>
    <w:rsid w:val="00677B2A"/>
    <w:rsid w:val="006A03FC"/>
    <w:rsid w:val="00715168"/>
    <w:rsid w:val="00730907"/>
    <w:rsid w:val="00735BB6"/>
    <w:rsid w:val="0074658D"/>
    <w:rsid w:val="0075053A"/>
    <w:rsid w:val="00764154"/>
    <w:rsid w:val="00796103"/>
    <w:rsid w:val="007C03BC"/>
    <w:rsid w:val="008046AF"/>
    <w:rsid w:val="00807647"/>
    <w:rsid w:val="00815B95"/>
    <w:rsid w:val="008221DC"/>
    <w:rsid w:val="00831C61"/>
    <w:rsid w:val="008413AA"/>
    <w:rsid w:val="00853BAF"/>
    <w:rsid w:val="008B36C8"/>
    <w:rsid w:val="008B41E9"/>
    <w:rsid w:val="008B6C40"/>
    <w:rsid w:val="008E3E66"/>
    <w:rsid w:val="008F1972"/>
    <w:rsid w:val="00907A4D"/>
    <w:rsid w:val="0092178B"/>
    <w:rsid w:val="009536D2"/>
    <w:rsid w:val="00956394"/>
    <w:rsid w:val="00972B12"/>
    <w:rsid w:val="00984B88"/>
    <w:rsid w:val="009A1E8A"/>
    <w:rsid w:val="009B35A8"/>
    <w:rsid w:val="009F29C6"/>
    <w:rsid w:val="00AB3A8B"/>
    <w:rsid w:val="00AC3C09"/>
    <w:rsid w:val="00AD2C74"/>
    <w:rsid w:val="00AD3511"/>
    <w:rsid w:val="00B16ADA"/>
    <w:rsid w:val="00B21437"/>
    <w:rsid w:val="00B21734"/>
    <w:rsid w:val="00B2518B"/>
    <w:rsid w:val="00B4336B"/>
    <w:rsid w:val="00B545AE"/>
    <w:rsid w:val="00B66853"/>
    <w:rsid w:val="00B675BC"/>
    <w:rsid w:val="00B8071C"/>
    <w:rsid w:val="00B81EC1"/>
    <w:rsid w:val="00B905B2"/>
    <w:rsid w:val="00B9120A"/>
    <w:rsid w:val="00B92422"/>
    <w:rsid w:val="00BB288D"/>
    <w:rsid w:val="00BC06AE"/>
    <w:rsid w:val="00C57C08"/>
    <w:rsid w:val="00C60EC5"/>
    <w:rsid w:val="00CA5B89"/>
    <w:rsid w:val="00CB55BB"/>
    <w:rsid w:val="00CC6CD3"/>
    <w:rsid w:val="00CD7E47"/>
    <w:rsid w:val="00CE15B3"/>
    <w:rsid w:val="00D20A01"/>
    <w:rsid w:val="00D5426C"/>
    <w:rsid w:val="00DC0364"/>
    <w:rsid w:val="00DC70CF"/>
    <w:rsid w:val="00DE10AB"/>
    <w:rsid w:val="00DF71CD"/>
    <w:rsid w:val="00E15215"/>
    <w:rsid w:val="00E154F4"/>
    <w:rsid w:val="00E22F09"/>
    <w:rsid w:val="00E73C0F"/>
    <w:rsid w:val="00E83B89"/>
    <w:rsid w:val="00EA5562"/>
    <w:rsid w:val="00EA5A9F"/>
    <w:rsid w:val="00EB5717"/>
    <w:rsid w:val="00EC36E5"/>
    <w:rsid w:val="00EE09A0"/>
    <w:rsid w:val="00F32C80"/>
    <w:rsid w:val="00F448A3"/>
    <w:rsid w:val="00F529FB"/>
    <w:rsid w:val="00F6343D"/>
    <w:rsid w:val="00F63B31"/>
    <w:rsid w:val="00F9215B"/>
    <w:rsid w:val="00FC02E3"/>
    <w:rsid w:val="00FE5F1B"/>
    <w:rsid w:val="00FE7B9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6E5"/>
    <w:pPr>
      <w:spacing w:after="180" w:line="264" w:lineRule="auto"/>
    </w:pPr>
    <w:rPr>
      <w:rFonts w:ascii="Calibri" w:eastAsia="Calibri" w:hAnsi="Calibri" w:cs="Times New Roman"/>
      <w:kern w:val="24"/>
      <w:sz w:val="23"/>
      <w:szCs w:val="20"/>
      <w:lang w:val="fr-BE" w:eastAsia="fr-BE"/>
    </w:rPr>
  </w:style>
  <w:style w:type="paragraph" w:styleId="Heading1">
    <w:name w:val="heading 1"/>
    <w:basedOn w:val="Normal"/>
    <w:next w:val="Normal"/>
    <w:link w:val="Heading1Char"/>
    <w:uiPriority w:val="9"/>
    <w:unhideWhenUsed/>
    <w:qFormat/>
    <w:rsid w:val="00EC36E5"/>
    <w:pPr>
      <w:spacing w:before="300" w:after="80" w:line="240" w:lineRule="auto"/>
      <w:outlineLvl w:val="0"/>
    </w:pPr>
    <w:rPr>
      <w:rFonts w:ascii="Cambria" w:hAnsi="Cambria"/>
      <w:caps/>
      <w:color w:val="1F497D"/>
      <w:sz w:val="32"/>
      <w:szCs w:val="32"/>
    </w:rPr>
  </w:style>
  <w:style w:type="paragraph" w:styleId="Heading2">
    <w:name w:val="heading 2"/>
    <w:basedOn w:val="Normal"/>
    <w:next w:val="Normal"/>
    <w:link w:val="Heading2Char"/>
    <w:uiPriority w:val="9"/>
    <w:unhideWhenUsed/>
    <w:qFormat/>
    <w:rsid w:val="00EC36E5"/>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6E5"/>
    <w:rPr>
      <w:rFonts w:ascii="Cambria" w:eastAsia="Calibri" w:hAnsi="Cambria" w:cs="Times New Roman"/>
      <w:caps/>
      <w:color w:val="1F497D"/>
      <w:kern w:val="24"/>
      <w:sz w:val="32"/>
      <w:szCs w:val="32"/>
      <w:lang w:val="fr-BE" w:eastAsia="fr-BE"/>
    </w:rPr>
  </w:style>
  <w:style w:type="character" w:customStyle="1" w:styleId="Heading2Char">
    <w:name w:val="Heading 2 Char"/>
    <w:basedOn w:val="DefaultParagraphFont"/>
    <w:link w:val="Heading2"/>
    <w:uiPriority w:val="9"/>
    <w:rsid w:val="00EC36E5"/>
    <w:rPr>
      <w:rFonts w:ascii="Cambria" w:eastAsia="Times New Roman" w:hAnsi="Cambria" w:cs="Times New Roman"/>
      <w:b/>
      <w:bCs/>
      <w:color w:val="4F81BD"/>
      <w:kern w:val="24"/>
      <w:sz w:val="26"/>
      <w:szCs w:val="26"/>
      <w:lang w:val="fr-BE" w:eastAsia="fr-BE"/>
    </w:rPr>
  </w:style>
  <w:style w:type="paragraph" w:styleId="Title">
    <w:name w:val="Title"/>
    <w:basedOn w:val="Normal"/>
    <w:link w:val="TitleChar"/>
    <w:uiPriority w:val="10"/>
    <w:qFormat/>
    <w:rsid w:val="00EC36E5"/>
    <w:pPr>
      <w:spacing w:after="0" w:line="240" w:lineRule="auto"/>
    </w:pPr>
    <w:rPr>
      <w:color w:val="1F497D"/>
      <w:sz w:val="72"/>
      <w:szCs w:val="72"/>
    </w:rPr>
  </w:style>
  <w:style w:type="character" w:customStyle="1" w:styleId="TitleChar">
    <w:name w:val="Title Char"/>
    <w:basedOn w:val="DefaultParagraphFont"/>
    <w:link w:val="Title"/>
    <w:uiPriority w:val="10"/>
    <w:rsid w:val="00EC36E5"/>
    <w:rPr>
      <w:rFonts w:ascii="Calibri" w:eastAsia="Calibri" w:hAnsi="Calibri" w:cs="Times New Roman"/>
      <w:color w:val="1F497D"/>
      <w:kern w:val="24"/>
      <w:sz w:val="72"/>
      <w:szCs w:val="72"/>
      <w:lang w:val="fr-BE" w:eastAsia="fr-BE"/>
    </w:rPr>
  </w:style>
  <w:style w:type="paragraph" w:styleId="ListParagraph">
    <w:name w:val="List Paragraph"/>
    <w:basedOn w:val="Normal"/>
    <w:uiPriority w:val="34"/>
    <w:unhideWhenUsed/>
    <w:qFormat/>
    <w:rsid w:val="00EC36E5"/>
    <w:pPr>
      <w:ind w:left="720"/>
      <w:contextualSpacing/>
    </w:pPr>
  </w:style>
  <w:style w:type="paragraph" w:styleId="NoSpacing">
    <w:name w:val="No Spacing"/>
    <w:basedOn w:val="Normal"/>
    <w:link w:val="NoSpacingChar"/>
    <w:uiPriority w:val="1"/>
    <w:qFormat/>
    <w:rsid w:val="00EC36E5"/>
    <w:pPr>
      <w:spacing w:after="0" w:line="240" w:lineRule="auto"/>
    </w:pPr>
  </w:style>
  <w:style w:type="paragraph" w:customStyle="1" w:styleId="Pieddepagepaire">
    <w:name w:val="Pied de page paire"/>
    <w:basedOn w:val="Normal"/>
    <w:unhideWhenUsed/>
    <w:qFormat/>
    <w:rsid w:val="00EC36E5"/>
    <w:pPr>
      <w:pBdr>
        <w:top w:val="single" w:sz="4" w:space="1" w:color="4F81BD"/>
      </w:pBdr>
    </w:pPr>
    <w:rPr>
      <w:color w:val="1F497D"/>
      <w:sz w:val="20"/>
    </w:rPr>
  </w:style>
  <w:style w:type="paragraph" w:customStyle="1" w:styleId="Pieddepageimpaire">
    <w:name w:val="Pied de page impaire"/>
    <w:basedOn w:val="Normal"/>
    <w:unhideWhenUsed/>
    <w:qFormat/>
    <w:rsid w:val="00EC36E5"/>
    <w:pPr>
      <w:pBdr>
        <w:top w:val="single" w:sz="4" w:space="1" w:color="4F81BD"/>
      </w:pBdr>
      <w:jc w:val="right"/>
    </w:pPr>
    <w:rPr>
      <w:color w:val="1F497D"/>
      <w:sz w:val="20"/>
    </w:rPr>
  </w:style>
  <w:style w:type="paragraph" w:customStyle="1" w:styleId="En-ttedepagepaire">
    <w:name w:val="En-tête de page paire"/>
    <w:basedOn w:val="Normal"/>
    <w:unhideWhenUsed/>
    <w:qFormat/>
    <w:rsid w:val="00EC36E5"/>
    <w:pPr>
      <w:pBdr>
        <w:bottom w:val="single" w:sz="4" w:space="1" w:color="4F81BD"/>
      </w:pBdr>
      <w:spacing w:after="0" w:line="240" w:lineRule="auto"/>
    </w:pPr>
    <w:rPr>
      <w:rFonts w:eastAsia="Times New Roman"/>
      <w:b/>
      <w:color w:val="1F497D"/>
      <w:sz w:val="20"/>
    </w:rPr>
  </w:style>
  <w:style w:type="paragraph" w:customStyle="1" w:styleId="En-ttedepageimpaire">
    <w:name w:val="En-tête de page impaire"/>
    <w:basedOn w:val="Normal"/>
    <w:unhideWhenUsed/>
    <w:qFormat/>
    <w:rsid w:val="00EC36E5"/>
    <w:pPr>
      <w:pBdr>
        <w:bottom w:val="single" w:sz="4" w:space="1" w:color="4F81BD"/>
      </w:pBdr>
      <w:spacing w:after="0" w:line="240" w:lineRule="auto"/>
      <w:jc w:val="right"/>
    </w:pPr>
    <w:rPr>
      <w:rFonts w:eastAsia="Times New Roman"/>
      <w:b/>
      <w:color w:val="1F497D"/>
      <w:sz w:val="20"/>
    </w:rPr>
  </w:style>
  <w:style w:type="paragraph" w:styleId="BalloonText">
    <w:name w:val="Balloon Text"/>
    <w:basedOn w:val="Normal"/>
    <w:link w:val="BalloonTextChar"/>
    <w:uiPriority w:val="99"/>
    <w:semiHidden/>
    <w:unhideWhenUsed/>
    <w:rsid w:val="00223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56C"/>
    <w:rPr>
      <w:rFonts w:ascii="Tahoma" w:eastAsia="Calibri" w:hAnsi="Tahoma" w:cs="Tahoma"/>
      <w:kern w:val="24"/>
      <w:sz w:val="16"/>
      <w:szCs w:val="16"/>
      <w:lang w:val="fr-BE" w:eastAsia="fr-BE"/>
    </w:rPr>
  </w:style>
  <w:style w:type="paragraph" w:styleId="Header">
    <w:name w:val="header"/>
    <w:basedOn w:val="Normal"/>
    <w:link w:val="HeaderChar"/>
    <w:uiPriority w:val="99"/>
    <w:unhideWhenUsed/>
    <w:rsid w:val="0033528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5286"/>
    <w:rPr>
      <w:rFonts w:ascii="Calibri" w:eastAsia="Calibri" w:hAnsi="Calibri" w:cs="Times New Roman"/>
      <w:kern w:val="24"/>
      <w:sz w:val="23"/>
      <w:szCs w:val="20"/>
      <w:lang w:val="fr-BE" w:eastAsia="fr-BE"/>
    </w:rPr>
  </w:style>
  <w:style w:type="paragraph" w:styleId="Footer">
    <w:name w:val="footer"/>
    <w:basedOn w:val="Normal"/>
    <w:link w:val="FooterChar"/>
    <w:uiPriority w:val="99"/>
    <w:unhideWhenUsed/>
    <w:rsid w:val="003352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5286"/>
    <w:rPr>
      <w:rFonts w:ascii="Calibri" w:eastAsia="Calibri" w:hAnsi="Calibri" w:cs="Times New Roman"/>
      <w:kern w:val="24"/>
      <w:sz w:val="23"/>
      <w:szCs w:val="20"/>
      <w:lang w:val="fr-BE" w:eastAsia="fr-BE"/>
    </w:rPr>
  </w:style>
  <w:style w:type="character" w:customStyle="1" w:styleId="NoSpacingChar">
    <w:name w:val="No Spacing Char"/>
    <w:basedOn w:val="DefaultParagraphFont"/>
    <w:link w:val="NoSpacing"/>
    <w:uiPriority w:val="1"/>
    <w:rsid w:val="00EB5717"/>
    <w:rPr>
      <w:rFonts w:ascii="Calibri" w:eastAsia="Calibri" w:hAnsi="Calibri" w:cs="Times New Roman"/>
      <w:kern w:val="24"/>
      <w:sz w:val="23"/>
      <w:szCs w:val="20"/>
      <w:lang w:val="fr-BE" w:eastAsia="fr-BE"/>
    </w:rPr>
  </w:style>
  <w:style w:type="paragraph" w:styleId="Caption">
    <w:name w:val="caption"/>
    <w:basedOn w:val="Normal"/>
    <w:next w:val="Normal"/>
    <w:uiPriority w:val="35"/>
    <w:unhideWhenUsed/>
    <w:qFormat/>
    <w:rsid w:val="009A1E8A"/>
    <w:pPr>
      <w:spacing w:after="200" w:line="240" w:lineRule="auto"/>
    </w:pPr>
    <w:rPr>
      <w:b/>
      <w:bCs/>
      <w:color w:val="4F81BD" w:themeColor="accent1"/>
      <w:sz w:val="18"/>
      <w:szCs w:val="18"/>
    </w:rPr>
  </w:style>
  <w:style w:type="paragraph" w:styleId="NormalWeb">
    <w:name w:val="Normal (Web)"/>
    <w:basedOn w:val="Normal"/>
    <w:uiPriority w:val="99"/>
    <w:semiHidden/>
    <w:unhideWhenUsed/>
    <w:rsid w:val="009A1E8A"/>
    <w:pPr>
      <w:spacing w:before="100" w:beforeAutospacing="1" w:after="100" w:afterAutospacing="1" w:line="240" w:lineRule="auto"/>
    </w:pPr>
    <w:rPr>
      <w:rFonts w:ascii="Times New Roman" w:eastAsia="Times New Roman" w:hAnsi="Times New Roman"/>
      <w:kern w:val="0"/>
      <w:sz w:val="24"/>
      <w:szCs w:val="24"/>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6E5"/>
    <w:pPr>
      <w:spacing w:after="180" w:line="264" w:lineRule="auto"/>
    </w:pPr>
    <w:rPr>
      <w:rFonts w:ascii="Calibri" w:eastAsia="Calibri" w:hAnsi="Calibri" w:cs="Times New Roman"/>
      <w:kern w:val="24"/>
      <w:sz w:val="23"/>
      <w:szCs w:val="20"/>
      <w:lang w:val="fr-BE" w:eastAsia="fr-BE"/>
    </w:rPr>
  </w:style>
  <w:style w:type="paragraph" w:styleId="Heading1">
    <w:name w:val="heading 1"/>
    <w:basedOn w:val="Normal"/>
    <w:next w:val="Normal"/>
    <w:link w:val="Heading1Char"/>
    <w:uiPriority w:val="9"/>
    <w:unhideWhenUsed/>
    <w:qFormat/>
    <w:rsid w:val="00EC36E5"/>
    <w:pPr>
      <w:spacing w:before="300" w:after="80" w:line="240" w:lineRule="auto"/>
      <w:outlineLvl w:val="0"/>
    </w:pPr>
    <w:rPr>
      <w:rFonts w:ascii="Cambria" w:hAnsi="Cambria"/>
      <w:caps/>
      <w:color w:val="1F497D"/>
      <w:sz w:val="32"/>
      <w:szCs w:val="32"/>
    </w:rPr>
  </w:style>
  <w:style w:type="paragraph" w:styleId="Heading2">
    <w:name w:val="heading 2"/>
    <w:basedOn w:val="Normal"/>
    <w:next w:val="Normal"/>
    <w:link w:val="Heading2Char"/>
    <w:uiPriority w:val="9"/>
    <w:unhideWhenUsed/>
    <w:qFormat/>
    <w:rsid w:val="00EC36E5"/>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6E5"/>
    <w:rPr>
      <w:rFonts w:ascii="Cambria" w:eastAsia="Calibri" w:hAnsi="Cambria" w:cs="Times New Roman"/>
      <w:caps/>
      <w:color w:val="1F497D"/>
      <w:kern w:val="24"/>
      <w:sz w:val="32"/>
      <w:szCs w:val="32"/>
      <w:lang w:val="fr-BE" w:eastAsia="fr-BE"/>
    </w:rPr>
  </w:style>
  <w:style w:type="character" w:customStyle="1" w:styleId="Heading2Char">
    <w:name w:val="Heading 2 Char"/>
    <w:basedOn w:val="DefaultParagraphFont"/>
    <w:link w:val="Heading2"/>
    <w:uiPriority w:val="9"/>
    <w:rsid w:val="00EC36E5"/>
    <w:rPr>
      <w:rFonts w:ascii="Cambria" w:eastAsia="Times New Roman" w:hAnsi="Cambria" w:cs="Times New Roman"/>
      <w:b/>
      <w:bCs/>
      <w:color w:val="4F81BD"/>
      <w:kern w:val="24"/>
      <w:sz w:val="26"/>
      <w:szCs w:val="26"/>
      <w:lang w:val="fr-BE" w:eastAsia="fr-BE"/>
    </w:rPr>
  </w:style>
  <w:style w:type="paragraph" w:styleId="Title">
    <w:name w:val="Title"/>
    <w:basedOn w:val="Normal"/>
    <w:link w:val="TitleChar"/>
    <w:uiPriority w:val="10"/>
    <w:qFormat/>
    <w:rsid w:val="00EC36E5"/>
    <w:pPr>
      <w:spacing w:after="0" w:line="240" w:lineRule="auto"/>
    </w:pPr>
    <w:rPr>
      <w:color w:val="1F497D"/>
      <w:sz w:val="72"/>
      <w:szCs w:val="72"/>
    </w:rPr>
  </w:style>
  <w:style w:type="character" w:customStyle="1" w:styleId="TitleChar">
    <w:name w:val="Title Char"/>
    <w:basedOn w:val="DefaultParagraphFont"/>
    <w:link w:val="Title"/>
    <w:uiPriority w:val="10"/>
    <w:rsid w:val="00EC36E5"/>
    <w:rPr>
      <w:rFonts w:ascii="Calibri" w:eastAsia="Calibri" w:hAnsi="Calibri" w:cs="Times New Roman"/>
      <w:color w:val="1F497D"/>
      <w:kern w:val="24"/>
      <w:sz w:val="72"/>
      <w:szCs w:val="72"/>
      <w:lang w:val="fr-BE" w:eastAsia="fr-BE"/>
    </w:rPr>
  </w:style>
  <w:style w:type="paragraph" w:styleId="ListParagraph">
    <w:name w:val="List Paragraph"/>
    <w:basedOn w:val="Normal"/>
    <w:uiPriority w:val="34"/>
    <w:unhideWhenUsed/>
    <w:qFormat/>
    <w:rsid w:val="00EC36E5"/>
    <w:pPr>
      <w:ind w:left="720"/>
      <w:contextualSpacing/>
    </w:pPr>
  </w:style>
  <w:style w:type="paragraph" w:styleId="NoSpacing">
    <w:name w:val="No Spacing"/>
    <w:basedOn w:val="Normal"/>
    <w:link w:val="NoSpacingChar"/>
    <w:uiPriority w:val="1"/>
    <w:qFormat/>
    <w:rsid w:val="00EC36E5"/>
    <w:pPr>
      <w:spacing w:after="0" w:line="240" w:lineRule="auto"/>
    </w:pPr>
  </w:style>
  <w:style w:type="paragraph" w:customStyle="1" w:styleId="Pieddepagepaire">
    <w:name w:val="Pied de page paire"/>
    <w:basedOn w:val="Normal"/>
    <w:unhideWhenUsed/>
    <w:qFormat/>
    <w:rsid w:val="00EC36E5"/>
    <w:pPr>
      <w:pBdr>
        <w:top w:val="single" w:sz="4" w:space="1" w:color="4F81BD"/>
      </w:pBdr>
    </w:pPr>
    <w:rPr>
      <w:color w:val="1F497D"/>
      <w:sz w:val="20"/>
    </w:rPr>
  </w:style>
  <w:style w:type="paragraph" w:customStyle="1" w:styleId="Pieddepageimpaire">
    <w:name w:val="Pied de page impaire"/>
    <w:basedOn w:val="Normal"/>
    <w:unhideWhenUsed/>
    <w:qFormat/>
    <w:rsid w:val="00EC36E5"/>
    <w:pPr>
      <w:pBdr>
        <w:top w:val="single" w:sz="4" w:space="1" w:color="4F81BD"/>
      </w:pBdr>
      <w:jc w:val="right"/>
    </w:pPr>
    <w:rPr>
      <w:color w:val="1F497D"/>
      <w:sz w:val="20"/>
    </w:rPr>
  </w:style>
  <w:style w:type="paragraph" w:customStyle="1" w:styleId="En-ttedepagepaire">
    <w:name w:val="En-tête de page paire"/>
    <w:basedOn w:val="Normal"/>
    <w:unhideWhenUsed/>
    <w:qFormat/>
    <w:rsid w:val="00EC36E5"/>
    <w:pPr>
      <w:pBdr>
        <w:bottom w:val="single" w:sz="4" w:space="1" w:color="4F81BD"/>
      </w:pBdr>
      <w:spacing w:after="0" w:line="240" w:lineRule="auto"/>
    </w:pPr>
    <w:rPr>
      <w:rFonts w:eastAsia="Times New Roman"/>
      <w:b/>
      <w:color w:val="1F497D"/>
      <w:sz w:val="20"/>
    </w:rPr>
  </w:style>
  <w:style w:type="paragraph" w:customStyle="1" w:styleId="En-ttedepageimpaire">
    <w:name w:val="En-tête de page impaire"/>
    <w:basedOn w:val="Normal"/>
    <w:unhideWhenUsed/>
    <w:qFormat/>
    <w:rsid w:val="00EC36E5"/>
    <w:pPr>
      <w:pBdr>
        <w:bottom w:val="single" w:sz="4" w:space="1" w:color="4F81BD"/>
      </w:pBdr>
      <w:spacing w:after="0" w:line="240" w:lineRule="auto"/>
      <w:jc w:val="right"/>
    </w:pPr>
    <w:rPr>
      <w:rFonts w:eastAsia="Times New Roman"/>
      <w:b/>
      <w:color w:val="1F497D"/>
      <w:sz w:val="20"/>
    </w:rPr>
  </w:style>
  <w:style w:type="paragraph" w:styleId="BalloonText">
    <w:name w:val="Balloon Text"/>
    <w:basedOn w:val="Normal"/>
    <w:link w:val="BalloonTextChar"/>
    <w:uiPriority w:val="99"/>
    <w:semiHidden/>
    <w:unhideWhenUsed/>
    <w:rsid w:val="00223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56C"/>
    <w:rPr>
      <w:rFonts w:ascii="Tahoma" w:eastAsia="Calibri" w:hAnsi="Tahoma" w:cs="Tahoma"/>
      <w:kern w:val="24"/>
      <w:sz w:val="16"/>
      <w:szCs w:val="16"/>
      <w:lang w:val="fr-BE" w:eastAsia="fr-BE"/>
    </w:rPr>
  </w:style>
  <w:style w:type="paragraph" w:styleId="Header">
    <w:name w:val="header"/>
    <w:basedOn w:val="Normal"/>
    <w:link w:val="HeaderChar"/>
    <w:uiPriority w:val="99"/>
    <w:unhideWhenUsed/>
    <w:rsid w:val="0033528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5286"/>
    <w:rPr>
      <w:rFonts w:ascii="Calibri" w:eastAsia="Calibri" w:hAnsi="Calibri" w:cs="Times New Roman"/>
      <w:kern w:val="24"/>
      <w:sz w:val="23"/>
      <w:szCs w:val="20"/>
      <w:lang w:val="fr-BE" w:eastAsia="fr-BE"/>
    </w:rPr>
  </w:style>
  <w:style w:type="paragraph" w:styleId="Footer">
    <w:name w:val="footer"/>
    <w:basedOn w:val="Normal"/>
    <w:link w:val="FooterChar"/>
    <w:uiPriority w:val="99"/>
    <w:unhideWhenUsed/>
    <w:rsid w:val="003352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5286"/>
    <w:rPr>
      <w:rFonts w:ascii="Calibri" w:eastAsia="Calibri" w:hAnsi="Calibri" w:cs="Times New Roman"/>
      <w:kern w:val="24"/>
      <w:sz w:val="23"/>
      <w:szCs w:val="20"/>
      <w:lang w:val="fr-BE" w:eastAsia="fr-BE"/>
    </w:rPr>
  </w:style>
  <w:style w:type="character" w:customStyle="1" w:styleId="NoSpacingChar">
    <w:name w:val="No Spacing Char"/>
    <w:basedOn w:val="DefaultParagraphFont"/>
    <w:link w:val="NoSpacing"/>
    <w:uiPriority w:val="1"/>
    <w:rsid w:val="00EB5717"/>
    <w:rPr>
      <w:rFonts w:ascii="Calibri" w:eastAsia="Calibri" w:hAnsi="Calibri" w:cs="Times New Roman"/>
      <w:kern w:val="24"/>
      <w:sz w:val="23"/>
      <w:szCs w:val="20"/>
      <w:lang w:val="fr-BE" w:eastAsia="fr-BE"/>
    </w:rPr>
  </w:style>
  <w:style w:type="paragraph" w:styleId="Caption">
    <w:name w:val="caption"/>
    <w:basedOn w:val="Normal"/>
    <w:next w:val="Normal"/>
    <w:uiPriority w:val="35"/>
    <w:unhideWhenUsed/>
    <w:qFormat/>
    <w:rsid w:val="009A1E8A"/>
    <w:pPr>
      <w:spacing w:after="200" w:line="240" w:lineRule="auto"/>
    </w:pPr>
    <w:rPr>
      <w:b/>
      <w:bCs/>
      <w:color w:val="4F81BD" w:themeColor="accent1"/>
      <w:sz w:val="18"/>
      <w:szCs w:val="18"/>
    </w:rPr>
  </w:style>
  <w:style w:type="paragraph" w:styleId="NormalWeb">
    <w:name w:val="Normal (Web)"/>
    <w:basedOn w:val="Normal"/>
    <w:uiPriority w:val="99"/>
    <w:semiHidden/>
    <w:unhideWhenUsed/>
    <w:rsid w:val="009A1E8A"/>
    <w:pPr>
      <w:spacing w:before="100" w:beforeAutospacing="1" w:after="100" w:afterAutospacing="1" w:line="240" w:lineRule="auto"/>
    </w:pPr>
    <w:rPr>
      <w:rFonts w:ascii="Times New Roman" w:eastAsia="Times New Roman" w:hAnsi="Times New Roman"/>
      <w:kern w:val="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87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ACA3A-13A6-40C4-893C-968709AED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2382</Words>
  <Characters>13584</Characters>
  <Application>Microsoft Office Word</Application>
  <DocSecurity>4</DocSecurity>
  <Lines>113</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15935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Manzengo, M. Casimir</dc:creator>
  <cp:lastModifiedBy>MEYER, Claude</cp:lastModifiedBy>
  <cp:revision>2</cp:revision>
  <cp:lastPrinted>2015-08-07T11:41:00Z</cp:lastPrinted>
  <dcterms:created xsi:type="dcterms:W3CDTF">2015-09-16T15:56:00Z</dcterms:created>
  <dcterms:modified xsi:type="dcterms:W3CDTF">2015-09-16T15:56:00Z</dcterms:modified>
</cp:coreProperties>
</file>