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emf" ContentType="image/x-em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imes New Roman" w:eastAsiaTheme="majorEastAsia" w:hAnsi="Times New Roman" w:cstheme="majorBidi"/>
          <w:caps/>
          <w:sz w:val="24"/>
          <w:szCs w:val="24"/>
        </w:rPr>
        <w:id w:val="25110436"/>
        <w:docPartObj>
          <w:docPartGallery w:val="Cover Pages"/>
          <w:docPartUnique/>
        </w:docPartObj>
      </w:sdtPr>
      <w:sdtEndPr>
        <w:rPr>
          <w:rFonts w:ascii="Arial" w:eastAsia="Times New Roman" w:hAnsi="Arial" w:cs="Arial"/>
          <w:b/>
          <w:caps w:val="0"/>
        </w:rPr>
      </w:sdtEndPr>
      <w:sdtContent>
        <w:tbl>
          <w:tblPr>
            <w:tblW w:w="5000" w:type="pct"/>
            <w:jc w:val="center"/>
            <w:tblLook w:val="04A0" w:firstRow="1" w:lastRow="0" w:firstColumn="1" w:lastColumn="0" w:noHBand="0" w:noVBand="1"/>
          </w:tblPr>
          <w:tblGrid>
            <w:gridCol w:w="8862"/>
          </w:tblGrid>
          <w:tr w:rsidR="00AD5F6B" w14:paraId="66865C7C" w14:textId="77777777">
            <w:trPr>
              <w:trHeight w:val="2880"/>
              <w:jc w:val="center"/>
            </w:trPr>
            <w:tc>
              <w:tcPr>
                <w:tcW w:w="5000" w:type="pct"/>
              </w:tcPr>
              <w:p w14:paraId="07F8955A" w14:textId="77777777" w:rsidR="00AD5F6B" w:rsidRPr="00AD5F6B" w:rsidRDefault="00AD5F6B" w:rsidP="001625A3">
                <w:pPr>
                  <w:pStyle w:val="NoSpacing"/>
                  <w:jc w:val="center"/>
                  <w:rPr>
                    <w:rFonts w:eastAsiaTheme="majorEastAsia" w:cstheme="majorBidi"/>
                    <w:caps/>
                  </w:rPr>
                </w:pPr>
              </w:p>
            </w:tc>
          </w:tr>
          <w:tr w:rsidR="00AD5F6B" w14:paraId="2304506A" w14:textId="77777777">
            <w:trPr>
              <w:trHeight w:val="1440"/>
              <w:jc w:val="center"/>
            </w:trPr>
            <w:tc>
              <w:tcPr>
                <w:tcW w:w="5000" w:type="pct"/>
                <w:tcBorders>
                  <w:bottom w:val="single" w:sz="4" w:space="0" w:color="4F81BD" w:themeColor="accent1"/>
                </w:tcBorders>
                <w:vAlign w:val="center"/>
              </w:tcPr>
              <w:p w14:paraId="4B96E321" w14:textId="77777777" w:rsidR="00A11550" w:rsidRDefault="00AD5F6B">
                <w:pPr>
                  <w:pStyle w:val="NoSpacing"/>
                  <w:jc w:val="center"/>
                  <w:rPr>
                    <w:rFonts w:cs="Arial"/>
                    <w:b/>
                    <w:sz w:val="32"/>
                  </w:rPr>
                </w:pPr>
                <w:r w:rsidRPr="00AD5F6B">
                  <w:rPr>
                    <w:rFonts w:cs="Arial"/>
                    <w:b/>
                    <w:sz w:val="32"/>
                  </w:rPr>
                  <w:t>Analysis of Catastrophic health payments and</w:t>
                </w:r>
              </w:p>
              <w:p w14:paraId="769439E8" w14:textId="77777777" w:rsidR="00A11550" w:rsidRDefault="00AD5F6B">
                <w:pPr>
                  <w:pStyle w:val="NoSpacing"/>
                  <w:jc w:val="center"/>
                  <w:rPr>
                    <w:rFonts w:cs="Arial"/>
                    <w:b/>
                    <w:sz w:val="32"/>
                  </w:rPr>
                </w:pPr>
                <w:r w:rsidRPr="00AD5F6B">
                  <w:rPr>
                    <w:rFonts w:cs="Arial"/>
                    <w:b/>
                    <w:sz w:val="32"/>
                  </w:rPr>
                  <w:t xml:space="preserve"> Benefit incidence of government spending for health </w:t>
                </w:r>
              </w:p>
              <w:p w14:paraId="2F7E8014" w14:textId="77777777" w:rsidR="00AD5F6B" w:rsidRPr="00AD5F6B" w:rsidRDefault="00AD5F6B">
                <w:pPr>
                  <w:pStyle w:val="NoSpacing"/>
                  <w:jc w:val="center"/>
                  <w:rPr>
                    <w:rFonts w:eastAsiaTheme="majorEastAsia" w:cstheme="majorBidi"/>
                    <w:sz w:val="80"/>
                    <w:szCs w:val="80"/>
                  </w:rPr>
                </w:pPr>
                <w:proofErr w:type="gramStart"/>
                <w:r w:rsidRPr="00AD5F6B">
                  <w:rPr>
                    <w:rFonts w:cs="Arial"/>
                    <w:b/>
                    <w:sz w:val="32"/>
                  </w:rPr>
                  <w:t>in</w:t>
                </w:r>
                <w:proofErr w:type="gramEnd"/>
                <w:r w:rsidRPr="00AD5F6B">
                  <w:rPr>
                    <w:rFonts w:cs="Arial"/>
                    <w:b/>
                    <w:sz w:val="32"/>
                  </w:rPr>
                  <w:t xml:space="preserve"> Mongolia</w:t>
                </w:r>
              </w:p>
            </w:tc>
          </w:tr>
          <w:tr w:rsidR="00AD5F6B" w14:paraId="144476C2" w14:textId="77777777">
            <w:trPr>
              <w:trHeight w:val="720"/>
              <w:jc w:val="center"/>
            </w:trPr>
            <w:tc>
              <w:tcPr>
                <w:tcW w:w="5000" w:type="pct"/>
                <w:tcBorders>
                  <w:top w:val="single" w:sz="4" w:space="0" w:color="4F81BD" w:themeColor="accent1"/>
                </w:tcBorders>
                <w:vAlign w:val="center"/>
              </w:tcPr>
              <w:p w14:paraId="778DC17B" w14:textId="77777777" w:rsidR="00AD5F6B" w:rsidRPr="00AD5F6B" w:rsidRDefault="00AD5F6B" w:rsidP="00AD5F6B">
                <w:pPr>
                  <w:pStyle w:val="NoSpacing"/>
                  <w:jc w:val="center"/>
                  <w:rPr>
                    <w:rFonts w:eastAsiaTheme="majorEastAsia" w:cstheme="majorBidi"/>
                    <w:sz w:val="44"/>
                    <w:szCs w:val="44"/>
                  </w:rPr>
                </w:pPr>
              </w:p>
            </w:tc>
          </w:tr>
          <w:tr w:rsidR="00AD5F6B" w14:paraId="051C5FC0" w14:textId="77777777">
            <w:trPr>
              <w:trHeight w:val="360"/>
              <w:jc w:val="center"/>
            </w:trPr>
            <w:tc>
              <w:tcPr>
                <w:tcW w:w="5000" w:type="pct"/>
                <w:vAlign w:val="center"/>
              </w:tcPr>
              <w:p w14:paraId="218CB9AF" w14:textId="77777777" w:rsidR="00AD5F6B" w:rsidRDefault="00AD5F6B">
                <w:pPr>
                  <w:pStyle w:val="NoSpacing"/>
                  <w:jc w:val="center"/>
                </w:pPr>
              </w:p>
              <w:p w14:paraId="2EBC33CF" w14:textId="77777777" w:rsidR="00A11550" w:rsidRPr="00AD5F6B" w:rsidRDefault="00A11550">
                <w:pPr>
                  <w:pStyle w:val="NoSpacing"/>
                  <w:jc w:val="center"/>
                </w:pPr>
              </w:p>
            </w:tc>
          </w:tr>
          <w:tr w:rsidR="00AD5F6B" w14:paraId="74D14DE8" w14:textId="77777777">
            <w:trPr>
              <w:trHeight w:val="360"/>
              <w:jc w:val="center"/>
            </w:trPr>
            <w:sdt>
              <w:sdtPr>
                <w:rPr>
                  <w:b/>
                  <w:bCs/>
                </w:rPr>
                <w:alias w:val="Author"/>
                <w:id w:val="15524260"/>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14:paraId="2C91EA2B" w14:textId="77777777" w:rsidR="00AD5F6B" w:rsidRPr="00AD5F6B" w:rsidRDefault="00AD5F6B" w:rsidP="00AD5F6B">
                    <w:pPr>
                      <w:pStyle w:val="NoSpacing"/>
                      <w:jc w:val="center"/>
                      <w:rPr>
                        <w:b/>
                        <w:bCs/>
                      </w:rPr>
                    </w:pPr>
                    <w:proofErr w:type="spellStart"/>
                    <w:r w:rsidRPr="00AD5F6B">
                      <w:rPr>
                        <w:b/>
                        <w:bCs/>
                      </w:rPr>
                      <w:t>Tsolmongerel</w:t>
                    </w:r>
                    <w:proofErr w:type="spellEnd"/>
                    <w:r w:rsidRPr="00AD5F6B">
                      <w:rPr>
                        <w:b/>
                        <w:bCs/>
                      </w:rPr>
                      <w:t xml:space="preserve"> </w:t>
                    </w:r>
                    <w:proofErr w:type="spellStart"/>
                    <w:r w:rsidRPr="00AD5F6B">
                      <w:rPr>
                        <w:b/>
                        <w:bCs/>
                      </w:rPr>
                      <w:t>Tsilaajav</w:t>
                    </w:r>
                    <w:proofErr w:type="spellEnd"/>
                  </w:p>
                </w:tc>
              </w:sdtContent>
            </w:sdt>
          </w:tr>
          <w:tr w:rsidR="00A422C7" w14:paraId="430AF7DE" w14:textId="77777777">
            <w:trPr>
              <w:trHeight w:val="360"/>
              <w:jc w:val="center"/>
            </w:trPr>
            <w:tc>
              <w:tcPr>
                <w:tcW w:w="5000" w:type="pct"/>
                <w:vAlign w:val="center"/>
              </w:tcPr>
              <w:p w14:paraId="1CA6B8C4" w14:textId="77777777" w:rsidR="00A422C7" w:rsidRDefault="00A422C7" w:rsidP="00AD5F6B">
                <w:pPr>
                  <w:pStyle w:val="NoSpacing"/>
                  <w:jc w:val="center"/>
                  <w:rPr>
                    <w:b/>
                    <w:bCs/>
                  </w:rPr>
                </w:pPr>
                <w:proofErr w:type="spellStart"/>
                <w:r>
                  <w:rPr>
                    <w:b/>
                    <w:bCs/>
                  </w:rPr>
                  <w:t>Oyungerel</w:t>
                </w:r>
                <w:proofErr w:type="spellEnd"/>
                <w:r>
                  <w:rPr>
                    <w:b/>
                    <w:bCs/>
                  </w:rPr>
                  <w:t xml:space="preserve"> </w:t>
                </w:r>
                <w:proofErr w:type="spellStart"/>
                <w:r>
                  <w:rPr>
                    <w:b/>
                    <w:bCs/>
                  </w:rPr>
                  <w:t>Nanzad</w:t>
                </w:r>
                <w:proofErr w:type="spellEnd"/>
              </w:p>
            </w:tc>
          </w:tr>
          <w:tr w:rsidR="00A422C7" w14:paraId="56E4123F" w14:textId="77777777">
            <w:trPr>
              <w:trHeight w:val="360"/>
              <w:jc w:val="center"/>
            </w:trPr>
            <w:tc>
              <w:tcPr>
                <w:tcW w:w="5000" w:type="pct"/>
                <w:vAlign w:val="center"/>
              </w:tcPr>
              <w:p w14:paraId="16D3D020" w14:textId="77777777" w:rsidR="00A422C7" w:rsidRDefault="00A422C7" w:rsidP="00AD5F6B">
                <w:pPr>
                  <w:pStyle w:val="NoSpacing"/>
                  <w:jc w:val="center"/>
                  <w:rPr>
                    <w:b/>
                    <w:bCs/>
                  </w:rPr>
                </w:pPr>
                <w:proofErr w:type="spellStart"/>
                <w:r>
                  <w:rPr>
                    <w:b/>
                    <w:bCs/>
                  </w:rPr>
                  <w:t>Enkhbaatar</w:t>
                </w:r>
                <w:proofErr w:type="spellEnd"/>
                <w:r>
                  <w:rPr>
                    <w:b/>
                    <w:bCs/>
                  </w:rPr>
                  <w:t xml:space="preserve"> </w:t>
                </w:r>
                <w:proofErr w:type="spellStart"/>
                <w:r>
                  <w:rPr>
                    <w:b/>
                    <w:bCs/>
                  </w:rPr>
                  <w:t>Ichinnorov</w:t>
                </w:r>
                <w:proofErr w:type="spellEnd"/>
              </w:p>
            </w:tc>
          </w:tr>
          <w:tr w:rsidR="00A422C7" w14:paraId="493B6E6C" w14:textId="77777777">
            <w:trPr>
              <w:trHeight w:val="360"/>
              <w:jc w:val="center"/>
            </w:trPr>
            <w:tc>
              <w:tcPr>
                <w:tcW w:w="5000" w:type="pct"/>
                <w:vAlign w:val="center"/>
              </w:tcPr>
              <w:p w14:paraId="069CE4B0" w14:textId="77777777" w:rsidR="00A422C7" w:rsidRDefault="00A422C7" w:rsidP="00AD5F6B">
                <w:pPr>
                  <w:pStyle w:val="NoSpacing"/>
                  <w:jc w:val="center"/>
                  <w:rPr>
                    <w:b/>
                    <w:bCs/>
                  </w:rPr>
                </w:pPr>
              </w:p>
              <w:p w14:paraId="4BFDF9B2" w14:textId="77777777" w:rsidR="00A422C7" w:rsidRDefault="00A422C7" w:rsidP="00AD5F6B">
                <w:pPr>
                  <w:pStyle w:val="NoSpacing"/>
                  <w:jc w:val="center"/>
                  <w:rPr>
                    <w:b/>
                    <w:bCs/>
                  </w:rPr>
                </w:pPr>
              </w:p>
              <w:p w14:paraId="6960FF9F" w14:textId="77777777" w:rsidR="00A422C7" w:rsidRDefault="00A422C7" w:rsidP="00AD5F6B">
                <w:pPr>
                  <w:pStyle w:val="NoSpacing"/>
                  <w:jc w:val="center"/>
                  <w:rPr>
                    <w:b/>
                    <w:bCs/>
                  </w:rPr>
                </w:pPr>
              </w:p>
            </w:tc>
          </w:tr>
          <w:tr w:rsidR="00AD5F6B" w14:paraId="36472846" w14:textId="77777777">
            <w:trPr>
              <w:trHeight w:val="360"/>
              <w:jc w:val="center"/>
            </w:trPr>
            <w:tc>
              <w:tcPr>
                <w:tcW w:w="5000" w:type="pct"/>
                <w:vAlign w:val="center"/>
              </w:tcPr>
              <w:p w14:paraId="08080226" w14:textId="195D372A" w:rsidR="00AD5F6B" w:rsidRPr="00AD5F6B" w:rsidRDefault="007043D5" w:rsidP="007043D5">
                <w:pPr>
                  <w:pStyle w:val="NoSpacing"/>
                  <w:jc w:val="center"/>
                  <w:rPr>
                    <w:b/>
                    <w:bCs/>
                  </w:rPr>
                </w:pPr>
                <w:r>
                  <w:rPr>
                    <w:b/>
                    <w:bCs/>
                  </w:rPr>
                  <w:t>September 2015</w:t>
                </w:r>
              </w:p>
            </w:tc>
          </w:tr>
        </w:tbl>
        <w:p w14:paraId="62E0CF4F" w14:textId="77777777" w:rsidR="00AD5F6B" w:rsidRDefault="00AD5F6B"/>
        <w:p w14:paraId="657DE748" w14:textId="77777777" w:rsidR="00AD5F6B" w:rsidRDefault="00AD5F6B"/>
        <w:p w14:paraId="2A1EB057" w14:textId="77777777" w:rsidR="00AD5F6B" w:rsidRDefault="00AD5F6B"/>
        <w:p w14:paraId="765FC4C1" w14:textId="77777777" w:rsidR="00AD5F6B" w:rsidRDefault="00AD5F6B">
          <w:pPr>
            <w:rPr>
              <w:rFonts w:ascii="Arial" w:hAnsi="Arial" w:cs="Arial"/>
              <w:b/>
            </w:rPr>
          </w:pPr>
          <w:r>
            <w:rPr>
              <w:rFonts w:ascii="Arial" w:hAnsi="Arial" w:cs="Arial"/>
              <w:b/>
            </w:rPr>
            <w:br w:type="page"/>
          </w:r>
        </w:p>
      </w:sdtContent>
    </w:sdt>
    <w:p w14:paraId="530C276F" w14:textId="77777777" w:rsidR="00580844" w:rsidRPr="00E127ED" w:rsidRDefault="00580844">
      <w:pPr>
        <w:rPr>
          <w:rFonts w:asciiTheme="minorHAnsi" w:hAnsiTheme="minorHAnsi" w:cs="Arial"/>
          <w:sz w:val="28"/>
        </w:rPr>
      </w:pPr>
      <w:r w:rsidRPr="00E127ED">
        <w:rPr>
          <w:rFonts w:asciiTheme="minorHAnsi" w:hAnsiTheme="minorHAnsi" w:cs="Arial"/>
          <w:sz w:val="28"/>
        </w:rPr>
        <w:lastRenderedPageBreak/>
        <w:t>Contents</w:t>
      </w:r>
    </w:p>
    <w:p w14:paraId="32478185" w14:textId="77777777" w:rsidR="00E127ED" w:rsidRDefault="00E127ED">
      <w:pPr>
        <w:rPr>
          <w:rFonts w:ascii="Arial" w:hAnsi="Arial" w:cs="Arial"/>
        </w:rPr>
      </w:pPr>
    </w:p>
    <w:p w14:paraId="7C409784" w14:textId="77777777" w:rsidR="00E127ED" w:rsidRPr="00DC36C5" w:rsidRDefault="00E127ED">
      <w:pPr>
        <w:rPr>
          <w:rFonts w:ascii="Arial" w:hAnsi="Arial" w:cs="Arial"/>
        </w:rPr>
      </w:pPr>
    </w:p>
    <w:p w14:paraId="33FFBE77" w14:textId="77777777" w:rsidR="00FA763A" w:rsidRPr="007A1B5C" w:rsidRDefault="00CB191B">
      <w:pPr>
        <w:pStyle w:val="TOC2"/>
        <w:rPr>
          <w:rFonts w:eastAsiaTheme="minorEastAsia" w:cstheme="minorBidi"/>
          <w:b w:val="0"/>
          <w:noProof/>
          <w:sz w:val="24"/>
          <w:szCs w:val="24"/>
          <w:lang w:eastAsia="ja-JP"/>
        </w:rPr>
      </w:pPr>
      <w:r w:rsidRPr="007A1B5C">
        <w:rPr>
          <w:rFonts w:cs="Arial"/>
          <w:b w:val="0"/>
          <w:sz w:val="20"/>
        </w:rPr>
        <w:fldChar w:fldCharType="begin"/>
      </w:r>
      <w:r w:rsidR="006B3D01" w:rsidRPr="007A1B5C">
        <w:rPr>
          <w:rFonts w:cs="Arial"/>
          <w:b w:val="0"/>
          <w:sz w:val="20"/>
        </w:rPr>
        <w:instrText xml:space="preserve"> TOC \o "1-3" </w:instrText>
      </w:r>
      <w:r w:rsidRPr="007A1B5C">
        <w:rPr>
          <w:rFonts w:cs="Arial"/>
          <w:b w:val="0"/>
          <w:sz w:val="20"/>
        </w:rPr>
        <w:fldChar w:fldCharType="separate"/>
      </w:r>
      <w:r w:rsidR="00FA763A" w:rsidRPr="007A1B5C">
        <w:rPr>
          <w:rFonts w:cs="Tahoma"/>
          <w:b w:val="0"/>
          <w:noProof/>
          <w:lang w:val="en-GB"/>
        </w:rPr>
        <w:t>Acronyms</w:t>
      </w:r>
      <w:r w:rsidR="00FA763A" w:rsidRPr="007A1B5C">
        <w:rPr>
          <w:b w:val="0"/>
          <w:noProof/>
        </w:rPr>
        <w:tab/>
      </w:r>
      <w:r w:rsidR="00FA763A" w:rsidRPr="007A1B5C">
        <w:rPr>
          <w:b w:val="0"/>
          <w:noProof/>
        </w:rPr>
        <w:fldChar w:fldCharType="begin"/>
      </w:r>
      <w:r w:rsidR="00FA763A" w:rsidRPr="007A1B5C">
        <w:rPr>
          <w:b w:val="0"/>
          <w:noProof/>
        </w:rPr>
        <w:instrText xml:space="preserve"> PAGEREF _Toc305764296 \h </w:instrText>
      </w:r>
      <w:r w:rsidR="00FA763A" w:rsidRPr="007A1B5C">
        <w:rPr>
          <w:b w:val="0"/>
          <w:noProof/>
        </w:rPr>
      </w:r>
      <w:r w:rsidR="00FA763A" w:rsidRPr="007A1B5C">
        <w:rPr>
          <w:b w:val="0"/>
          <w:noProof/>
        </w:rPr>
        <w:fldChar w:fldCharType="separate"/>
      </w:r>
      <w:r w:rsidR="00FA763A" w:rsidRPr="007A1B5C">
        <w:rPr>
          <w:b w:val="0"/>
          <w:noProof/>
        </w:rPr>
        <w:t>5</w:t>
      </w:r>
      <w:r w:rsidR="00FA763A" w:rsidRPr="007A1B5C">
        <w:rPr>
          <w:b w:val="0"/>
          <w:noProof/>
        </w:rPr>
        <w:fldChar w:fldCharType="end"/>
      </w:r>
    </w:p>
    <w:p w14:paraId="753AB13F" w14:textId="77777777" w:rsidR="00FA763A" w:rsidRPr="007A1B5C" w:rsidRDefault="00FA763A">
      <w:pPr>
        <w:pStyle w:val="TOC2"/>
        <w:rPr>
          <w:rFonts w:eastAsiaTheme="minorEastAsia" w:cstheme="minorBidi"/>
          <w:b w:val="0"/>
          <w:noProof/>
          <w:sz w:val="24"/>
          <w:szCs w:val="24"/>
          <w:lang w:eastAsia="ja-JP"/>
        </w:rPr>
      </w:pPr>
      <w:r w:rsidRPr="007A1B5C">
        <w:rPr>
          <w:b w:val="0"/>
          <w:noProof/>
          <w:lang w:val="en-GB"/>
        </w:rPr>
        <w:t>Introduction</w:t>
      </w:r>
      <w:r w:rsidRPr="007A1B5C">
        <w:rPr>
          <w:b w:val="0"/>
          <w:noProof/>
        </w:rPr>
        <w:tab/>
      </w:r>
      <w:r w:rsidRPr="007A1B5C">
        <w:rPr>
          <w:b w:val="0"/>
          <w:noProof/>
        </w:rPr>
        <w:fldChar w:fldCharType="begin"/>
      </w:r>
      <w:r w:rsidRPr="007A1B5C">
        <w:rPr>
          <w:b w:val="0"/>
          <w:noProof/>
        </w:rPr>
        <w:instrText xml:space="preserve"> PAGEREF _Toc305764297 \h </w:instrText>
      </w:r>
      <w:r w:rsidRPr="007A1B5C">
        <w:rPr>
          <w:b w:val="0"/>
          <w:noProof/>
        </w:rPr>
      </w:r>
      <w:r w:rsidRPr="007A1B5C">
        <w:rPr>
          <w:b w:val="0"/>
          <w:noProof/>
        </w:rPr>
        <w:fldChar w:fldCharType="separate"/>
      </w:r>
      <w:r w:rsidRPr="007A1B5C">
        <w:rPr>
          <w:b w:val="0"/>
          <w:noProof/>
        </w:rPr>
        <w:t>6</w:t>
      </w:r>
      <w:r w:rsidRPr="007A1B5C">
        <w:rPr>
          <w:b w:val="0"/>
          <w:noProof/>
        </w:rPr>
        <w:fldChar w:fldCharType="end"/>
      </w:r>
    </w:p>
    <w:p w14:paraId="67AEABCE" w14:textId="77777777" w:rsidR="00FA763A" w:rsidRPr="007A1B5C" w:rsidRDefault="00FA763A">
      <w:pPr>
        <w:pStyle w:val="TOC2"/>
        <w:rPr>
          <w:rFonts w:eastAsiaTheme="minorEastAsia" w:cstheme="minorBidi"/>
          <w:b w:val="0"/>
          <w:noProof/>
          <w:sz w:val="24"/>
          <w:szCs w:val="24"/>
          <w:lang w:eastAsia="ja-JP"/>
        </w:rPr>
      </w:pPr>
      <w:r w:rsidRPr="007A1B5C">
        <w:rPr>
          <w:b w:val="0"/>
          <w:noProof/>
          <w:lang w:val="en-GB"/>
        </w:rPr>
        <w:t>Overview of the health system in Mongolia</w:t>
      </w:r>
      <w:r w:rsidRPr="007A1B5C">
        <w:rPr>
          <w:b w:val="0"/>
          <w:noProof/>
        </w:rPr>
        <w:tab/>
      </w:r>
      <w:r w:rsidRPr="007A1B5C">
        <w:rPr>
          <w:b w:val="0"/>
          <w:noProof/>
        </w:rPr>
        <w:fldChar w:fldCharType="begin"/>
      </w:r>
      <w:r w:rsidRPr="007A1B5C">
        <w:rPr>
          <w:b w:val="0"/>
          <w:noProof/>
        </w:rPr>
        <w:instrText xml:space="preserve"> PAGEREF _Toc305764298 \h </w:instrText>
      </w:r>
      <w:r w:rsidRPr="007A1B5C">
        <w:rPr>
          <w:b w:val="0"/>
          <w:noProof/>
        </w:rPr>
      </w:r>
      <w:r w:rsidRPr="007A1B5C">
        <w:rPr>
          <w:b w:val="0"/>
          <w:noProof/>
        </w:rPr>
        <w:fldChar w:fldCharType="separate"/>
      </w:r>
      <w:r w:rsidRPr="007A1B5C">
        <w:rPr>
          <w:b w:val="0"/>
          <w:noProof/>
        </w:rPr>
        <w:t>7</w:t>
      </w:r>
      <w:r w:rsidRPr="007A1B5C">
        <w:rPr>
          <w:b w:val="0"/>
          <w:noProof/>
        </w:rPr>
        <w:fldChar w:fldCharType="end"/>
      </w:r>
    </w:p>
    <w:p w14:paraId="3301E9A9" w14:textId="77777777" w:rsidR="00FA763A" w:rsidRPr="007A1B5C" w:rsidRDefault="00FA763A">
      <w:pPr>
        <w:pStyle w:val="TOC3"/>
        <w:tabs>
          <w:tab w:val="right" w:leader="dot" w:pos="8636"/>
        </w:tabs>
        <w:rPr>
          <w:rFonts w:eastAsiaTheme="minorEastAsia" w:cstheme="minorBidi"/>
          <w:noProof/>
          <w:sz w:val="24"/>
          <w:szCs w:val="24"/>
          <w:lang w:eastAsia="ja-JP"/>
        </w:rPr>
      </w:pPr>
      <w:r w:rsidRPr="007A1B5C">
        <w:rPr>
          <w:noProof/>
        </w:rPr>
        <w:t>Health service delivery and governance</w:t>
      </w:r>
      <w:r w:rsidRPr="007A1B5C">
        <w:rPr>
          <w:noProof/>
        </w:rPr>
        <w:tab/>
      </w:r>
      <w:r w:rsidRPr="007A1B5C">
        <w:rPr>
          <w:noProof/>
        </w:rPr>
        <w:fldChar w:fldCharType="begin"/>
      </w:r>
      <w:r w:rsidRPr="007A1B5C">
        <w:rPr>
          <w:noProof/>
        </w:rPr>
        <w:instrText xml:space="preserve"> PAGEREF _Toc305764299 \h </w:instrText>
      </w:r>
      <w:r w:rsidRPr="007A1B5C">
        <w:rPr>
          <w:noProof/>
        </w:rPr>
      </w:r>
      <w:r w:rsidRPr="007A1B5C">
        <w:rPr>
          <w:noProof/>
        </w:rPr>
        <w:fldChar w:fldCharType="separate"/>
      </w:r>
      <w:r w:rsidRPr="007A1B5C">
        <w:rPr>
          <w:noProof/>
        </w:rPr>
        <w:t>7</w:t>
      </w:r>
      <w:r w:rsidRPr="007A1B5C">
        <w:rPr>
          <w:noProof/>
        </w:rPr>
        <w:fldChar w:fldCharType="end"/>
      </w:r>
    </w:p>
    <w:p w14:paraId="6B6DBA7B" w14:textId="77777777" w:rsidR="00FA763A" w:rsidRPr="007A1B5C" w:rsidRDefault="00FA763A">
      <w:pPr>
        <w:pStyle w:val="TOC3"/>
        <w:tabs>
          <w:tab w:val="right" w:leader="dot" w:pos="8636"/>
        </w:tabs>
        <w:rPr>
          <w:rFonts w:eastAsiaTheme="minorEastAsia" w:cstheme="minorBidi"/>
          <w:noProof/>
          <w:sz w:val="24"/>
          <w:szCs w:val="24"/>
          <w:lang w:eastAsia="ja-JP"/>
        </w:rPr>
      </w:pPr>
      <w:r w:rsidRPr="007A1B5C">
        <w:rPr>
          <w:noProof/>
        </w:rPr>
        <w:t>Human resources</w:t>
      </w:r>
      <w:r w:rsidRPr="007A1B5C">
        <w:rPr>
          <w:noProof/>
        </w:rPr>
        <w:tab/>
      </w:r>
      <w:r w:rsidRPr="007A1B5C">
        <w:rPr>
          <w:noProof/>
        </w:rPr>
        <w:fldChar w:fldCharType="begin"/>
      </w:r>
      <w:r w:rsidRPr="007A1B5C">
        <w:rPr>
          <w:noProof/>
        </w:rPr>
        <w:instrText xml:space="preserve"> PAGEREF _Toc305764300 \h </w:instrText>
      </w:r>
      <w:r w:rsidRPr="007A1B5C">
        <w:rPr>
          <w:noProof/>
        </w:rPr>
      </w:r>
      <w:r w:rsidRPr="007A1B5C">
        <w:rPr>
          <w:noProof/>
        </w:rPr>
        <w:fldChar w:fldCharType="separate"/>
      </w:r>
      <w:r w:rsidRPr="007A1B5C">
        <w:rPr>
          <w:noProof/>
        </w:rPr>
        <w:t>8</w:t>
      </w:r>
      <w:r w:rsidRPr="007A1B5C">
        <w:rPr>
          <w:noProof/>
        </w:rPr>
        <w:fldChar w:fldCharType="end"/>
      </w:r>
    </w:p>
    <w:p w14:paraId="6B97E276" w14:textId="77777777" w:rsidR="00FA763A" w:rsidRPr="007A1B5C" w:rsidRDefault="00FA763A">
      <w:pPr>
        <w:pStyle w:val="TOC3"/>
        <w:tabs>
          <w:tab w:val="right" w:leader="dot" w:pos="8636"/>
        </w:tabs>
        <w:rPr>
          <w:rFonts w:eastAsiaTheme="minorEastAsia" w:cstheme="minorBidi"/>
          <w:noProof/>
          <w:sz w:val="24"/>
          <w:szCs w:val="24"/>
          <w:lang w:eastAsia="ja-JP"/>
        </w:rPr>
      </w:pPr>
      <w:r w:rsidRPr="007A1B5C">
        <w:rPr>
          <w:noProof/>
          <w:lang w:val="en-GB"/>
        </w:rPr>
        <w:t>Health care financing</w:t>
      </w:r>
      <w:r w:rsidRPr="007A1B5C">
        <w:rPr>
          <w:noProof/>
        </w:rPr>
        <w:tab/>
      </w:r>
      <w:r w:rsidRPr="007A1B5C">
        <w:rPr>
          <w:noProof/>
        </w:rPr>
        <w:fldChar w:fldCharType="begin"/>
      </w:r>
      <w:r w:rsidRPr="007A1B5C">
        <w:rPr>
          <w:noProof/>
        </w:rPr>
        <w:instrText xml:space="preserve"> PAGEREF _Toc305764301 \h </w:instrText>
      </w:r>
      <w:r w:rsidRPr="007A1B5C">
        <w:rPr>
          <w:noProof/>
        </w:rPr>
      </w:r>
      <w:r w:rsidRPr="007A1B5C">
        <w:rPr>
          <w:noProof/>
        </w:rPr>
        <w:fldChar w:fldCharType="separate"/>
      </w:r>
      <w:r w:rsidRPr="007A1B5C">
        <w:rPr>
          <w:noProof/>
        </w:rPr>
        <w:t>9</w:t>
      </w:r>
      <w:r w:rsidRPr="007A1B5C">
        <w:rPr>
          <w:noProof/>
        </w:rPr>
        <w:fldChar w:fldCharType="end"/>
      </w:r>
    </w:p>
    <w:p w14:paraId="3CD7CAB8" w14:textId="77777777" w:rsidR="00FA763A" w:rsidRPr="007A1B5C" w:rsidRDefault="00FA763A">
      <w:pPr>
        <w:pStyle w:val="TOC3"/>
        <w:tabs>
          <w:tab w:val="right" w:leader="dot" w:pos="8636"/>
        </w:tabs>
        <w:rPr>
          <w:rFonts w:eastAsiaTheme="minorEastAsia" w:cstheme="minorBidi"/>
          <w:noProof/>
          <w:sz w:val="24"/>
          <w:szCs w:val="24"/>
          <w:lang w:eastAsia="ja-JP"/>
        </w:rPr>
      </w:pPr>
      <w:r w:rsidRPr="007A1B5C">
        <w:rPr>
          <w:noProof/>
          <w:lang w:val="en-GB"/>
        </w:rPr>
        <w:t>Medicine</w:t>
      </w:r>
      <w:r w:rsidRPr="007A1B5C">
        <w:rPr>
          <w:noProof/>
        </w:rPr>
        <w:tab/>
      </w:r>
      <w:r w:rsidRPr="007A1B5C">
        <w:rPr>
          <w:noProof/>
        </w:rPr>
        <w:fldChar w:fldCharType="begin"/>
      </w:r>
      <w:r w:rsidRPr="007A1B5C">
        <w:rPr>
          <w:noProof/>
        </w:rPr>
        <w:instrText xml:space="preserve"> PAGEREF _Toc305764302 \h </w:instrText>
      </w:r>
      <w:r w:rsidRPr="007A1B5C">
        <w:rPr>
          <w:noProof/>
        </w:rPr>
      </w:r>
      <w:r w:rsidRPr="007A1B5C">
        <w:rPr>
          <w:noProof/>
        </w:rPr>
        <w:fldChar w:fldCharType="separate"/>
      </w:r>
      <w:r w:rsidRPr="007A1B5C">
        <w:rPr>
          <w:noProof/>
        </w:rPr>
        <w:t>11</w:t>
      </w:r>
      <w:r w:rsidRPr="007A1B5C">
        <w:rPr>
          <w:noProof/>
        </w:rPr>
        <w:fldChar w:fldCharType="end"/>
      </w:r>
    </w:p>
    <w:p w14:paraId="3D88C671" w14:textId="77777777" w:rsidR="00FA763A" w:rsidRPr="007A1B5C" w:rsidRDefault="00FA763A">
      <w:pPr>
        <w:pStyle w:val="TOC3"/>
        <w:tabs>
          <w:tab w:val="right" w:leader="dot" w:pos="8636"/>
        </w:tabs>
        <w:rPr>
          <w:rFonts w:eastAsiaTheme="minorEastAsia" w:cstheme="minorBidi"/>
          <w:noProof/>
          <w:sz w:val="24"/>
          <w:szCs w:val="24"/>
          <w:lang w:eastAsia="ja-JP"/>
        </w:rPr>
      </w:pPr>
      <w:r w:rsidRPr="007A1B5C">
        <w:rPr>
          <w:noProof/>
        </w:rPr>
        <w:t>Information system</w:t>
      </w:r>
      <w:r w:rsidRPr="007A1B5C">
        <w:rPr>
          <w:noProof/>
        </w:rPr>
        <w:tab/>
      </w:r>
      <w:r w:rsidRPr="007A1B5C">
        <w:rPr>
          <w:noProof/>
        </w:rPr>
        <w:fldChar w:fldCharType="begin"/>
      </w:r>
      <w:r w:rsidRPr="007A1B5C">
        <w:rPr>
          <w:noProof/>
        </w:rPr>
        <w:instrText xml:space="preserve"> PAGEREF _Toc305764303 \h </w:instrText>
      </w:r>
      <w:r w:rsidRPr="007A1B5C">
        <w:rPr>
          <w:noProof/>
        </w:rPr>
      </w:r>
      <w:r w:rsidRPr="007A1B5C">
        <w:rPr>
          <w:noProof/>
        </w:rPr>
        <w:fldChar w:fldCharType="separate"/>
      </w:r>
      <w:r w:rsidRPr="007A1B5C">
        <w:rPr>
          <w:noProof/>
        </w:rPr>
        <w:t>11</w:t>
      </w:r>
      <w:r w:rsidRPr="007A1B5C">
        <w:rPr>
          <w:noProof/>
        </w:rPr>
        <w:fldChar w:fldCharType="end"/>
      </w:r>
    </w:p>
    <w:p w14:paraId="4331AF79" w14:textId="77777777" w:rsidR="00FA763A" w:rsidRPr="007A1B5C" w:rsidRDefault="00FA763A">
      <w:pPr>
        <w:pStyle w:val="TOC2"/>
        <w:rPr>
          <w:rFonts w:eastAsiaTheme="minorEastAsia" w:cstheme="minorBidi"/>
          <w:b w:val="0"/>
          <w:noProof/>
          <w:sz w:val="24"/>
          <w:szCs w:val="24"/>
          <w:lang w:eastAsia="ja-JP"/>
        </w:rPr>
      </w:pPr>
      <w:r w:rsidRPr="007A1B5C">
        <w:rPr>
          <w:b w:val="0"/>
          <w:noProof/>
          <w:lang w:val="en-GB"/>
        </w:rPr>
        <w:t>Data description</w:t>
      </w:r>
      <w:r w:rsidRPr="007A1B5C">
        <w:rPr>
          <w:b w:val="0"/>
          <w:noProof/>
        </w:rPr>
        <w:tab/>
      </w:r>
      <w:r w:rsidRPr="007A1B5C">
        <w:rPr>
          <w:b w:val="0"/>
          <w:noProof/>
        </w:rPr>
        <w:fldChar w:fldCharType="begin"/>
      </w:r>
      <w:r w:rsidRPr="007A1B5C">
        <w:rPr>
          <w:b w:val="0"/>
          <w:noProof/>
        </w:rPr>
        <w:instrText xml:space="preserve"> PAGEREF _Toc305764304 \h </w:instrText>
      </w:r>
      <w:r w:rsidRPr="007A1B5C">
        <w:rPr>
          <w:b w:val="0"/>
          <w:noProof/>
        </w:rPr>
      </w:r>
      <w:r w:rsidRPr="007A1B5C">
        <w:rPr>
          <w:b w:val="0"/>
          <w:noProof/>
        </w:rPr>
        <w:fldChar w:fldCharType="separate"/>
      </w:r>
      <w:r w:rsidRPr="007A1B5C">
        <w:rPr>
          <w:b w:val="0"/>
          <w:noProof/>
        </w:rPr>
        <w:t>12</w:t>
      </w:r>
      <w:r w:rsidRPr="007A1B5C">
        <w:rPr>
          <w:b w:val="0"/>
          <w:noProof/>
        </w:rPr>
        <w:fldChar w:fldCharType="end"/>
      </w:r>
    </w:p>
    <w:p w14:paraId="6425874D" w14:textId="77777777" w:rsidR="00FA763A" w:rsidRPr="007A1B5C" w:rsidRDefault="00FA763A">
      <w:pPr>
        <w:pStyle w:val="TOC2"/>
        <w:rPr>
          <w:rFonts w:eastAsiaTheme="minorEastAsia" w:cstheme="minorBidi"/>
          <w:b w:val="0"/>
          <w:noProof/>
          <w:sz w:val="24"/>
          <w:szCs w:val="24"/>
          <w:lang w:eastAsia="ja-JP"/>
        </w:rPr>
      </w:pPr>
      <w:r w:rsidRPr="007A1B5C">
        <w:rPr>
          <w:b w:val="0"/>
          <w:noProof/>
          <w:lang w:val="en-GB"/>
        </w:rPr>
        <w:t>Recall periods</w:t>
      </w:r>
      <w:r w:rsidRPr="007A1B5C">
        <w:rPr>
          <w:b w:val="0"/>
          <w:noProof/>
        </w:rPr>
        <w:tab/>
      </w:r>
      <w:r w:rsidRPr="007A1B5C">
        <w:rPr>
          <w:b w:val="0"/>
          <w:noProof/>
        </w:rPr>
        <w:fldChar w:fldCharType="begin"/>
      </w:r>
      <w:r w:rsidRPr="007A1B5C">
        <w:rPr>
          <w:b w:val="0"/>
          <w:noProof/>
        </w:rPr>
        <w:instrText xml:space="preserve"> PAGEREF _Toc305764305 \h </w:instrText>
      </w:r>
      <w:r w:rsidRPr="007A1B5C">
        <w:rPr>
          <w:b w:val="0"/>
          <w:noProof/>
        </w:rPr>
      </w:r>
      <w:r w:rsidRPr="007A1B5C">
        <w:rPr>
          <w:b w:val="0"/>
          <w:noProof/>
        </w:rPr>
        <w:fldChar w:fldCharType="separate"/>
      </w:r>
      <w:r w:rsidRPr="007A1B5C">
        <w:rPr>
          <w:b w:val="0"/>
          <w:noProof/>
        </w:rPr>
        <w:t>13</w:t>
      </w:r>
      <w:r w:rsidRPr="007A1B5C">
        <w:rPr>
          <w:b w:val="0"/>
          <w:noProof/>
        </w:rPr>
        <w:fldChar w:fldCharType="end"/>
      </w:r>
    </w:p>
    <w:p w14:paraId="0EC486B8" w14:textId="77777777" w:rsidR="00FA763A" w:rsidRPr="007A1B5C" w:rsidRDefault="00FA763A">
      <w:pPr>
        <w:pStyle w:val="TOC2"/>
        <w:rPr>
          <w:rFonts w:eastAsiaTheme="minorEastAsia" w:cstheme="minorBidi"/>
          <w:b w:val="0"/>
          <w:noProof/>
          <w:sz w:val="24"/>
          <w:szCs w:val="24"/>
          <w:lang w:eastAsia="ja-JP"/>
        </w:rPr>
      </w:pPr>
      <w:r w:rsidRPr="007A1B5C">
        <w:rPr>
          <w:b w:val="0"/>
          <w:noProof/>
          <w:lang w:val="en-GB"/>
        </w:rPr>
        <w:t>Construction of key variables</w:t>
      </w:r>
      <w:r w:rsidRPr="007A1B5C">
        <w:rPr>
          <w:b w:val="0"/>
          <w:noProof/>
        </w:rPr>
        <w:tab/>
      </w:r>
      <w:r w:rsidRPr="007A1B5C">
        <w:rPr>
          <w:b w:val="0"/>
          <w:noProof/>
        </w:rPr>
        <w:fldChar w:fldCharType="begin"/>
      </w:r>
      <w:r w:rsidRPr="007A1B5C">
        <w:rPr>
          <w:b w:val="0"/>
          <w:noProof/>
        </w:rPr>
        <w:instrText xml:space="preserve"> PAGEREF _Toc305764306 \h </w:instrText>
      </w:r>
      <w:r w:rsidRPr="007A1B5C">
        <w:rPr>
          <w:b w:val="0"/>
          <w:noProof/>
        </w:rPr>
      </w:r>
      <w:r w:rsidRPr="007A1B5C">
        <w:rPr>
          <w:b w:val="0"/>
          <w:noProof/>
        </w:rPr>
        <w:fldChar w:fldCharType="separate"/>
      </w:r>
      <w:r w:rsidRPr="007A1B5C">
        <w:rPr>
          <w:b w:val="0"/>
          <w:noProof/>
        </w:rPr>
        <w:t>13</w:t>
      </w:r>
      <w:r w:rsidRPr="007A1B5C">
        <w:rPr>
          <w:b w:val="0"/>
          <w:noProof/>
        </w:rPr>
        <w:fldChar w:fldCharType="end"/>
      </w:r>
    </w:p>
    <w:p w14:paraId="2470E9FB" w14:textId="77777777" w:rsidR="00FA763A" w:rsidRPr="007A1B5C" w:rsidRDefault="00FA763A">
      <w:pPr>
        <w:pStyle w:val="TOC2"/>
        <w:rPr>
          <w:rFonts w:eastAsiaTheme="minorEastAsia" w:cstheme="minorBidi"/>
          <w:b w:val="0"/>
          <w:noProof/>
          <w:sz w:val="24"/>
          <w:szCs w:val="24"/>
          <w:lang w:eastAsia="ja-JP"/>
        </w:rPr>
      </w:pPr>
      <w:r w:rsidRPr="007A1B5C">
        <w:rPr>
          <w:rFonts w:cs="Arial"/>
          <w:b w:val="0"/>
          <w:noProof/>
          <w:lang w:val="en-GB"/>
        </w:rPr>
        <w:t>Analysis results</w:t>
      </w:r>
      <w:r w:rsidRPr="007A1B5C">
        <w:rPr>
          <w:b w:val="0"/>
          <w:noProof/>
        </w:rPr>
        <w:tab/>
      </w:r>
      <w:r w:rsidRPr="007A1B5C">
        <w:rPr>
          <w:b w:val="0"/>
          <w:noProof/>
        </w:rPr>
        <w:fldChar w:fldCharType="begin"/>
      </w:r>
      <w:r w:rsidRPr="007A1B5C">
        <w:rPr>
          <w:b w:val="0"/>
          <w:noProof/>
        </w:rPr>
        <w:instrText xml:space="preserve"> PAGEREF _Toc305764307 \h </w:instrText>
      </w:r>
      <w:r w:rsidRPr="007A1B5C">
        <w:rPr>
          <w:b w:val="0"/>
          <w:noProof/>
        </w:rPr>
      </w:r>
      <w:r w:rsidRPr="007A1B5C">
        <w:rPr>
          <w:b w:val="0"/>
          <w:noProof/>
        </w:rPr>
        <w:fldChar w:fldCharType="separate"/>
      </w:r>
      <w:r w:rsidRPr="007A1B5C">
        <w:rPr>
          <w:b w:val="0"/>
          <w:noProof/>
        </w:rPr>
        <w:t>18</w:t>
      </w:r>
      <w:r w:rsidRPr="007A1B5C">
        <w:rPr>
          <w:b w:val="0"/>
          <w:noProof/>
        </w:rPr>
        <w:fldChar w:fldCharType="end"/>
      </w:r>
    </w:p>
    <w:p w14:paraId="1ACD114F" w14:textId="77777777" w:rsidR="00FA763A" w:rsidRPr="007A1B5C" w:rsidRDefault="00FA763A">
      <w:pPr>
        <w:pStyle w:val="TOC3"/>
        <w:tabs>
          <w:tab w:val="right" w:leader="dot" w:pos="8636"/>
        </w:tabs>
        <w:rPr>
          <w:rFonts w:eastAsiaTheme="minorEastAsia" w:cstheme="minorBidi"/>
          <w:noProof/>
          <w:sz w:val="24"/>
          <w:szCs w:val="24"/>
          <w:lang w:eastAsia="ja-JP"/>
        </w:rPr>
      </w:pPr>
      <w:r w:rsidRPr="007A1B5C">
        <w:rPr>
          <w:rFonts w:cs="Arial"/>
          <w:noProof/>
          <w:lang w:val="en-GB"/>
        </w:rPr>
        <w:t>Health service utilization</w:t>
      </w:r>
      <w:r w:rsidRPr="007A1B5C">
        <w:rPr>
          <w:noProof/>
        </w:rPr>
        <w:tab/>
      </w:r>
      <w:r w:rsidRPr="007A1B5C">
        <w:rPr>
          <w:noProof/>
        </w:rPr>
        <w:fldChar w:fldCharType="begin"/>
      </w:r>
      <w:r w:rsidRPr="007A1B5C">
        <w:rPr>
          <w:noProof/>
        </w:rPr>
        <w:instrText xml:space="preserve"> PAGEREF _Toc305764308 \h </w:instrText>
      </w:r>
      <w:r w:rsidRPr="007A1B5C">
        <w:rPr>
          <w:noProof/>
        </w:rPr>
      </w:r>
      <w:r w:rsidRPr="007A1B5C">
        <w:rPr>
          <w:noProof/>
        </w:rPr>
        <w:fldChar w:fldCharType="separate"/>
      </w:r>
      <w:r w:rsidRPr="007A1B5C">
        <w:rPr>
          <w:noProof/>
        </w:rPr>
        <w:t>18</w:t>
      </w:r>
      <w:r w:rsidRPr="007A1B5C">
        <w:rPr>
          <w:noProof/>
        </w:rPr>
        <w:fldChar w:fldCharType="end"/>
      </w:r>
    </w:p>
    <w:p w14:paraId="481DD658" w14:textId="77777777" w:rsidR="00FA763A" w:rsidRPr="007A1B5C" w:rsidRDefault="00FA763A">
      <w:pPr>
        <w:pStyle w:val="TOC3"/>
        <w:tabs>
          <w:tab w:val="right" w:leader="dot" w:pos="8636"/>
        </w:tabs>
        <w:rPr>
          <w:rFonts w:eastAsiaTheme="minorEastAsia" w:cstheme="minorBidi"/>
          <w:noProof/>
          <w:sz w:val="24"/>
          <w:szCs w:val="24"/>
          <w:lang w:eastAsia="ja-JP"/>
        </w:rPr>
      </w:pPr>
      <w:r w:rsidRPr="007A1B5C">
        <w:rPr>
          <w:noProof/>
          <w:lang w:val="en-GB"/>
        </w:rPr>
        <w:t>Out-of-pocket health expenditure</w:t>
      </w:r>
      <w:r w:rsidRPr="007A1B5C">
        <w:rPr>
          <w:noProof/>
        </w:rPr>
        <w:tab/>
      </w:r>
      <w:r w:rsidRPr="007A1B5C">
        <w:rPr>
          <w:noProof/>
        </w:rPr>
        <w:fldChar w:fldCharType="begin"/>
      </w:r>
      <w:r w:rsidRPr="007A1B5C">
        <w:rPr>
          <w:noProof/>
        </w:rPr>
        <w:instrText xml:space="preserve"> PAGEREF _Toc305764309 \h </w:instrText>
      </w:r>
      <w:r w:rsidRPr="007A1B5C">
        <w:rPr>
          <w:noProof/>
        </w:rPr>
      </w:r>
      <w:r w:rsidRPr="007A1B5C">
        <w:rPr>
          <w:noProof/>
        </w:rPr>
        <w:fldChar w:fldCharType="separate"/>
      </w:r>
      <w:r w:rsidRPr="007A1B5C">
        <w:rPr>
          <w:noProof/>
        </w:rPr>
        <w:t>23</w:t>
      </w:r>
      <w:r w:rsidRPr="007A1B5C">
        <w:rPr>
          <w:noProof/>
        </w:rPr>
        <w:fldChar w:fldCharType="end"/>
      </w:r>
    </w:p>
    <w:p w14:paraId="3BB4D538" w14:textId="77777777" w:rsidR="00FA763A" w:rsidRPr="007A1B5C" w:rsidRDefault="00FA763A">
      <w:pPr>
        <w:pStyle w:val="TOC3"/>
        <w:tabs>
          <w:tab w:val="right" w:leader="dot" w:pos="8636"/>
        </w:tabs>
        <w:rPr>
          <w:rFonts w:eastAsiaTheme="minorEastAsia" w:cstheme="minorBidi"/>
          <w:noProof/>
          <w:sz w:val="24"/>
          <w:szCs w:val="24"/>
          <w:lang w:eastAsia="ja-JP"/>
        </w:rPr>
      </w:pPr>
      <w:r w:rsidRPr="007A1B5C">
        <w:rPr>
          <w:rFonts w:cs="Arial"/>
          <w:noProof/>
          <w:lang w:val="en-GB"/>
        </w:rPr>
        <w:t>Catastrophic health expenditure and poverty impact</w:t>
      </w:r>
      <w:r w:rsidRPr="007A1B5C">
        <w:rPr>
          <w:noProof/>
        </w:rPr>
        <w:tab/>
      </w:r>
      <w:r w:rsidRPr="007A1B5C">
        <w:rPr>
          <w:noProof/>
        </w:rPr>
        <w:fldChar w:fldCharType="begin"/>
      </w:r>
      <w:r w:rsidRPr="007A1B5C">
        <w:rPr>
          <w:noProof/>
        </w:rPr>
        <w:instrText xml:space="preserve"> PAGEREF _Toc305764310 \h </w:instrText>
      </w:r>
      <w:r w:rsidRPr="007A1B5C">
        <w:rPr>
          <w:noProof/>
        </w:rPr>
      </w:r>
      <w:r w:rsidRPr="007A1B5C">
        <w:rPr>
          <w:noProof/>
        </w:rPr>
        <w:fldChar w:fldCharType="separate"/>
      </w:r>
      <w:r w:rsidRPr="007A1B5C">
        <w:rPr>
          <w:noProof/>
        </w:rPr>
        <w:t>27</w:t>
      </w:r>
      <w:r w:rsidRPr="007A1B5C">
        <w:rPr>
          <w:noProof/>
        </w:rPr>
        <w:fldChar w:fldCharType="end"/>
      </w:r>
    </w:p>
    <w:p w14:paraId="2364AAB9" w14:textId="77777777" w:rsidR="00FA763A" w:rsidRPr="007A1B5C" w:rsidRDefault="00FA763A">
      <w:pPr>
        <w:pStyle w:val="TOC3"/>
        <w:tabs>
          <w:tab w:val="right" w:leader="dot" w:pos="8636"/>
        </w:tabs>
        <w:rPr>
          <w:rFonts w:eastAsiaTheme="minorEastAsia" w:cstheme="minorBidi"/>
          <w:noProof/>
          <w:sz w:val="24"/>
          <w:szCs w:val="24"/>
          <w:lang w:eastAsia="ja-JP"/>
        </w:rPr>
      </w:pPr>
      <w:r w:rsidRPr="007A1B5C">
        <w:rPr>
          <w:rFonts w:cs="Arial"/>
          <w:noProof/>
          <w:lang w:val="en-GB"/>
        </w:rPr>
        <w:t>Benefit incidence of government spending on health</w:t>
      </w:r>
      <w:r w:rsidRPr="007A1B5C">
        <w:rPr>
          <w:noProof/>
        </w:rPr>
        <w:tab/>
      </w:r>
      <w:r w:rsidRPr="007A1B5C">
        <w:rPr>
          <w:noProof/>
        </w:rPr>
        <w:fldChar w:fldCharType="begin"/>
      </w:r>
      <w:r w:rsidRPr="007A1B5C">
        <w:rPr>
          <w:noProof/>
        </w:rPr>
        <w:instrText xml:space="preserve"> PAGEREF _Toc305764311 \h </w:instrText>
      </w:r>
      <w:r w:rsidRPr="007A1B5C">
        <w:rPr>
          <w:noProof/>
        </w:rPr>
      </w:r>
      <w:r w:rsidRPr="007A1B5C">
        <w:rPr>
          <w:noProof/>
        </w:rPr>
        <w:fldChar w:fldCharType="separate"/>
      </w:r>
      <w:r w:rsidRPr="007A1B5C">
        <w:rPr>
          <w:noProof/>
        </w:rPr>
        <w:t>32</w:t>
      </w:r>
      <w:r w:rsidRPr="007A1B5C">
        <w:rPr>
          <w:noProof/>
        </w:rPr>
        <w:fldChar w:fldCharType="end"/>
      </w:r>
    </w:p>
    <w:p w14:paraId="67F64BD4" w14:textId="77777777" w:rsidR="00FA763A" w:rsidRPr="007A1B5C" w:rsidRDefault="00FA763A">
      <w:pPr>
        <w:pStyle w:val="TOC2"/>
        <w:rPr>
          <w:rFonts w:eastAsiaTheme="minorEastAsia" w:cstheme="minorBidi"/>
          <w:b w:val="0"/>
          <w:noProof/>
          <w:sz w:val="24"/>
          <w:szCs w:val="24"/>
          <w:lang w:eastAsia="ja-JP"/>
        </w:rPr>
      </w:pPr>
      <w:r w:rsidRPr="007A1B5C">
        <w:rPr>
          <w:b w:val="0"/>
          <w:noProof/>
        </w:rPr>
        <w:t>Discussion</w:t>
      </w:r>
      <w:r w:rsidRPr="007A1B5C">
        <w:rPr>
          <w:b w:val="0"/>
          <w:noProof/>
        </w:rPr>
        <w:tab/>
      </w:r>
      <w:r w:rsidRPr="007A1B5C">
        <w:rPr>
          <w:b w:val="0"/>
          <w:noProof/>
        </w:rPr>
        <w:fldChar w:fldCharType="begin"/>
      </w:r>
      <w:r w:rsidRPr="007A1B5C">
        <w:rPr>
          <w:b w:val="0"/>
          <w:noProof/>
        </w:rPr>
        <w:instrText xml:space="preserve"> PAGEREF _Toc305764312 \h </w:instrText>
      </w:r>
      <w:r w:rsidRPr="007A1B5C">
        <w:rPr>
          <w:b w:val="0"/>
          <w:noProof/>
        </w:rPr>
      </w:r>
      <w:r w:rsidRPr="007A1B5C">
        <w:rPr>
          <w:b w:val="0"/>
          <w:noProof/>
        </w:rPr>
        <w:fldChar w:fldCharType="separate"/>
      </w:r>
      <w:r w:rsidRPr="007A1B5C">
        <w:rPr>
          <w:b w:val="0"/>
          <w:noProof/>
        </w:rPr>
        <w:t>39</w:t>
      </w:r>
      <w:r w:rsidRPr="007A1B5C">
        <w:rPr>
          <w:b w:val="0"/>
          <w:noProof/>
        </w:rPr>
        <w:fldChar w:fldCharType="end"/>
      </w:r>
    </w:p>
    <w:p w14:paraId="6EC7EEF0" w14:textId="77777777" w:rsidR="00FA763A" w:rsidRPr="007A1B5C" w:rsidRDefault="00FA763A">
      <w:pPr>
        <w:pStyle w:val="TOC2"/>
        <w:rPr>
          <w:rFonts w:eastAsiaTheme="minorEastAsia" w:cstheme="minorBidi"/>
          <w:b w:val="0"/>
          <w:noProof/>
          <w:sz w:val="24"/>
          <w:szCs w:val="24"/>
          <w:lang w:eastAsia="ja-JP"/>
        </w:rPr>
      </w:pPr>
      <w:r w:rsidRPr="007A1B5C">
        <w:rPr>
          <w:b w:val="0"/>
          <w:noProof/>
        </w:rPr>
        <w:t>Policy recommendations</w:t>
      </w:r>
      <w:r w:rsidRPr="007A1B5C">
        <w:rPr>
          <w:b w:val="0"/>
          <w:noProof/>
        </w:rPr>
        <w:tab/>
      </w:r>
      <w:r w:rsidRPr="007A1B5C">
        <w:rPr>
          <w:b w:val="0"/>
          <w:noProof/>
        </w:rPr>
        <w:fldChar w:fldCharType="begin"/>
      </w:r>
      <w:r w:rsidRPr="007A1B5C">
        <w:rPr>
          <w:b w:val="0"/>
          <w:noProof/>
        </w:rPr>
        <w:instrText xml:space="preserve"> PAGEREF _Toc305764313 \h </w:instrText>
      </w:r>
      <w:r w:rsidRPr="007A1B5C">
        <w:rPr>
          <w:b w:val="0"/>
          <w:noProof/>
        </w:rPr>
      </w:r>
      <w:r w:rsidRPr="007A1B5C">
        <w:rPr>
          <w:b w:val="0"/>
          <w:noProof/>
        </w:rPr>
        <w:fldChar w:fldCharType="separate"/>
      </w:r>
      <w:r w:rsidRPr="007A1B5C">
        <w:rPr>
          <w:b w:val="0"/>
          <w:noProof/>
        </w:rPr>
        <w:t>41</w:t>
      </w:r>
      <w:r w:rsidRPr="007A1B5C">
        <w:rPr>
          <w:b w:val="0"/>
          <w:noProof/>
        </w:rPr>
        <w:fldChar w:fldCharType="end"/>
      </w:r>
    </w:p>
    <w:p w14:paraId="07264EBF" w14:textId="77777777" w:rsidR="00FA763A" w:rsidRPr="007A1B5C" w:rsidRDefault="00FA763A">
      <w:pPr>
        <w:pStyle w:val="TOC3"/>
        <w:tabs>
          <w:tab w:val="right" w:leader="dot" w:pos="8636"/>
        </w:tabs>
        <w:rPr>
          <w:rFonts w:eastAsiaTheme="minorEastAsia" w:cstheme="minorBidi"/>
          <w:noProof/>
          <w:sz w:val="24"/>
          <w:szCs w:val="24"/>
          <w:lang w:eastAsia="ja-JP"/>
        </w:rPr>
      </w:pPr>
      <w:r w:rsidRPr="007A1B5C">
        <w:rPr>
          <w:noProof/>
        </w:rPr>
        <w:t>At national policy making level</w:t>
      </w:r>
      <w:r w:rsidRPr="007A1B5C">
        <w:rPr>
          <w:noProof/>
        </w:rPr>
        <w:tab/>
      </w:r>
      <w:r w:rsidRPr="007A1B5C">
        <w:rPr>
          <w:noProof/>
        </w:rPr>
        <w:fldChar w:fldCharType="begin"/>
      </w:r>
      <w:r w:rsidRPr="007A1B5C">
        <w:rPr>
          <w:noProof/>
        </w:rPr>
        <w:instrText xml:space="preserve"> PAGEREF _Toc305764314 \h </w:instrText>
      </w:r>
      <w:r w:rsidRPr="007A1B5C">
        <w:rPr>
          <w:noProof/>
        </w:rPr>
      </w:r>
      <w:r w:rsidRPr="007A1B5C">
        <w:rPr>
          <w:noProof/>
        </w:rPr>
        <w:fldChar w:fldCharType="separate"/>
      </w:r>
      <w:r w:rsidRPr="007A1B5C">
        <w:rPr>
          <w:noProof/>
        </w:rPr>
        <w:t>41</w:t>
      </w:r>
      <w:r w:rsidRPr="007A1B5C">
        <w:rPr>
          <w:noProof/>
        </w:rPr>
        <w:fldChar w:fldCharType="end"/>
      </w:r>
    </w:p>
    <w:p w14:paraId="63A7BC0B" w14:textId="77777777" w:rsidR="00FA763A" w:rsidRPr="007A1B5C" w:rsidRDefault="00FA763A">
      <w:pPr>
        <w:pStyle w:val="TOC3"/>
        <w:tabs>
          <w:tab w:val="right" w:leader="dot" w:pos="8636"/>
        </w:tabs>
        <w:rPr>
          <w:rFonts w:eastAsiaTheme="minorEastAsia" w:cstheme="minorBidi"/>
          <w:noProof/>
          <w:sz w:val="24"/>
          <w:szCs w:val="24"/>
          <w:lang w:eastAsia="ja-JP"/>
        </w:rPr>
      </w:pPr>
      <w:r w:rsidRPr="007A1B5C">
        <w:rPr>
          <w:noProof/>
        </w:rPr>
        <w:t>At purchaser level</w:t>
      </w:r>
      <w:r w:rsidRPr="007A1B5C">
        <w:rPr>
          <w:noProof/>
        </w:rPr>
        <w:tab/>
      </w:r>
      <w:r w:rsidRPr="007A1B5C">
        <w:rPr>
          <w:noProof/>
        </w:rPr>
        <w:fldChar w:fldCharType="begin"/>
      </w:r>
      <w:r w:rsidRPr="007A1B5C">
        <w:rPr>
          <w:noProof/>
        </w:rPr>
        <w:instrText xml:space="preserve"> PAGEREF _Toc305764315 \h </w:instrText>
      </w:r>
      <w:r w:rsidRPr="007A1B5C">
        <w:rPr>
          <w:noProof/>
        </w:rPr>
      </w:r>
      <w:r w:rsidRPr="007A1B5C">
        <w:rPr>
          <w:noProof/>
        </w:rPr>
        <w:fldChar w:fldCharType="separate"/>
      </w:r>
      <w:r w:rsidRPr="007A1B5C">
        <w:rPr>
          <w:noProof/>
        </w:rPr>
        <w:t>44</w:t>
      </w:r>
      <w:r w:rsidRPr="007A1B5C">
        <w:rPr>
          <w:noProof/>
        </w:rPr>
        <w:fldChar w:fldCharType="end"/>
      </w:r>
    </w:p>
    <w:p w14:paraId="34E5D6DA" w14:textId="77777777" w:rsidR="00FA763A" w:rsidRPr="007A1B5C" w:rsidRDefault="00FA763A">
      <w:pPr>
        <w:pStyle w:val="TOC2"/>
        <w:rPr>
          <w:rFonts w:eastAsiaTheme="minorEastAsia" w:cstheme="minorBidi"/>
          <w:b w:val="0"/>
          <w:noProof/>
          <w:sz w:val="24"/>
          <w:szCs w:val="24"/>
          <w:lang w:eastAsia="ja-JP"/>
        </w:rPr>
      </w:pPr>
      <w:r w:rsidRPr="007A1B5C">
        <w:rPr>
          <w:b w:val="0"/>
          <w:noProof/>
        </w:rPr>
        <w:t>Reference</w:t>
      </w:r>
      <w:r w:rsidRPr="007A1B5C">
        <w:rPr>
          <w:noProof/>
        </w:rPr>
        <w:tab/>
      </w:r>
      <w:r w:rsidRPr="007A1B5C">
        <w:rPr>
          <w:noProof/>
        </w:rPr>
        <w:fldChar w:fldCharType="begin"/>
      </w:r>
      <w:r w:rsidRPr="007A1B5C">
        <w:rPr>
          <w:noProof/>
        </w:rPr>
        <w:instrText xml:space="preserve"> PAGEREF _Toc305764316 \h </w:instrText>
      </w:r>
      <w:r w:rsidRPr="007A1B5C">
        <w:rPr>
          <w:noProof/>
        </w:rPr>
      </w:r>
      <w:r w:rsidRPr="007A1B5C">
        <w:rPr>
          <w:noProof/>
        </w:rPr>
        <w:fldChar w:fldCharType="separate"/>
      </w:r>
      <w:r w:rsidRPr="007A1B5C">
        <w:rPr>
          <w:noProof/>
        </w:rPr>
        <w:t>47</w:t>
      </w:r>
      <w:r w:rsidRPr="007A1B5C">
        <w:rPr>
          <w:noProof/>
        </w:rPr>
        <w:fldChar w:fldCharType="end"/>
      </w:r>
    </w:p>
    <w:p w14:paraId="04CA5477" w14:textId="77777777" w:rsidR="006B3D01" w:rsidRPr="007A1B5C" w:rsidRDefault="00CB191B">
      <w:pPr>
        <w:rPr>
          <w:rFonts w:asciiTheme="minorHAnsi" w:hAnsiTheme="minorHAnsi"/>
        </w:rPr>
      </w:pPr>
      <w:r w:rsidRPr="007A1B5C">
        <w:rPr>
          <w:rFonts w:asciiTheme="minorHAnsi" w:hAnsiTheme="minorHAnsi" w:cs="Arial"/>
        </w:rPr>
        <w:fldChar w:fldCharType="end"/>
      </w:r>
    </w:p>
    <w:p w14:paraId="61171B8A" w14:textId="77777777" w:rsidR="00580844" w:rsidRPr="007A1B5C" w:rsidRDefault="00580844">
      <w:pPr>
        <w:rPr>
          <w:rFonts w:asciiTheme="minorHAnsi" w:hAnsiTheme="minorHAnsi"/>
          <w:sz w:val="22"/>
          <w:szCs w:val="22"/>
        </w:rPr>
      </w:pPr>
    </w:p>
    <w:p w14:paraId="418668C7"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5C6E6FDC"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13C63566"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35FB41CD"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031834B6"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52AAD86C"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7F3D8AD0"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77034DC3"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54CB29F3"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11152FB7"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74D42A30"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0A6361CF"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21AC0B1B"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6032DA88"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19F67770"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1F50C9F9"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79611777"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1CCE3169"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2D4A4251"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14DEE79C"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4667F867"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1DB1721E" w14:textId="77777777" w:rsidR="00E127ED" w:rsidRPr="007A1B5C" w:rsidRDefault="00E127ED">
      <w:pPr>
        <w:pStyle w:val="TableofFigures"/>
        <w:tabs>
          <w:tab w:val="right" w:leader="dot" w:pos="8636"/>
        </w:tabs>
        <w:rPr>
          <w:rFonts w:asciiTheme="minorHAnsi" w:hAnsiTheme="minorHAnsi" w:cs="Arial"/>
          <w:sz w:val="22"/>
          <w:szCs w:val="22"/>
          <w:lang w:val="en-GB"/>
        </w:rPr>
      </w:pPr>
    </w:p>
    <w:p w14:paraId="02ADDECA" w14:textId="77777777" w:rsidR="00C475E8" w:rsidRPr="007A1B5C" w:rsidRDefault="00C475E8">
      <w:pPr>
        <w:rPr>
          <w:rFonts w:asciiTheme="minorHAnsi" w:hAnsiTheme="minorHAnsi" w:cs="Arial"/>
          <w:sz w:val="22"/>
          <w:szCs w:val="22"/>
          <w:lang w:val="en-GB"/>
        </w:rPr>
      </w:pPr>
      <w:r w:rsidRPr="007A1B5C">
        <w:rPr>
          <w:rFonts w:asciiTheme="minorHAnsi" w:hAnsiTheme="minorHAnsi" w:cs="Arial"/>
          <w:sz w:val="22"/>
          <w:szCs w:val="22"/>
          <w:lang w:val="en-GB"/>
        </w:rPr>
        <w:br w:type="page"/>
      </w:r>
    </w:p>
    <w:p w14:paraId="0A308CB8" w14:textId="77777777" w:rsidR="007A1B5C" w:rsidRPr="007A1B5C" w:rsidRDefault="00CB191B">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sz w:val="22"/>
          <w:szCs w:val="22"/>
          <w:lang w:val="en-GB"/>
        </w:rPr>
        <w:lastRenderedPageBreak/>
        <w:fldChar w:fldCharType="begin"/>
      </w:r>
      <w:r w:rsidR="006811DE" w:rsidRPr="007A1B5C">
        <w:rPr>
          <w:rFonts w:asciiTheme="minorHAnsi" w:hAnsiTheme="minorHAnsi" w:cs="Arial"/>
          <w:sz w:val="22"/>
          <w:szCs w:val="22"/>
          <w:lang w:val="en-GB"/>
        </w:rPr>
        <w:instrText xml:space="preserve"> TOC \h \z \c "Table" </w:instrText>
      </w:r>
      <w:r w:rsidRPr="007A1B5C">
        <w:rPr>
          <w:rFonts w:asciiTheme="minorHAnsi" w:hAnsiTheme="minorHAnsi" w:cs="Arial"/>
          <w:sz w:val="22"/>
          <w:szCs w:val="22"/>
          <w:lang w:val="en-GB"/>
        </w:rPr>
        <w:fldChar w:fldCharType="separate"/>
      </w:r>
      <w:r w:rsidR="007A1B5C" w:rsidRPr="007A1B5C">
        <w:rPr>
          <w:rFonts w:asciiTheme="minorHAnsi" w:hAnsiTheme="minorHAnsi" w:cs="Arial"/>
          <w:noProof/>
        </w:rPr>
        <w:t>Table 1: Sources of revenue as percentage of total expenditure on health, 2000-2012</w:t>
      </w:r>
      <w:r w:rsidR="007A1B5C" w:rsidRPr="007A1B5C">
        <w:rPr>
          <w:rFonts w:asciiTheme="minorHAnsi" w:hAnsiTheme="minorHAnsi"/>
          <w:noProof/>
        </w:rPr>
        <w:tab/>
      </w:r>
      <w:r w:rsidR="007A1B5C" w:rsidRPr="007A1B5C">
        <w:rPr>
          <w:rFonts w:asciiTheme="minorHAnsi" w:hAnsiTheme="minorHAnsi"/>
          <w:noProof/>
        </w:rPr>
        <w:fldChar w:fldCharType="begin"/>
      </w:r>
      <w:r w:rsidR="007A1B5C" w:rsidRPr="007A1B5C">
        <w:rPr>
          <w:rFonts w:asciiTheme="minorHAnsi" w:hAnsiTheme="minorHAnsi"/>
          <w:noProof/>
        </w:rPr>
        <w:instrText xml:space="preserve"> PAGEREF _Toc310170084 \h </w:instrText>
      </w:r>
      <w:r w:rsidR="007A1B5C" w:rsidRPr="007A1B5C">
        <w:rPr>
          <w:rFonts w:asciiTheme="minorHAnsi" w:hAnsiTheme="minorHAnsi"/>
          <w:noProof/>
        </w:rPr>
      </w:r>
      <w:r w:rsidR="007A1B5C" w:rsidRPr="007A1B5C">
        <w:rPr>
          <w:rFonts w:asciiTheme="minorHAnsi" w:hAnsiTheme="minorHAnsi"/>
          <w:noProof/>
        </w:rPr>
        <w:fldChar w:fldCharType="separate"/>
      </w:r>
      <w:r w:rsidR="007A1B5C" w:rsidRPr="007A1B5C">
        <w:rPr>
          <w:rFonts w:asciiTheme="minorHAnsi" w:hAnsiTheme="minorHAnsi"/>
          <w:noProof/>
        </w:rPr>
        <w:t>9</w:t>
      </w:r>
      <w:r w:rsidR="007A1B5C" w:rsidRPr="007A1B5C">
        <w:rPr>
          <w:rFonts w:asciiTheme="minorHAnsi" w:hAnsiTheme="minorHAnsi"/>
          <w:noProof/>
        </w:rPr>
        <w:fldChar w:fldCharType="end"/>
      </w:r>
    </w:p>
    <w:p w14:paraId="03932B77"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Table 2: Recall periods of key variables</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_Toc310170085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13</w:t>
      </w:r>
      <w:r w:rsidRPr="007A1B5C">
        <w:rPr>
          <w:rFonts w:asciiTheme="minorHAnsi" w:hAnsiTheme="minorHAnsi"/>
          <w:noProof/>
        </w:rPr>
        <w:fldChar w:fldCharType="end"/>
      </w:r>
    </w:p>
    <w:p w14:paraId="3FF725AF"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Table 3: Variables used for constructing health payments</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_Toc310170086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16</w:t>
      </w:r>
      <w:r w:rsidRPr="007A1B5C">
        <w:rPr>
          <w:rFonts w:asciiTheme="minorHAnsi" w:hAnsiTheme="minorHAnsi"/>
          <w:noProof/>
        </w:rPr>
        <w:fldChar w:fldCharType="end"/>
      </w:r>
    </w:p>
    <w:p w14:paraId="076D7FEC"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Table 4: Variables used for constructing health services utilization</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_Toc310170087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17</w:t>
      </w:r>
      <w:r w:rsidRPr="007A1B5C">
        <w:rPr>
          <w:rFonts w:asciiTheme="minorHAnsi" w:hAnsiTheme="minorHAnsi"/>
          <w:noProof/>
        </w:rPr>
        <w:fldChar w:fldCharType="end"/>
      </w:r>
    </w:p>
    <w:p w14:paraId="0ED12FF1"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Table 5: Variables used for benefit incidence analysis</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_Toc310170088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18</w:t>
      </w:r>
      <w:r w:rsidRPr="007A1B5C">
        <w:rPr>
          <w:rFonts w:asciiTheme="minorHAnsi" w:hAnsiTheme="minorHAnsi"/>
          <w:noProof/>
        </w:rPr>
        <w:fldChar w:fldCharType="end"/>
      </w:r>
    </w:p>
    <w:p w14:paraId="0A28F4AA"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Table 6: Percentage distribution of outpatient service utilization by geographic regions, 2010-2012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_Toc310170089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20</w:t>
      </w:r>
      <w:r w:rsidRPr="007A1B5C">
        <w:rPr>
          <w:rFonts w:asciiTheme="minorHAnsi" w:hAnsiTheme="minorHAnsi"/>
          <w:noProof/>
        </w:rPr>
        <w:fldChar w:fldCharType="end"/>
      </w:r>
    </w:p>
    <w:p w14:paraId="603ED581"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Table 7: Percentage distribution of inpatient service utilization by geographic regions, 2010-2012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_Toc310170090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21</w:t>
      </w:r>
      <w:r w:rsidRPr="007A1B5C">
        <w:rPr>
          <w:rFonts w:asciiTheme="minorHAnsi" w:hAnsiTheme="minorHAnsi"/>
          <w:noProof/>
        </w:rPr>
        <w:fldChar w:fldCharType="end"/>
      </w:r>
    </w:p>
    <w:p w14:paraId="65919518"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iCs/>
          <w:noProof/>
        </w:rPr>
        <w:t>Table 8: Outpatient health services utilization and health seeking behavior by expenditure quintile, 2010-2012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_Toc310170091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22</w:t>
      </w:r>
      <w:r w:rsidRPr="007A1B5C">
        <w:rPr>
          <w:rFonts w:asciiTheme="minorHAnsi" w:hAnsiTheme="minorHAnsi"/>
          <w:noProof/>
        </w:rPr>
        <w:fldChar w:fldCharType="end"/>
      </w:r>
    </w:p>
    <w:p w14:paraId="1D11B4C1"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iCs/>
          <w:noProof/>
        </w:rPr>
        <w:t>Table 9: Outpatient health services utilization and health seeking behavior by geographic regions, 2010-2012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_Toc310170092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22</w:t>
      </w:r>
      <w:r w:rsidRPr="007A1B5C">
        <w:rPr>
          <w:rFonts w:asciiTheme="minorHAnsi" w:hAnsiTheme="minorHAnsi"/>
          <w:noProof/>
        </w:rPr>
        <w:fldChar w:fldCharType="end"/>
      </w:r>
    </w:p>
    <w:p w14:paraId="4B500D54"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iCs/>
          <w:noProof/>
        </w:rPr>
        <w:t>Table 10: Health seeking behavior and self-prescription of medicine</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_Toc310170093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22</w:t>
      </w:r>
      <w:r w:rsidRPr="007A1B5C">
        <w:rPr>
          <w:rFonts w:asciiTheme="minorHAnsi" w:hAnsiTheme="minorHAnsi"/>
          <w:noProof/>
        </w:rPr>
        <w:fldChar w:fldCharType="end"/>
      </w:r>
    </w:p>
    <w:p w14:paraId="591C38B7"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Table 11:</w:t>
      </w:r>
      <w:r w:rsidRPr="007A1B5C">
        <w:rPr>
          <w:rFonts w:asciiTheme="minorHAnsi" w:hAnsiTheme="minorHAnsi" w:cs="Arial"/>
          <w:iCs/>
          <w:noProof/>
        </w:rPr>
        <w:t xml:space="preserve"> Distribution of household out of pocket health payments </w:t>
      </w:r>
      <w:r w:rsidRPr="007A1B5C">
        <w:rPr>
          <w:rFonts w:asciiTheme="minorHAnsi" w:hAnsiTheme="minorHAnsi" w:cs="Arial"/>
          <w:noProof/>
          <w:lang w:val="en-GB"/>
        </w:rPr>
        <w:t>in absolute terms by quintiles, (2009 base)</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_Toc310170094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24</w:t>
      </w:r>
      <w:r w:rsidRPr="007A1B5C">
        <w:rPr>
          <w:rFonts w:asciiTheme="minorHAnsi" w:hAnsiTheme="minorHAnsi"/>
          <w:noProof/>
        </w:rPr>
        <w:fldChar w:fldCharType="end"/>
      </w:r>
    </w:p>
    <w:p w14:paraId="2AB89F38"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Table 12:</w:t>
      </w:r>
      <w:r w:rsidRPr="007A1B5C">
        <w:rPr>
          <w:rFonts w:asciiTheme="minorHAnsi" w:hAnsiTheme="minorHAnsi" w:cs="Arial"/>
          <w:iCs/>
          <w:noProof/>
        </w:rPr>
        <w:t xml:space="preserve"> Distribution of households out of pocket health payments </w:t>
      </w:r>
      <w:r w:rsidRPr="007A1B5C">
        <w:rPr>
          <w:rFonts w:asciiTheme="minorHAnsi" w:hAnsiTheme="minorHAnsi" w:cs="Arial"/>
          <w:noProof/>
          <w:lang w:val="en-GB"/>
        </w:rPr>
        <w:t>in absolute terms by regions, (2009 as base)</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_Toc310170095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24</w:t>
      </w:r>
      <w:r w:rsidRPr="007A1B5C">
        <w:rPr>
          <w:rFonts w:asciiTheme="minorHAnsi" w:hAnsiTheme="minorHAnsi"/>
          <w:noProof/>
        </w:rPr>
        <w:fldChar w:fldCharType="end"/>
      </w:r>
    </w:p>
    <w:p w14:paraId="07C0FFEA"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iCs/>
          <w:noProof/>
        </w:rPr>
        <w:t>Table 13: Percentage distribution of out of pocket health payments</w:t>
      </w:r>
      <w:r w:rsidRPr="007A1B5C">
        <w:rPr>
          <w:rFonts w:asciiTheme="minorHAnsi" w:hAnsiTheme="minorHAnsi" w:cs="Arial"/>
          <w:noProof/>
          <w:lang w:val="en-GB"/>
        </w:rPr>
        <w:t xml:space="preserve"> as share of total household expenditure and capacity to pay by regions</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_Toc310170096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26</w:t>
      </w:r>
      <w:r w:rsidRPr="007A1B5C">
        <w:rPr>
          <w:rFonts w:asciiTheme="minorHAnsi" w:hAnsiTheme="minorHAnsi"/>
          <w:noProof/>
        </w:rPr>
        <w:fldChar w:fldCharType="end"/>
      </w:r>
    </w:p>
    <w:p w14:paraId="12265BF3"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iCs/>
          <w:noProof/>
        </w:rPr>
        <w:t>Table 14: Structure of out of pocket health payments</w:t>
      </w:r>
      <w:r w:rsidRPr="007A1B5C">
        <w:rPr>
          <w:rFonts w:asciiTheme="minorHAnsi" w:hAnsiTheme="minorHAnsi" w:cs="Arial"/>
          <w:noProof/>
          <w:lang w:val="en-GB"/>
        </w:rPr>
        <w:t xml:space="preserve"> by regions, 2010-2012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_Toc310170097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28</w:t>
      </w:r>
      <w:r w:rsidRPr="007A1B5C">
        <w:rPr>
          <w:rFonts w:asciiTheme="minorHAnsi" w:hAnsiTheme="minorHAnsi"/>
          <w:noProof/>
        </w:rPr>
        <w:fldChar w:fldCharType="end"/>
      </w:r>
    </w:p>
    <w:p w14:paraId="64A225A2"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Table 15:</w:t>
      </w:r>
      <w:r w:rsidRPr="007A1B5C">
        <w:rPr>
          <w:rFonts w:asciiTheme="minorHAnsi" w:hAnsiTheme="minorHAnsi" w:cs="Arial"/>
          <w:iCs/>
          <w:noProof/>
        </w:rPr>
        <w:t xml:space="preserve"> </w:t>
      </w:r>
      <w:r w:rsidRPr="007A1B5C">
        <w:rPr>
          <w:rFonts w:asciiTheme="minorHAnsi" w:hAnsiTheme="minorHAnsi" w:cs="Arial"/>
          <w:noProof/>
          <w:lang w:val="en-GB"/>
        </w:rPr>
        <w:t xml:space="preserve"> Distribution of impoverishment by total out-of-pocket payment</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_Toc310170098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30</w:t>
      </w:r>
      <w:r w:rsidRPr="007A1B5C">
        <w:rPr>
          <w:rFonts w:asciiTheme="minorHAnsi" w:hAnsiTheme="minorHAnsi"/>
          <w:noProof/>
        </w:rPr>
        <w:fldChar w:fldCharType="end"/>
      </w:r>
    </w:p>
    <w:p w14:paraId="3B8AA612"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 xml:space="preserve">Table 16: </w:t>
      </w:r>
      <w:r w:rsidRPr="007A1B5C">
        <w:rPr>
          <w:rFonts w:asciiTheme="minorHAnsi" w:hAnsiTheme="minorHAnsi" w:cs="Arial"/>
          <w:noProof/>
          <w:lang w:val="mn-MN" w:eastAsia="mn-MN"/>
        </w:rPr>
        <w:t>Catastrophic payments by types of health services</w:t>
      </w:r>
      <w:r w:rsidRPr="007A1B5C">
        <w:rPr>
          <w:rFonts w:asciiTheme="minorHAnsi" w:hAnsiTheme="minorHAnsi" w:cs="Arial"/>
          <w:noProof/>
          <w:lang w:eastAsia="mn-MN"/>
        </w:rPr>
        <w:t xml:space="preserve"> and expenditure quintiles, 2010-2012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_Toc310170099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31</w:t>
      </w:r>
      <w:r w:rsidRPr="007A1B5C">
        <w:rPr>
          <w:rFonts w:asciiTheme="minorHAnsi" w:hAnsiTheme="minorHAnsi"/>
          <w:noProof/>
        </w:rPr>
        <w:fldChar w:fldCharType="end"/>
      </w:r>
    </w:p>
    <w:p w14:paraId="5111E1CC"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 xml:space="preserve">Table 17: </w:t>
      </w:r>
      <w:r w:rsidRPr="007A1B5C">
        <w:rPr>
          <w:rFonts w:asciiTheme="minorHAnsi" w:hAnsiTheme="minorHAnsi" w:cs="Arial"/>
          <w:noProof/>
          <w:lang w:val="mn-MN" w:eastAsia="mn-MN"/>
        </w:rPr>
        <w:t>Catastrophic payments by types of health services</w:t>
      </w:r>
      <w:r w:rsidRPr="007A1B5C">
        <w:rPr>
          <w:rFonts w:asciiTheme="minorHAnsi" w:hAnsiTheme="minorHAnsi" w:cs="Arial"/>
          <w:noProof/>
          <w:lang w:eastAsia="mn-MN"/>
        </w:rPr>
        <w:t xml:space="preserve"> and geographic regions, 2010-2012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_Toc310170100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31</w:t>
      </w:r>
      <w:r w:rsidRPr="007A1B5C">
        <w:rPr>
          <w:rFonts w:asciiTheme="minorHAnsi" w:hAnsiTheme="minorHAnsi"/>
          <w:noProof/>
        </w:rPr>
        <w:fldChar w:fldCharType="end"/>
      </w:r>
    </w:p>
    <w:p w14:paraId="3610201C"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 xml:space="preserve">Table 18: </w:t>
      </w:r>
      <w:r w:rsidRPr="007A1B5C">
        <w:rPr>
          <w:rFonts w:asciiTheme="minorHAnsi" w:hAnsiTheme="minorHAnsi" w:cs="Arial"/>
          <w:noProof/>
          <w:lang w:val="en-GB"/>
        </w:rPr>
        <w:t>Estimates of impoverishment by major component of out-of-pocket payments and quintiles</w:t>
      </w:r>
      <w:r w:rsidRPr="007A1B5C">
        <w:rPr>
          <w:rFonts w:asciiTheme="minorHAnsi" w:hAnsiTheme="minorHAnsi" w:cs="Arial"/>
          <w:noProof/>
          <w:lang w:eastAsia="mn-MN"/>
        </w:rPr>
        <w:t>, 2010-2012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_Toc310170101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32</w:t>
      </w:r>
      <w:r w:rsidRPr="007A1B5C">
        <w:rPr>
          <w:rFonts w:asciiTheme="minorHAnsi" w:hAnsiTheme="minorHAnsi"/>
          <w:noProof/>
        </w:rPr>
        <w:fldChar w:fldCharType="end"/>
      </w:r>
    </w:p>
    <w:p w14:paraId="23AC9336"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iCs/>
          <w:noProof/>
        </w:rPr>
        <w:t>Table 19: Determinants of catastrophic health payments</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_Toc310170102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33</w:t>
      </w:r>
      <w:r w:rsidRPr="007A1B5C">
        <w:rPr>
          <w:rFonts w:asciiTheme="minorHAnsi" w:hAnsiTheme="minorHAnsi"/>
          <w:noProof/>
        </w:rPr>
        <w:fldChar w:fldCharType="end"/>
      </w:r>
    </w:p>
    <w:p w14:paraId="2E984B92"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Table 20: Distribution of benefits of government expenditure on health by level of health service delivery, 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_Toc310170103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37</w:t>
      </w:r>
      <w:r w:rsidRPr="007A1B5C">
        <w:rPr>
          <w:rFonts w:asciiTheme="minorHAnsi" w:hAnsiTheme="minorHAnsi"/>
          <w:noProof/>
        </w:rPr>
        <w:fldChar w:fldCharType="end"/>
      </w:r>
    </w:p>
    <w:p w14:paraId="2397E86C"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 xml:space="preserve">Table 21: Mean per capita benefit in health by </w:t>
      </w:r>
      <w:r w:rsidRPr="007A1B5C">
        <w:rPr>
          <w:rFonts w:asciiTheme="minorHAnsi" w:hAnsiTheme="minorHAnsi" w:cs="Arial"/>
          <w:noProof/>
          <w:lang w:val="en-GB"/>
        </w:rPr>
        <w:t>types of health services, 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_Toc310170104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38</w:t>
      </w:r>
      <w:r w:rsidRPr="007A1B5C">
        <w:rPr>
          <w:rFonts w:asciiTheme="minorHAnsi" w:hAnsiTheme="minorHAnsi"/>
          <w:noProof/>
        </w:rPr>
        <w:fldChar w:fldCharType="end"/>
      </w:r>
    </w:p>
    <w:p w14:paraId="15BC3C8C"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iCs/>
          <w:noProof/>
        </w:rPr>
        <w:t xml:space="preserve">Table 22: Mean per capita </w:t>
      </w:r>
      <w:r w:rsidRPr="007A1B5C">
        <w:rPr>
          <w:rFonts w:asciiTheme="minorHAnsi" w:hAnsiTheme="minorHAnsi" w:cs="Arial"/>
          <w:noProof/>
          <w:lang w:val="en-GB"/>
        </w:rPr>
        <w:t>benefit in health by types of health services and expenditure quintile, 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_Toc310170105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39</w:t>
      </w:r>
      <w:r w:rsidRPr="007A1B5C">
        <w:rPr>
          <w:rFonts w:asciiTheme="minorHAnsi" w:hAnsiTheme="minorHAnsi"/>
          <w:noProof/>
        </w:rPr>
        <w:fldChar w:fldCharType="end"/>
      </w:r>
    </w:p>
    <w:p w14:paraId="4D44EDDD" w14:textId="77777777" w:rsidR="006811DE" w:rsidRPr="007A1B5C" w:rsidRDefault="00CB191B" w:rsidP="006811DE">
      <w:pPr>
        <w:jc w:val="both"/>
        <w:rPr>
          <w:rFonts w:asciiTheme="minorHAnsi" w:hAnsiTheme="minorHAnsi" w:cs="Arial"/>
          <w:sz w:val="22"/>
          <w:szCs w:val="22"/>
          <w:lang w:val="en-GB"/>
        </w:rPr>
      </w:pPr>
      <w:r w:rsidRPr="007A1B5C">
        <w:rPr>
          <w:rFonts w:asciiTheme="minorHAnsi" w:hAnsiTheme="minorHAnsi" w:cs="Arial"/>
          <w:sz w:val="22"/>
          <w:szCs w:val="22"/>
          <w:lang w:val="en-GB"/>
        </w:rPr>
        <w:fldChar w:fldCharType="end"/>
      </w:r>
    </w:p>
    <w:p w14:paraId="582FEC3B" w14:textId="77777777" w:rsidR="00E127ED" w:rsidRPr="007A1B5C" w:rsidRDefault="00E127ED" w:rsidP="006811DE">
      <w:pPr>
        <w:jc w:val="both"/>
        <w:rPr>
          <w:rFonts w:asciiTheme="minorHAnsi" w:hAnsiTheme="minorHAnsi" w:cs="Arial"/>
          <w:sz w:val="22"/>
          <w:szCs w:val="22"/>
          <w:lang w:val="en-GB"/>
        </w:rPr>
      </w:pPr>
    </w:p>
    <w:p w14:paraId="34885CA4" w14:textId="77777777" w:rsidR="007A1B5C" w:rsidRPr="007A1B5C" w:rsidRDefault="00CB191B">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sz w:val="22"/>
          <w:szCs w:val="22"/>
          <w:lang w:val="en-GB"/>
        </w:rPr>
        <w:fldChar w:fldCharType="begin"/>
      </w:r>
      <w:r w:rsidR="006811DE" w:rsidRPr="007A1B5C">
        <w:rPr>
          <w:rFonts w:asciiTheme="minorHAnsi" w:hAnsiTheme="minorHAnsi" w:cs="Arial"/>
          <w:sz w:val="22"/>
          <w:szCs w:val="22"/>
          <w:lang w:val="en-GB"/>
        </w:rPr>
        <w:instrText xml:space="preserve"> TOC \h \z \c "Figure" </w:instrText>
      </w:r>
      <w:r w:rsidRPr="007A1B5C">
        <w:rPr>
          <w:rFonts w:asciiTheme="minorHAnsi" w:hAnsiTheme="minorHAnsi" w:cs="Arial"/>
          <w:sz w:val="22"/>
          <w:szCs w:val="22"/>
          <w:lang w:val="en-GB"/>
        </w:rPr>
        <w:fldChar w:fldCharType="separate"/>
      </w:r>
      <w:r w:rsidR="007A1B5C" w:rsidRPr="007A1B5C">
        <w:rPr>
          <w:rFonts w:asciiTheme="minorHAnsi" w:hAnsiTheme="minorHAnsi" w:cs="Arial"/>
          <w:noProof/>
        </w:rPr>
        <w:t>Figure 1: Percentage of outpatient and inpatient service utilization upon reported needs, 2009-2012</w:t>
      </w:r>
      <w:r w:rsidR="007A1B5C" w:rsidRPr="007A1B5C">
        <w:rPr>
          <w:rFonts w:asciiTheme="minorHAnsi" w:hAnsiTheme="minorHAnsi"/>
          <w:noProof/>
        </w:rPr>
        <w:tab/>
      </w:r>
      <w:r w:rsidR="007A1B5C" w:rsidRPr="007A1B5C">
        <w:rPr>
          <w:rFonts w:asciiTheme="minorHAnsi" w:hAnsiTheme="minorHAnsi"/>
          <w:noProof/>
        </w:rPr>
        <w:fldChar w:fldCharType="begin"/>
      </w:r>
      <w:r w:rsidR="007A1B5C" w:rsidRPr="007A1B5C">
        <w:rPr>
          <w:rFonts w:asciiTheme="minorHAnsi" w:hAnsiTheme="minorHAnsi"/>
          <w:noProof/>
        </w:rPr>
        <w:instrText xml:space="preserve"> PAGEREF _Toc310170106 \h </w:instrText>
      </w:r>
      <w:r w:rsidR="007A1B5C" w:rsidRPr="007A1B5C">
        <w:rPr>
          <w:rFonts w:asciiTheme="minorHAnsi" w:hAnsiTheme="minorHAnsi"/>
          <w:noProof/>
        </w:rPr>
      </w:r>
      <w:r w:rsidR="007A1B5C" w:rsidRPr="007A1B5C">
        <w:rPr>
          <w:rFonts w:asciiTheme="minorHAnsi" w:hAnsiTheme="minorHAnsi"/>
          <w:noProof/>
        </w:rPr>
        <w:fldChar w:fldCharType="separate"/>
      </w:r>
      <w:r w:rsidR="007A1B5C" w:rsidRPr="007A1B5C">
        <w:rPr>
          <w:rFonts w:asciiTheme="minorHAnsi" w:hAnsiTheme="minorHAnsi"/>
          <w:noProof/>
        </w:rPr>
        <w:t>18</w:t>
      </w:r>
      <w:r w:rsidR="007A1B5C" w:rsidRPr="007A1B5C">
        <w:rPr>
          <w:rFonts w:asciiTheme="minorHAnsi" w:hAnsiTheme="minorHAnsi"/>
          <w:noProof/>
        </w:rPr>
        <w:fldChar w:fldCharType="end"/>
      </w:r>
    </w:p>
    <w:p w14:paraId="6E56C21D"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2: Percentage distribution of outpatient service utilization by expenditure quintiles, 2010-2012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_Toc310170107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19</w:t>
      </w:r>
      <w:r w:rsidRPr="007A1B5C">
        <w:rPr>
          <w:rFonts w:asciiTheme="minorHAnsi" w:hAnsiTheme="minorHAnsi"/>
          <w:noProof/>
        </w:rPr>
        <w:fldChar w:fldCharType="end"/>
      </w:r>
    </w:p>
    <w:p w14:paraId="1161B7C4"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3: Outpatient care utilization by the lowest and highest expenditure quintiles and by health facilities</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_Toc310170108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20</w:t>
      </w:r>
      <w:r w:rsidRPr="007A1B5C">
        <w:rPr>
          <w:rFonts w:asciiTheme="minorHAnsi" w:hAnsiTheme="minorHAnsi"/>
          <w:noProof/>
        </w:rPr>
        <w:fldChar w:fldCharType="end"/>
      </w:r>
    </w:p>
    <w:p w14:paraId="6CD39CF6"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3: Percentage distribution of inpatient service utilization by expenditure quintile</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_Toc310170109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21</w:t>
      </w:r>
      <w:r w:rsidRPr="007A1B5C">
        <w:rPr>
          <w:rFonts w:asciiTheme="minorHAnsi" w:hAnsiTheme="minorHAnsi"/>
          <w:noProof/>
        </w:rPr>
        <w:fldChar w:fldCharType="end"/>
      </w:r>
    </w:p>
    <w:p w14:paraId="0D398381"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5: Percentage distribution of reasons for not seeking health care</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_Toc310170110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23</w:t>
      </w:r>
      <w:r w:rsidRPr="007A1B5C">
        <w:rPr>
          <w:rFonts w:asciiTheme="minorHAnsi" w:hAnsiTheme="minorHAnsi"/>
          <w:noProof/>
        </w:rPr>
        <w:fldChar w:fldCharType="end"/>
      </w:r>
    </w:p>
    <w:p w14:paraId="7276A255"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lastRenderedPageBreak/>
        <w:t>Figure 6:</w:t>
      </w:r>
      <w:r w:rsidRPr="007A1B5C">
        <w:rPr>
          <w:rFonts w:asciiTheme="minorHAnsi" w:hAnsiTheme="minorHAnsi" w:cs="Arial"/>
          <w:iCs/>
          <w:noProof/>
        </w:rPr>
        <w:t xml:space="preserve"> Percentage distribution of out of pocket health payments</w:t>
      </w:r>
      <w:r w:rsidRPr="007A1B5C">
        <w:rPr>
          <w:rFonts w:asciiTheme="minorHAnsi" w:hAnsiTheme="minorHAnsi" w:cs="Arial"/>
          <w:noProof/>
          <w:lang w:val="en-GB"/>
        </w:rPr>
        <w:t xml:space="preserve"> as share of total household expenditure by quintiles</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_Toc310170111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25</w:t>
      </w:r>
      <w:r w:rsidRPr="007A1B5C">
        <w:rPr>
          <w:rFonts w:asciiTheme="minorHAnsi" w:hAnsiTheme="minorHAnsi"/>
          <w:noProof/>
        </w:rPr>
        <w:fldChar w:fldCharType="end"/>
      </w:r>
    </w:p>
    <w:p w14:paraId="4C3E991B"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7:</w:t>
      </w:r>
      <w:r w:rsidRPr="007A1B5C">
        <w:rPr>
          <w:rFonts w:asciiTheme="minorHAnsi" w:hAnsiTheme="minorHAnsi" w:cs="Arial"/>
          <w:iCs/>
          <w:noProof/>
        </w:rPr>
        <w:t xml:space="preserve"> Percentage distribution of out of pocket health payments</w:t>
      </w:r>
      <w:r w:rsidRPr="007A1B5C">
        <w:rPr>
          <w:rFonts w:asciiTheme="minorHAnsi" w:hAnsiTheme="minorHAnsi" w:cs="Arial"/>
          <w:noProof/>
          <w:lang w:val="en-GB"/>
        </w:rPr>
        <w:t xml:space="preserve"> as share of capacity to pay by quintiles</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_Toc310170112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25</w:t>
      </w:r>
      <w:r w:rsidRPr="007A1B5C">
        <w:rPr>
          <w:rFonts w:asciiTheme="minorHAnsi" w:hAnsiTheme="minorHAnsi"/>
          <w:noProof/>
        </w:rPr>
        <w:fldChar w:fldCharType="end"/>
      </w:r>
    </w:p>
    <w:p w14:paraId="18846EF6"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8:</w:t>
      </w:r>
      <w:r w:rsidRPr="007A1B5C">
        <w:rPr>
          <w:rFonts w:asciiTheme="minorHAnsi" w:hAnsiTheme="minorHAnsi" w:cs="Arial"/>
          <w:iCs/>
          <w:noProof/>
        </w:rPr>
        <w:t xml:space="preserve"> </w:t>
      </w:r>
      <w:r w:rsidRPr="007A1B5C">
        <w:rPr>
          <w:rFonts w:asciiTheme="minorHAnsi" w:hAnsiTheme="minorHAnsi" w:cs="Arial"/>
          <w:noProof/>
          <w:lang w:val="en-GB"/>
        </w:rPr>
        <w:t>Structure of out-of-pocket health payments</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_Toc310170113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26</w:t>
      </w:r>
      <w:r w:rsidRPr="007A1B5C">
        <w:rPr>
          <w:rFonts w:asciiTheme="minorHAnsi" w:hAnsiTheme="minorHAnsi"/>
          <w:noProof/>
        </w:rPr>
        <w:fldChar w:fldCharType="end"/>
      </w:r>
    </w:p>
    <w:p w14:paraId="2BA19827"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9:</w:t>
      </w:r>
      <w:r w:rsidRPr="007A1B5C">
        <w:rPr>
          <w:rFonts w:asciiTheme="minorHAnsi" w:hAnsiTheme="minorHAnsi" w:cs="Arial"/>
          <w:iCs/>
          <w:noProof/>
        </w:rPr>
        <w:t xml:space="preserve"> </w:t>
      </w:r>
      <w:r w:rsidRPr="007A1B5C">
        <w:rPr>
          <w:rFonts w:asciiTheme="minorHAnsi" w:hAnsiTheme="minorHAnsi" w:cs="Arial"/>
          <w:noProof/>
          <w:lang w:val="en-GB"/>
        </w:rPr>
        <w:t>Structure of out-of-pocket health payments by expenditure quintile</w:t>
      </w:r>
      <w:r w:rsidRPr="007A1B5C">
        <w:rPr>
          <w:rFonts w:asciiTheme="minorHAnsi" w:hAnsiTheme="minorHAnsi" w:cs="Arial"/>
          <w:noProof/>
        </w:rPr>
        <w:t>, 2010-2012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_Toc310170114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27</w:t>
      </w:r>
      <w:r w:rsidRPr="007A1B5C">
        <w:rPr>
          <w:rFonts w:asciiTheme="minorHAnsi" w:hAnsiTheme="minorHAnsi"/>
          <w:noProof/>
        </w:rPr>
        <w:fldChar w:fldCharType="end"/>
      </w:r>
    </w:p>
    <w:p w14:paraId="7156E043"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10:</w:t>
      </w:r>
      <w:r w:rsidRPr="007A1B5C">
        <w:rPr>
          <w:rFonts w:asciiTheme="minorHAnsi" w:hAnsiTheme="minorHAnsi" w:cs="Arial"/>
          <w:iCs/>
          <w:noProof/>
        </w:rPr>
        <w:t xml:space="preserve"> </w:t>
      </w:r>
      <w:r w:rsidRPr="007A1B5C">
        <w:rPr>
          <w:rFonts w:asciiTheme="minorHAnsi" w:hAnsiTheme="minorHAnsi" w:cs="Arial"/>
          <w:noProof/>
          <w:color w:val="000000"/>
        </w:rPr>
        <w:t>Distribution of households by catastrophic health payments</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_Toc310170115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29</w:t>
      </w:r>
      <w:r w:rsidRPr="007A1B5C">
        <w:rPr>
          <w:rFonts w:asciiTheme="minorHAnsi" w:hAnsiTheme="minorHAnsi"/>
          <w:noProof/>
        </w:rPr>
        <w:fldChar w:fldCharType="end"/>
      </w:r>
    </w:p>
    <w:p w14:paraId="2CE67136"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11:</w:t>
      </w:r>
      <w:r w:rsidRPr="007A1B5C">
        <w:rPr>
          <w:rFonts w:asciiTheme="minorHAnsi" w:hAnsiTheme="minorHAnsi" w:cs="Arial"/>
          <w:iCs/>
          <w:noProof/>
        </w:rPr>
        <w:t xml:space="preserve"> Geographic </w:t>
      </w:r>
      <w:r w:rsidRPr="007A1B5C">
        <w:rPr>
          <w:rFonts w:asciiTheme="minorHAnsi" w:hAnsiTheme="minorHAnsi" w:cs="Arial"/>
          <w:noProof/>
          <w:color w:val="000000"/>
        </w:rPr>
        <w:t>distribution of households by catastrophic health payments</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_Toc310170116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29</w:t>
      </w:r>
      <w:r w:rsidRPr="007A1B5C">
        <w:rPr>
          <w:rFonts w:asciiTheme="minorHAnsi" w:hAnsiTheme="minorHAnsi"/>
          <w:noProof/>
        </w:rPr>
        <w:fldChar w:fldCharType="end"/>
      </w:r>
    </w:p>
    <w:p w14:paraId="1F91FCA9"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12:</w:t>
      </w:r>
      <w:r w:rsidRPr="007A1B5C">
        <w:rPr>
          <w:rFonts w:asciiTheme="minorHAnsi" w:hAnsiTheme="minorHAnsi" w:cs="Arial"/>
          <w:iCs/>
          <w:noProof/>
        </w:rPr>
        <w:t xml:space="preserve"> </w:t>
      </w:r>
      <w:r w:rsidRPr="007A1B5C">
        <w:rPr>
          <w:rFonts w:asciiTheme="minorHAnsi" w:hAnsiTheme="minorHAnsi" w:cs="Arial"/>
          <w:noProof/>
          <w:lang w:val="en-GB"/>
        </w:rPr>
        <w:t xml:space="preserve"> Geographic distributions of impoverishment by total out-of-pocket payment</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_Toc310170117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30</w:t>
      </w:r>
      <w:r w:rsidRPr="007A1B5C">
        <w:rPr>
          <w:rFonts w:asciiTheme="minorHAnsi" w:hAnsiTheme="minorHAnsi"/>
          <w:noProof/>
        </w:rPr>
        <w:fldChar w:fldCharType="end"/>
      </w:r>
    </w:p>
    <w:p w14:paraId="3E96A348"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13:</w:t>
      </w:r>
      <w:r w:rsidRPr="007A1B5C">
        <w:rPr>
          <w:rFonts w:asciiTheme="minorHAnsi" w:hAnsiTheme="minorHAnsi" w:cs="Arial"/>
          <w:iCs/>
          <w:noProof/>
        </w:rPr>
        <w:t xml:space="preserve"> </w:t>
      </w:r>
      <w:r w:rsidRPr="007A1B5C">
        <w:rPr>
          <w:rFonts w:asciiTheme="minorHAnsi" w:hAnsiTheme="minorHAnsi" w:cs="Arial"/>
          <w:noProof/>
          <w:lang w:val="en-GB"/>
        </w:rPr>
        <w:t xml:space="preserve"> Estimates of catastrophic expenditure by each component of out-of-pocket payments</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_Toc310170118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31</w:t>
      </w:r>
      <w:r w:rsidRPr="007A1B5C">
        <w:rPr>
          <w:rFonts w:asciiTheme="minorHAnsi" w:hAnsiTheme="minorHAnsi"/>
          <w:noProof/>
        </w:rPr>
        <w:fldChar w:fldCharType="end"/>
      </w:r>
    </w:p>
    <w:p w14:paraId="3402CA5D"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14:</w:t>
      </w:r>
      <w:r w:rsidRPr="007A1B5C">
        <w:rPr>
          <w:rFonts w:asciiTheme="minorHAnsi" w:hAnsiTheme="minorHAnsi" w:cs="Arial"/>
          <w:iCs/>
          <w:noProof/>
        </w:rPr>
        <w:t xml:space="preserve"> </w:t>
      </w:r>
      <w:r w:rsidRPr="007A1B5C">
        <w:rPr>
          <w:rFonts w:asciiTheme="minorHAnsi" w:hAnsiTheme="minorHAnsi" w:cs="Arial"/>
          <w:noProof/>
          <w:lang w:val="en-GB"/>
        </w:rPr>
        <w:t xml:space="preserve"> Estimates of impoverishment by major component of out-of-pocket payments</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_Toc310170119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32</w:t>
      </w:r>
      <w:r w:rsidRPr="007A1B5C">
        <w:rPr>
          <w:rFonts w:asciiTheme="minorHAnsi" w:hAnsiTheme="minorHAnsi"/>
          <w:noProof/>
        </w:rPr>
        <w:fldChar w:fldCharType="end"/>
      </w:r>
    </w:p>
    <w:p w14:paraId="6A1A1704"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15: Percentage share of government subsidies for health by quintiles, 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_Toc310170120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34</w:t>
      </w:r>
      <w:r w:rsidRPr="007A1B5C">
        <w:rPr>
          <w:rFonts w:asciiTheme="minorHAnsi" w:hAnsiTheme="minorHAnsi"/>
          <w:noProof/>
        </w:rPr>
        <w:fldChar w:fldCharType="end"/>
      </w:r>
    </w:p>
    <w:p w14:paraId="05F1EE5E"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16: Percentage share of government subsidy for health by urban and rural population, 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_Toc310170121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35</w:t>
      </w:r>
      <w:r w:rsidRPr="007A1B5C">
        <w:rPr>
          <w:rFonts w:asciiTheme="minorHAnsi" w:hAnsiTheme="minorHAnsi"/>
          <w:noProof/>
        </w:rPr>
        <w:fldChar w:fldCharType="end"/>
      </w:r>
    </w:p>
    <w:p w14:paraId="2D522D91"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17: Percentage share of government benefits by urban and rural population and expenditure quintile, 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_Toc310170122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35</w:t>
      </w:r>
      <w:r w:rsidRPr="007A1B5C">
        <w:rPr>
          <w:rFonts w:asciiTheme="minorHAnsi" w:hAnsiTheme="minorHAnsi"/>
          <w:noProof/>
        </w:rPr>
        <w:fldChar w:fldCharType="end"/>
      </w:r>
    </w:p>
    <w:p w14:paraId="44AAEDF7"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18: Percentage share of government benefits by geographic regions, 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_Toc310170123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36</w:t>
      </w:r>
      <w:r w:rsidRPr="007A1B5C">
        <w:rPr>
          <w:rFonts w:asciiTheme="minorHAnsi" w:hAnsiTheme="minorHAnsi"/>
          <w:noProof/>
        </w:rPr>
        <w:fldChar w:fldCharType="end"/>
      </w:r>
    </w:p>
    <w:p w14:paraId="6C77F1D9"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19: Percentage share of government benefits by gender, 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_Toc310170124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36</w:t>
      </w:r>
      <w:r w:rsidRPr="007A1B5C">
        <w:rPr>
          <w:rFonts w:asciiTheme="minorHAnsi" w:hAnsiTheme="minorHAnsi"/>
          <w:noProof/>
        </w:rPr>
        <w:fldChar w:fldCharType="end"/>
      </w:r>
    </w:p>
    <w:p w14:paraId="5085F8DC"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20: Percentage share of government benefits by gender and expenditure quintile, 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_Toc310170125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37</w:t>
      </w:r>
      <w:r w:rsidRPr="007A1B5C">
        <w:rPr>
          <w:rFonts w:asciiTheme="minorHAnsi" w:hAnsiTheme="minorHAnsi"/>
          <w:noProof/>
        </w:rPr>
        <w:fldChar w:fldCharType="end"/>
      </w:r>
    </w:p>
    <w:p w14:paraId="3EA8E078"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19: Percentage share of government benefits by outpatient and inpatient care and expenditure quintile, 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_Toc310170126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38</w:t>
      </w:r>
      <w:r w:rsidRPr="007A1B5C">
        <w:rPr>
          <w:rFonts w:asciiTheme="minorHAnsi" w:hAnsiTheme="minorHAnsi"/>
          <w:noProof/>
        </w:rPr>
        <w:fldChar w:fldCharType="end"/>
      </w:r>
    </w:p>
    <w:p w14:paraId="6FB83F8C"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22: Lorenz curve of government subsidy on health, 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_Toc310170127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39</w:t>
      </w:r>
      <w:r w:rsidRPr="007A1B5C">
        <w:rPr>
          <w:rFonts w:asciiTheme="minorHAnsi" w:hAnsiTheme="minorHAnsi"/>
          <w:noProof/>
        </w:rPr>
        <w:fldChar w:fldCharType="end"/>
      </w:r>
    </w:p>
    <w:p w14:paraId="0A6AC38A" w14:textId="77777777" w:rsidR="007A1B5C" w:rsidRPr="007A1B5C" w:rsidRDefault="007A1B5C">
      <w:pPr>
        <w:pStyle w:val="TableofFigures"/>
        <w:tabs>
          <w:tab w:val="right" w:leader="dot" w:pos="8636"/>
        </w:tabs>
        <w:rPr>
          <w:rFonts w:asciiTheme="minorHAnsi" w:eastAsiaTheme="minorEastAsia" w:hAnsiTheme="minorHAnsi" w:cstheme="minorBidi"/>
          <w:noProof/>
          <w:lang w:eastAsia="ja-JP"/>
        </w:rPr>
      </w:pPr>
      <w:r w:rsidRPr="007A1B5C">
        <w:rPr>
          <w:rFonts w:asciiTheme="minorHAnsi" w:hAnsiTheme="minorHAnsi" w:cs="Arial"/>
          <w:noProof/>
        </w:rPr>
        <w:t>Figure 23: Percentage distribution of need for health services and government subsidy on health, 2012</w:t>
      </w:r>
      <w:r w:rsidRPr="007A1B5C">
        <w:rPr>
          <w:rFonts w:asciiTheme="minorHAnsi" w:hAnsiTheme="minorHAnsi"/>
          <w:noProof/>
        </w:rPr>
        <w:tab/>
      </w:r>
      <w:r w:rsidRPr="007A1B5C">
        <w:rPr>
          <w:rFonts w:asciiTheme="minorHAnsi" w:hAnsiTheme="minorHAnsi"/>
          <w:noProof/>
        </w:rPr>
        <w:fldChar w:fldCharType="begin"/>
      </w:r>
      <w:r w:rsidRPr="007A1B5C">
        <w:rPr>
          <w:rFonts w:asciiTheme="minorHAnsi" w:hAnsiTheme="minorHAnsi"/>
          <w:noProof/>
        </w:rPr>
        <w:instrText xml:space="preserve"> PAGEREF _Toc310170128 \h </w:instrText>
      </w:r>
      <w:r w:rsidRPr="007A1B5C">
        <w:rPr>
          <w:rFonts w:asciiTheme="minorHAnsi" w:hAnsiTheme="minorHAnsi"/>
          <w:noProof/>
        </w:rPr>
      </w:r>
      <w:r w:rsidRPr="007A1B5C">
        <w:rPr>
          <w:rFonts w:asciiTheme="minorHAnsi" w:hAnsiTheme="minorHAnsi"/>
          <w:noProof/>
        </w:rPr>
        <w:fldChar w:fldCharType="separate"/>
      </w:r>
      <w:r w:rsidRPr="007A1B5C">
        <w:rPr>
          <w:rFonts w:asciiTheme="minorHAnsi" w:hAnsiTheme="minorHAnsi"/>
          <w:noProof/>
        </w:rPr>
        <w:t>40</w:t>
      </w:r>
      <w:r w:rsidRPr="007A1B5C">
        <w:rPr>
          <w:rFonts w:asciiTheme="minorHAnsi" w:hAnsiTheme="minorHAnsi"/>
          <w:noProof/>
        </w:rPr>
        <w:fldChar w:fldCharType="end"/>
      </w:r>
    </w:p>
    <w:p w14:paraId="299A6C91" w14:textId="77777777" w:rsidR="006B3D01" w:rsidRPr="00FA763A" w:rsidRDefault="00CB191B" w:rsidP="006811DE">
      <w:pPr>
        <w:jc w:val="both"/>
        <w:rPr>
          <w:rFonts w:asciiTheme="minorHAnsi" w:eastAsiaTheme="majorEastAsia" w:hAnsiTheme="minorHAnsi" w:cstheme="majorBidi"/>
          <w:b/>
          <w:bCs/>
          <w:color w:val="4F81BD" w:themeColor="accent1"/>
          <w:sz w:val="22"/>
          <w:szCs w:val="22"/>
          <w:lang w:val="en-GB"/>
        </w:rPr>
      </w:pPr>
      <w:r w:rsidRPr="007A1B5C">
        <w:rPr>
          <w:rFonts w:asciiTheme="minorHAnsi" w:hAnsiTheme="minorHAnsi" w:cs="Arial"/>
          <w:sz w:val="22"/>
          <w:szCs w:val="22"/>
          <w:lang w:val="en-GB"/>
        </w:rPr>
        <w:fldChar w:fldCharType="end"/>
      </w:r>
      <w:r w:rsidR="006B3D01" w:rsidRPr="00FA763A">
        <w:rPr>
          <w:rFonts w:asciiTheme="minorHAnsi" w:hAnsiTheme="minorHAnsi"/>
          <w:sz w:val="22"/>
          <w:szCs w:val="22"/>
          <w:lang w:val="en-GB"/>
        </w:rPr>
        <w:br w:type="page"/>
      </w:r>
    </w:p>
    <w:p w14:paraId="2443B578" w14:textId="77777777" w:rsidR="003B034C" w:rsidRPr="0076173A" w:rsidRDefault="003B034C" w:rsidP="00B919C7">
      <w:pPr>
        <w:pStyle w:val="Heading2"/>
        <w:rPr>
          <w:rFonts w:ascii="Tahoma" w:hAnsi="Tahoma" w:cs="Tahoma"/>
          <w:lang w:val="en-GB"/>
        </w:rPr>
      </w:pPr>
      <w:bookmarkStart w:id="0" w:name="_Toc305764296"/>
      <w:r w:rsidRPr="0076173A">
        <w:rPr>
          <w:rFonts w:ascii="Tahoma" w:hAnsi="Tahoma" w:cs="Tahoma"/>
          <w:lang w:val="en-GB"/>
        </w:rPr>
        <w:lastRenderedPageBreak/>
        <w:t>Acronyms</w:t>
      </w:r>
      <w:bookmarkEnd w:id="0"/>
    </w:p>
    <w:p w14:paraId="54957850" w14:textId="77777777" w:rsidR="00D25CB6" w:rsidRDefault="00D25CB6" w:rsidP="00D25CB6"/>
    <w:tbl>
      <w:tblPr>
        <w:tblW w:w="7120" w:type="dxa"/>
        <w:tblInd w:w="93" w:type="dxa"/>
        <w:tblLook w:val="04A0" w:firstRow="1" w:lastRow="0" w:firstColumn="1" w:lastColumn="0" w:noHBand="0" w:noVBand="1"/>
      </w:tblPr>
      <w:tblGrid>
        <w:gridCol w:w="1300"/>
        <w:gridCol w:w="5820"/>
      </w:tblGrid>
      <w:tr w:rsidR="0043458D" w:rsidRPr="00FA763A" w14:paraId="5E46F241" w14:textId="77777777" w:rsidTr="0043458D">
        <w:trPr>
          <w:trHeight w:val="440"/>
        </w:trPr>
        <w:tc>
          <w:tcPr>
            <w:tcW w:w="1300" w:type="dxa"/>
            <w:tcBorders>
              <w:top w:val="nil"/>
              <w:left w:val="nil"/>
              <w:bottom w:val="nil"/>
              <w:right w:val="nil"/>
            </w:tcBorders>
            <w:shd w:val="clear" w:color="auto" w:fill="auto"/>
            <w:noWrap/>
            <w:vAlign w:val="bottom"/>
            <w:hideMark/>
          </w:tcPr>
          <w:p w14:paraId="053565FD"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ADB</w:t>
            </w:r>
          </w:p>
        </w:tc>
        <w:tc>
          <w:tcPr>
            <w:tcW w:w="5820" w:type="dxa"/>
            <w:tcBorders>
              <w:top w:val="nil"/>
              <w:left w:val="nil"/>
              <w:bottom w:val="nil"/>
              <w:right w:val="nil"/>
            </w:tcBorders>
            <w:shd w:val="clear" w:color="auto" w:fill="auto"/>
            <w:noWrap/>
            <w:vAlign w:val="bottom"/>
            <w:hideMark/>
          </w:tcPr>
          <w:p w14:paraId="6C9654FA"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Asian Development Bank</w:t>
            </w:r>
          </w:p>
        </w:tc>
      </w:tr>
      <w:tr w:rsidR="0043458D" w:rsidRPr="00FA763A" w14:paraId="2A4AFEC7" w14:textId="77777777" w:rsidTr="0043458D">
        <w:trPr>
          <w:trHeight w:val="440"/>
        </w:trPr>
        <w:tc>
          <w:tcPr>
            <w:tcW w:w="1300" w:type="dxa"/>
            <w:tcBorders>
              <w:top w:val="nil"/>
              <w:left w:val="nil"/>
              <w:bottom w:val="nil"/>
              <w:right w:val="nil"/>
            </w:tcBorders>
            <w:shd w:val="clear" w:color="auto" w:fill="auto"/>
            <w:noWrap/>
            <w:vAlign w:val="bottom"/>
            <w:hideMark/>
          </w:tcPr>
          <w:p w14:paraId="62C89621"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DRG</w:t>
            </w:r>
            <w:r w:rsidR="00D56BBD" w:rsidRPr="00FA763A">
              <w:rPr>
                <w:rFonts w:asciiTheme="minorHAnsi" w:hAnsiTheme="minorHAnsi" w:cs="Arial"/>
                <w:color w:val="000000"/>
              </w:rPr>
              <w:t>s</w:t>
            </w:r>
          </w:p>
        </w:tc>
        <w:tc>
          <w:tcPr>
            <w:tcW w:w="5820" w:type="dxa"/>
            <w:tcBorders>
              <w:top w:val="nil"/>
              <w:left w:val="nil"/>
              <w:bottom w:val="nil"/>
              <w:right w:val="nil"/>
            </w:tcBorders>
            <w:shd w:val="clear" w:color="auto" w:fill="auto"/>
            <w:noWrap/>
            <w:vAlign w:val="bottom"/>
            <w:hideMark/>
          </w:tcPr>
          <w:p w14:paraId="44346D1E"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Diagnostically Related Groups</w:t>
            </w:r>
          </w:p>
        </w:tc>
      </w:tr>
      <w:tr w:rsidR="0043458D" w:rsidRPr="00FA763A" w14:paraId="0F251F94" w14:textId="77777777" w:rsidTr="0043458D">
        <w:trPr>
          <w:trHeight w:val="440"/>
        </w:trPr>
        <w:tc>
          <w:tcPr>
            <w:tcW w:w="1300" w:type="dxa"/>
            <w:tcBorders>
              <w:top w:val="nil"/>
              <w:left w:val="nil"/>
              <w:bottom w:val="nil"/>
              <w:right w:val="nil"/>
            </w:tcBorders>
            <w:shd w:val="clear" w:color="auto" w:fill="auto"/>
            <w:noWrap/>
            <w:vAlign w:val="bottom"/>
            <w:hideMark/>
          </w:tcPr>
          <w:p w14:paraId="1A1CDAD5"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FGPs</w:t>
            </w:r>
          </w:p>
        </w:tc>
        <w:tc>
          <w:tcPr>
            <w:tcW w:w="5820" w:type="dxa"/>
            <w:tcBorders>
              <w:top w:val="nil"/>
              <w:left w:val="nil"/>
              <w:bottom w:val="nil"/>
              <w:right w:val="nil"/>
            </w:tcBorders>
            <w:shd w:val="clear" w:color="auto" w:fill="auto"/>
            <w:noWrap/>
            <w:vAlign w:val="bottom"/>
            <w:hideMark/>
          </w:tcPr>
          <w:p w14:paraId="6003DC3E"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Family Group Practices</w:t>
            </w:r>
          </w:p>
        </w:tc>
      </w:tr>
      <w:tr w:rsidR="0043458D" w:rsidRPr="00FA763A" w14:paraId="0CD9CE95" w14:textId="77777777" w:rsidTr="0043458D">
        <w:trPr>
          <w:trHeight w:val="440"/>
        </w:trPr>
        <w:tc>
          <w:tcPr>
            <w:tcW w:w="1300" w:type="dxa"/>
            <w:tcBorders>
              <w:top w:val="nil"/>
              <w:left w:val="nil"/>
              <w:bottom w:val="nil"/>
              <w:right w:val="nil"/>
            </w:tcBorders>
            <w:shd w:val="clear" w:color="auto" w:fill="auto"/>
            <w:noWrap/>
            <w:vAlign w:val="bottom"/>
            <w:hideMark/>
          </w:tcPr>
          <w:p w14:paraId="1E391735"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HMIS</w:t>
            </w:r>
          </w:p>
        </w:tc>
        <w:tc>
          <w:tcPr>
            <w:tcW w:w="5820" w:type="dxa"/>
            <w:tcBorders>
              <w:top w:val="nil"/>
              <w:left w:val="nil"/>
              <w:bottom w:val="nil"/>
              <w:right w:val="nil"/>
            </w:tcBorders>
            <w:shd w:val="clear" w:color="auto" w:fill="auto"/>
            <w:noWrap/>
            <w:vAlign w:val="bottom"/>
            <w:hideMark/>
          </w:tcPr>
          <w:p w14:paraId="0F3C06B4"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Health Management Information System</w:t>
            </w:r>
          </w:p>
        </w:tc>
      </w:tr>
      <w:tr w:rsidR="0043458D" w:rsidRPr="00FA763A" w14:paraId="798290AE" w14:textId="77777777" w:rsidTr="0043458D">
        <w:trPr>
          <w:trHeight w:val="440"/>
        </w:trPr>
        <w:tc>
          <w:tcPr>
            <w:tcW w:w="1300" w:type="dxa"/>
            <w:tcBorders>
              <w:top w:val="nil"/>
              <w:left w:val="nil"/>
              <w:bottom w:val="nil"/>
              <w:right w:val="nil"/>
            </w:tcBorders>
            <w:shd w:val="clear" w:color="auto" w:fill="auto"/>
            <w:noWrap/>
            <w:vAlign w:val="bottom"/>
            <w:hideMark/>
          </w:tcPr>
          <w:p w14:paraId="1AD6DD88"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HSES</w:t>
            </w:r>
          </w:p>
        </w:tc>
        <w:tc>
          <w:tcPr>
            <w:tcW w:w="5820" w:type="dxa"/>
            <w:tcBorders>
              <w:top w:val="nil"/>
              <w:left w:val="nil"/>
              <w:bottom w:val="nil"/>
              <w:right w:val="nil"/>
            </w:tcBorders>
            <w:shd w:val="clear" w:color="auto" w:fill="auto"/>
            <w:noWrap/>
            <w:vAlign w:val="bottom"/>
            <w:hideMark/>
          </w:tcPr>
          <w:p w14:paraId="3FFD751C"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Household Socio Economic Survey</w:t>
            </w:r>
          </w:p>
        </w:tc>
      </w:tr>
      <w:tr w:rsidR="0043458D" w:rsidRPr="00FA763A" w14:paraId="32FB8E77" w14:textId="77777777" w:rsidTr="0043458D">
        <w:trPr>
          <w:trHeight w:val="440"/>
        </w:trPr>
        <w:tc>
          <w:tcPr>
            <w:tcW w:w="1300" w:type="dxa"/>
            <w:tcBorders>
              <w:top w:val="nil"/>
              <w:left w:val="nil"/>
              <w:bottom w:val="nil"/>
              <w:right w:val="nil"/>
            </w:tcBorders>
            <w:shd w:val="clear" w:color="auto" w:fill="auto"/>
            <w:noWrap/>
            <w:vAlign w:val="bottom"/>
            <w:hideMark/>
          </w:tcPr>
          <w:p w14:paraId="20F5576D"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ICT</w:t>
            </w:r>
          </w:p>
        </w:tc>
        <w:tc>
          <w:tcPr>
            <w:tcW w:w="5820" w:type="dxa"/>
            <w:tcBorders>
              <w:top w:val="nil"/>
              <w:left w:val="nil"/>
              <w:bottom w:val="nil"/>
              <w:right w:val="nil"/>
            </w:tcBorders>
            <w:shd w:val="clear" w:color="auto" w:fill="auto"/>
            <w:noWrap/>
            <w:vAlign w:val="bottom"/>
            <w:hideMark/>
          </w:tcPr>
          <w:p w14:paraId="7F27BFF1"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Information Communications Technology</w:t>
            </w:r>
          </w:p>
        </w:tc>
      </w:tr>
      <w:tr w:rsidR="0043458D" w:rsidRPr="00FA763A" w14:paraId="34DAB068" w14:textId="77777777" w:rsidTr="0043458D">
        <w:trPr>
          <w:trHeight w:val="440"/>
        </w:trPr>
        <w:tc>
          <w:tcPr>
            <w:tcW w:w="1300" w:type="dxa"/>
            <w:tcBorders>
              <w:top w:val="nil"/>
              <w:left w:val="nil"/>
              <w:bottom w:val="nil"/>
              <w:right w:val="nil"/>
            </w:tcBorders>
            <w:shd w:val="clear" w:color="auto" w:fill="auto"/>
            <w:noWrap/>
            <w:vAlign w:val="bottom"/>
            <w:hideMark/>
          </w:tcPr>
          <w:p w14:paraId="77954644"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MNT</w:t>
            </w:r>
          </w:p>
        </w:tc>
        <w:tc>
          <w:tcPr>
            <w:tcW w:w="5820" w:type="dxa"/>
            <w:tcBorders>
              <w:top w:val="nil"/>
              <w:left w:val="nil"/>
              <w:bottom w:val="nil"/>
              <w:right w:val="nil"/>
            </w:tcBorders>
            <w:shd w:val="clear" w:color="auto" w:fill="auto"/>
            <w:noWrap/>
            <w:vAlign w:val="bottom"/>
            <w:hideMark/>
          </w:tcPr>
          <w:p w14:paraId="34B59325"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Mongolian Tugriks</w:t>
            </w:r>
          </w:p>
        </w:tc>
      </w:tr>
      <w:tr w:rsidR="0043458D" w:rsidRPr="00FA763A" w14:paraId="427EED94" w14:textId="77777777" w:rsidTr="0043458D">
        <w:trPr>
          <w:trHeight w:val="440"/>
        </w:trPr>
        <w:tc>
          <w:tcPr>
            <w:tcW w:w="1300" w:type="dxa"/>
            <w:tcBorders>
              <w:top w:val="nil"/>
              <w:left w:val="nil"/>
              <w:bottom w:val="nil"/>
              <w:right w:val="nil"/>
            </w:tcBorders>
            <w:shd w:val="clear" w:color="auto" w:fill="auto"/>
            <w:noWrap/>
            <w:vAlign w:val="bottom"/>
            <w:hideMark/>
          </w:tcPr>
          <w:p w14:paraId="44AE67F0" w14:textId="77777777" w:rsidR="0043458D" w:rsidRPr="00FA763A" w:rsidRDefault="0043458D" w:rsidP="0043458D">
            <w:pPr>
              <w:rPr>
                <w:rFonts w:asciiTheme="minorHAnsi" w:hAnsiTheme="minorHAnsi" w:cs="Arial"/>
                <w:color w:val="000000"/>
              </w:rPr>
            </w:pPr>
            <w:proofErr w:type="spellStart"/>
            <w:r w:rsidRPr="00FA763A">
              <w:rPr>
                <w:rFonts w:asciiTheme="minorHAnsi" w:hAnsiTheme="minorHAnsi" w:cs="Arial"/>
                <w:color w:val="000000"/>
              </w:rPr>
              <w:t>MoH</w:t>
            </w:r>
            <w:proofErr w:type="spellEnd"/>
          </w:p>
        </w:tc>
        <w:tc>
          <w:tcPr>
            <w:tcW w:w="5820" w:type="dxa"/>
            <w:tcBorders>
              <w:top w:val="nil"/>
              <w:left w:val="nil"/>
              <w:bottom w:val="nil"/>
              <w:right w:val="nil"/>
            </w:tcBorders>
            <w:shd w:val="clear" w:color="auto" w:fill="auto"/>
            <w:noWrap/>
            <w:vAlign w:val="bottom"/>
            <w:hideMark/>
          </w:tcPr>
          <w:p w14:paraId="71D63A13"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Ministry of Health</w:t>
            </w:r>
          </w:p>
        </w:tc>
      </w:tr>
      <w:tr w:rsidR="0043458D" w:rsidRPr="00FA763A" w14:paraId="426C41D2" w14:textId="77777777" w:rsidTr="0043458D">
        <w:trPr>
          <w:trHeight w:val="440"/>
        </w:trPr>
        <w:tc>
          <w:tcPr>
            <w:tcW w:w="1300" w:type="dxa"/>
            <w:tcBorders>
              <w:top w:val="nil"/>
              <w:left w:val="nil"/>
              <w:bottom w:val="nil"/>
              <w:right w:val="nil"/>
            </w:tcBorders>
            <w:shd w:val="clear" w:color="auto" w:fill="auto"/>
            <w:noWrap/>
            <w:vAlign w:val="bottom"/>
            <w:hideMark/>
          </w:tcPr>
          <w:p w14:paraId="1A6D1837"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NSO</w:t>
            </w:r>
          </w:p>
        </w:tc>
        <w:tc>
          <w:tcPr>
            <w:tcW w:w="5820" w:type="dxa"/>
            <w:tcBorders>
              <w:top w:val="nil"/>
              <w:left w:val="nil"/>
              <w:bottom w:val="nil"/>
              <w:right w:val="nil"/>
            </w:tcBorders>
            <w:shd w:val="clear" w:color="auto" w:fill="auto"/>
            <w:noWrap/>
            <w:vAlign w:val="bottom"/>
            <w:hideMark/>
          </w:tcPr>
          <w:p w14:paraId="6646BA77"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National Statistics Office</w:t>
            </w:r>
          </w:p>
        </w:tc>
      </w:tr>
      <w:tr w:rsidR="0043458D" w:rsidRPr="00FA763A" w14:paraId="4FF1B2FB" w14:textId="77777777" w:rsidTr="0043458D">
        <w:trPr>
          <w:trHeight w:val="440"/>
        </w:trPr>
        <w:tc>
          <w:tcPr>
            <w:tcW w:w="1300" w:type="dxa"/>
            <w:tcBorders>
              <w:top w:val="nil"/>
              <w:left w:val="nil"/>
              <w:bottom w:val="nil"/>
              <w:right w:val="nil"/>
            </w:tcBorders>
            <w:shd w:val="clear" w:color="auto" w:fill="auto"/>
            <w:noWrap/>
            <w:vAlign w:val="bottom"/>
            <w:hideMark/>
          </w:tcPr>
          <w:p w14:paraId="4E25DFEB"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OOPs</w:t>
            </w:r>
          </w:p>
        </w:tc>
        <w:tc>
          <w:tcPr>
            <w:tcW w:w="5820" w:type="dxa"/>
            <w:tcBorders>
              <w:top w:val="nil"/>
              <w:left w:val="nil"/>
              <w:bottom w:val="nil"/>
              <w:right w:val="nil"/>
            </w:tcBorders>
            <w:shd w:val="clear" w:color="auto" w:fill="auto"/>
            <w:noWrap/>
            <w:vAlign w:val="bottom"/>
            <w:hideMark/>
          </w:tcPr>
          <w:p w14:paraId="1E0C10EA"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Out of Pocket Payments</w:t>
            </w:r>
          </w:p>
        </w:tc>
      </w:tr>
      <w:tr w:rsidR="0043458D" w:rsidRPr="00FA763A" w14:paraId="126D848D" w14:textId="77777777" w:rsidTr="0043458D">
        <w:trPr>
          <w:trHeight w:val="440"/>
        </w:trPr>
        <w:tc>
          <w:tcPr>
            <w:tcW w:w="1300" w:type="dxa"/>
            <w:tcBorders>
              <w:top w:val="nil"/>
              <w:left w:val="nil"/>
              <w:bottom w:val="nil"/>
              <w:right w:val="nil"/>
            </w:tcBorders>
            <w:shd w:val="clear" w:color="auto" w:fill="auto"/>
            <w:noWrap/>
            <w:vAlign w:val="bottom"/>
            <w:hideMark/>
          </w:tcPr>
          <w:p w14:paraId="066C1616"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PSU</w:t>
            </w:r>
          </w:p>
        </w:tc>
        <w:tc>
          <w:tcPr>
            <w:tcW w:w="5820" w:type="dxa"/>
            <w:tcBorders>
              <w:top w:val="nil"/>
              <w:left w:val="nil"/>
              <w:bottom w:val="nil"/>
              <w:right w:val="nil"/>
            </w:tcBorders>
            <w:shd w:val="clear" w:color="auto" w:fill="auto"/>
            <w:noWrap/>
            <w:vAlign w:val="bottom"/>
            <w:hideMark/>
          </w:tcPr>
          <w:p w14:paraId="7B9807BB"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Primary Sampling Unit</w:t>
            </w:r>
          </w:p>
        </w:tc>
      </w:tr>
      <w:tr w:rsidR="0043458D" w:rsidRPr="00FA763A" w14:paraId="53BF311C" w14:textId="77777777" w:rsidTr="0043458D">
        <w:trPr>
          <w:trHeight w:val="440"/>
        </w:trPr>
        <w:tc>
          <w:tcPr>
            <w:tcW w:w="1300" w:type="dxa"/>
            <w:tcBorders>
              <w:top w:val="nil"/>
              <w:left w:val="nil"/>
              <w:bottom w:val="nil"/>
              <w:right w:val="nil"/>
            </w:tcBorders>
            <w:shd w:val="clear" w:color="auto" w:fill="auto"/>
            <w:noWrap/>
            <w:vAlign w:val="bottom"/>
            <w:hideMark/>
          </w:tcPr>
          <w:p w14:paraId="0E82D331"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SHI</w:t>
            </w:r>
          </w:p>
        </w:tc>
        <w:tc>
          <w:tcPr>
            <w:tcW w:w="5820" w:type="dxa"/>
            <w:tcBorders>
              <w:top w:val="nil"/>
              <w:left w:val="nil"/>
              <w:bottom w:val="nil"/>
              <w:right w:val="nil"/>
            </w:tcBorders>
            <w:shd w:val="clear" w:color="auto" w:fill="auto"/>
            <w:noWrap/>
            <w:vAlign w:val="bottom"/>
            <w:hideMark/>
          </w:tcPr>
          <w:p w14:paraId="4BECBA98"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Social Health Insurance</w:t>
            </w:r>
          </w:p>
        </w:tc>
      </w:tr>
      <w:tr w:rsidR="0043458D" w:rsidRPr="00FA763A" w14:paraId="4C69CD9F" w14:textId="77777777" w:rsidTr="0043458D">
        <w:trPr>
          <w:trHeight w:val="440"/>
        </w:trPr>
        <w:tc>
          <w:tcPr>
            <w:tcW w:w="1300" w:type="dxa"/>
            <w:tcBorders>
              <w:top w:val="nil"/>
              <w:left w:val="nil"/>
              <w:bottom w:val="nil"/>
              <w:right w:val="nil"/>
            </w:tcBorders>
            <w:shd w:val="clear" w:color="auto" w:fill="auto"/>
            <w:noWrap/>
            <w:vAlign w:val="bottom"/>
            <w:hideMark/>
          </w:tcPr>
          <w:p w14:paraId="68CBDB7B"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TB</w:t>
            </w:r>
          </w:p>
        </w:tc>
        <w:tc>
          <w:tcPr>
            <w:tcW w:w="5820" w:type="dxa"/>
            <w:tcBorders>
              <w:top w:val="nil"/>
              <w:left w:val="nil"/>
              <w:bottom w:val="nil"/>
              <w:right w:val="nil"/>
            </w:tcBorders>
            <w:shd w:val="clear" w:color="auto" w:fill="auto"/>
            <w:noWrap/>
            <w:vAlign w:val="bottom"/>
            <w:hideMark/>
          </w:tcPr>
          <w:p w14:paraId="6FAFF57E"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Tuberculosis</w:t>
            </w:r>
          </w:p>
        </w:tc>
      </w:tr>
      <w:tr w:rsidR="0043458D" w:rsidRPr="00FA763A" w14:paraId="0A37847B" w14:textId="77777777" w:rsidTr="0043458D">
        <w:trPr>
          <w:trHeight w:val="440"/>
        </w:trPr>
        <w:tc>
          <w:tcPr>
            <w:tcW w:w="1300" w:type="dxa"/>
            <w:tcBorders>
              <w:top w:val="nil"/>
              <w:left w:val="nil"/>
              <w:bottom w:val="nil"/>
              <w:right w:val="nil"/>
            </w:tcBorders>
            <w:shd w:val="clear" w:color="auto" w:fill="auto"/>
            <w:noWrap/>
            <w:vAlign w:val="bottom"/>
            <w:hideMark/>
          </w:tcPr>
          <w:p w14:paraId="12022781"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THE</w:t>
            </w:r>
          </w:p>
        </w:tc>
        <w:tc>
          <w:tcPr>
            <w:tcW w:w="5820" w:type="dxa"/>
            <w:tcBorders>
              <w:top w:val="nil"/>
              <w:left w:val="nil"/>
              <w:bottom w:val="nil"/>
              <w:right w:val="nil"/>
            </w:tcBorders>
            <w:shd w:val="clear" w:color="auto" w:fill="auto"/>
            <w:noWrap/>
            <w:vAlign w:val="bottom"/>
            <w:hideMark/>
          </w:tcPr>
          <w:p w14:paraId="77B23210"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Total Health Expenditure</w:t>
            </w:r>
          </w:p>
        </w:tc>
      </w:tr>
      <w:tr w:rsidR="0043458D" w:rsidRPr="00FA763A" w14:paraId="47705658" w14:textId="77777777" w:rsidTr="0043458D">
        <w:trPr>
          <w:trHeight w:val="440"/>
        </w:trPr>
        <w:tc>
          <w:tcPr>
            <w:tcW w:w="1300" w:type="dxa"/>
            <w:tcBorders>
              <w:top w:val="nil"/>
              <w:left w:val="nil"/>
              <w:bottom w:val="nil"/>
              <w:right w:val="nil"/>
            </w:tcBorders>
            <w:shd w:val="clear" w:color="auto" w:fill="auto"/>
            <w:noWrap/>
            <w:vAlign w:val="bottom"/>
            <w:hideMark/>
          </w:tcPr>
          <w:p w14:paraId="0EE20F1F"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USD</w:t>
            </w:r>
          </w:p>
        </w:tc>
        <w:tc>
          <w:tcPr>
            <w:tcW w:w="5820" w:type="dxa"/>
            <w:tcBorders>
              <w:top w:val="nil"/>
              <w:left w:val="nil"/>
              <w:bottom w:val="nil"/>
              <w:right w:val="nil"/>
            </w:tcBorders>
            <w:shd w:val="clear" w:color="auto" w:fill="auto"/>
            <w:noWrap/>
            <w:vAlign w:val="bottom"/>
            <w:hideMark/>
          </w:tcPr>
          <w:p w14:paraId="116AC0BA"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US dollar</w:t>
            </w:r>
          </w:p>
        </w:tc>
      </w:tr>
      <w:tr w:rsidR="0043458D" w:rsidRPr="00FA763A" w14:paraId="104203C2" w14:textId="77777777" w:rsidTr="0043458D">
        <w:trPr>
          <w:trHeight w:val="440"/>
        </w:trPr>
        <w:tc>
          <w:tcPr>
            <w:tcW w:w="1300" w:type="dxa"/>
            <w:tcBorders>
              <w:top w:val="nil"/>
              <w:left w:val="nil"/>
              <w:bottom w:val="nil"/>
              <w:right w:val="nil"/>
            </w:tcBorders>
            <w:shd w:val="clear" w:color="auto" w:fill="auto"/>
            <w:noWrap/>
            <w:vAlign w:val="bottom"/>
            <w:hideMark/>
          </w:tcPr>
          <w:p w14:paraId="3BAD3F57"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WB</w:t>
            </w:r>
          </w:p>
        </w:tc>
        <w:tc>
          <w:tcPr>
            <w:tcW w:w="5820" w:type="dxa"/>
            <w:tcBorders>
              <w:top w:val="nil"/>
              <w:left w:val="nil"/>
              <w:bottom w:val="nil"/>
              <w:right w:val="nil"/>
            </w:tcBorders>
            <w:shd w:val="clear" w:color="auto" w:fill="auto"/>
            <w:noWrap/>
            <w:vAlign w:val="bottom"/>
            <w:hideMark/>
          </w:tcPr>
          <w:p w14:paraId="0063D07D"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World Bank</w:t>
            </w:r>
          </w:p>
        </w:tc>
      </w:tr>
      <w:tr w:rsidR="0043458D" w:rsidRPr="00FA763A" w14:paraId="48391A6F" w14:textId="77777777" w:rsidTr="0043458D">
        <w:trPr>
          <w:trHeight w:val="440"/>
        </w:trPr>
        <w:tc>
          <w:tcPr>
            <w:tcW w:w="1300" w:type="dxa"/>
            <w:tcBorders>
              <w:top w:val="nil"/>
              <w:left w:val="nil"/>
              <w:bottom w:val="nil"/>
              <w:right w:val="nil"/>
            </w:tcBorders>
            <w:shd w:val="clear" w:color="auto" w:fill="auto"/>
            <w:noWrap/>
            <w:vAlign w:val="bottom"/>
            <w:hideMark/>
          </w:tcPr>
          <w:p w14:paraId="4F96F3BB"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WHO</w:t>
            </w:r>
          </w:p>
        </w:tc>
        <w:tc>
          <w:tcPr>
            <w:tcW w:w="5820" w:type="dxa"/>
            <w:tcBorders>
              <w:top w:val="nil"/>
              <w:left w:val="nil"/>
              <w:bottom w:val="nil"/>
              <w:right w:val="nil"/>
            </w:tcBorders>
            <w:shd w:val="clear" w:color="auto" w:fill="auto"/>
            <w:noWrap/>
            <w:vAlign w:val="bottom"/>
            <w:hideMark/>
          </w:tcPr>
          <w:p w14:paraId="6D11355D" w14:textId="77777777" w:rsidR="0043458D" w:rsidRPr="00FA763A" w:rsidRDefault="0043458D" w:rsidP="0043458D">
            <w:pPr>
              <w:rPr>
                <w:rFonts w:asciiTheme="minorHAnsi" w:hAnsiTheme="minorHAnsi" w:cs="Arial"/>
                <w:color w:val="000000"/>
              </w:rPr>
            </w:pPr>
            <w:r w:rsidRPr="00FA763A">
              <w:rPr>
                <w:rFonts w:asciiTheme="minorHAnsi" w:hAnsiTheme="minorHAnsi" w:cs="Arial"/>
                <w:color w:val="000000"/>
              </w:rPr>
              <w:t>World Health Organization</w:t>
            </w:r>
          </w:p>
        </w:tc>
      </w:tr>
      <w:tr w:rsidR="0043458D" w:rsidRPr="00FA763A" w14:paraId="25EA5F4B" w14:textId="77777777" w:rsidTr="0043458D">
        <w:trPr>
          <w:trHeight w:val="440"/>
        </w:trPr>
        <w:tc>
          <w:tcPr>
            <w:tcW w:w="1300" w:type="dxa"/>
            <w:tcBorders>
              <w:top w:val="nil"/>
              <w:left w:val="nil"/>
              <w:bottom w:val="nil"/>
              <w:right w:val="nil"/>
            </w:tcBorders>
            <w:shd w:val="clear" w:color="auto" w:fill="auto"/>
            <w:noWrap/>
            <w:vAlign w:val="bottom"/>
            <w:hideMark/>
          </w:tcPr>
          <w:p w14:paraId="51B7F2A8" w14:textId="77777777" w:rsidR="0043458D" w:rsidRPr="00FA763A" w:rsidRDefault="0043458D" w:rsidP="0043458D">
            <w:pPr>
              <w:rPr>
                <w:rFonts w:asciiTheme="minorHAnsi" w:hAnsiTheme="minorHAnsi"/>
                <w:color w:val="000000"/>
              </w:rPr>
            </w:pPr>
          </w:p>
        </w:tc>
        <w:tc>
          <w:tcPr>
            <w:tcW w:w="5820" w:type="dxa"/>
            <w:tcBorders>
              <w:top w:val="nil"/>
              <w:left w:val="nil"/>
              <w:bottom w:val="nil"/>
              <w:right w:val="nil"/>
            </w:tcBorders>
            <w:shd w:val="clear" w:color="auto" w:fill="auto"/>
            <w:noWrap/>
            <w:vAlign w:val="bottom"/>
            <w:hideMark/>
          </w:tcPr>
          <w:p w14:paraId="18E50B2C" w14:textId="77777777" w:rsidR="0043458D" w:rsidRPr="00FA763A" w:rsidRDefault="0043458D" w:rsidP="0043458D">
            <w:pPr>
              <w:rPr>
                <w:rFonts w:asciiTheme="minorHAnsi" w:hAnsiTheme="minorHAnsi"/>
                <w:color w:val="000000"/>
              </w:rPr>
            </w:pPr>
          </w:p>
        </w:tc>
      </w:tr>
      <w:tr w:rsidR="0043458D" w:rsidRPr="00FA763A" w14:paraId="1A0DF847" w14:textId="77777777" w:rsidTr="0043458D">
        <w:trPr>
          <w:trHeight w:val="440"/>
        </w:trPr>
        <w:tc>
          <w:tcPr>
            <w:tcW w:w="1300" w:type="dxa"/>
            <w:tcBorders>
              <w:top w:val="nil"/>
              <w:left w:val="nil"/>
              <w:bottom w:val="nil"/>
              <w:right w:val="nil"/>
            </w:tcBorders>
            <w:shd w:val="clear" w:color="auto" w:fill="auto"/>
            <w:noWrap/>
            <w:vAlign w:val="bottom"/>
            <w:hideMark/>
          </w:tcPr>
          <w:p w14:paraId="2B567E97" w14:textId="77777777" w:rsidR="0043458D" w:rsidRPr="00FA763A" w:rsidRDefault="0043458D" w:rsidP="0043458D">
            <w:pPr>
              <w:rPr>
                <w:rFonts w:asciiTheme="minorHAnsi" w:hAnsiTheme="minorHAnsi"/>
                <w:color w:val="000000"/>
              </w:rPr>
            </w:pPr>
          </w:p>
        </w:tc>
        <w:tc>
          <w:tcPr>
            <w:tcW w:w="5820" w:type="dxa"/>
            <w:tcBorders>
              <w:top w:val="nil"/>
              <w:left w:val="nil"/>
              <w:bottom w:val="nil"/>
              <w:right w:val="nil"/>
            </w:tcBorders>
            <w:shd w:val="clear" w:color="auto" w:fill="auto"/>
            <w:noWrap/>
            <w:vAlign w:val="bottom"/>
            <w:hideMark/>
          </w:tcPr>
          <w:p w14:paraId="30431F21" w14:textId="77777777" w:rsidR="0043458D" w:rsidRPr="00FA763A" w:rsidRDefault="0043458D" w:rsidP="0043458D">
            <w:pPr>
              <w:rPr>
                <w:rFonts w:asciiTheme="minorHAnsi" w:hAnsiTheme="minorHAnsi"/>
                <w:color w:val="000000"/>
              </w:rPr>
            </w:pPr>
          </w:p>
        </w:tc>
      </w:tr>
      <w:tr w:rsidR="0043458D" w:rsidRPr="00FA763A" w14:paraId="1C0AD8B6" w14:textId="77777777" w:rsidTr="0043458D">
        <w:trPr>
          <w:trHeight w:val="440"/>
        </w:trPr>
        <w:tc>
          <w:tcPr>
            <w:tcW w:w="1300" w:type="dxa"/>
            <w:tcBorders>
              <w:top w:val="nil"/>
              <w:left w:val="nil"/>
              <w:bottom w:val="nil"/>
              <w:right w:val="nil"/>
            </w:tcBorders>
            <w:shd w:val="clear" w:color="auto" w:fill="auto"/>
            <w:noWrap/>
            <w:vAlign w:val="bottom"/>
            <w:hideMark/>
          </w:tcPr>
          <w:p w14:paraId="24FA739E" w14:textId="77777777" w:rsidR="0043458D" w:rsidRPr="00FA763A" w:rsidRDefault="0043458D" w:rsidP="0043458D">
            <w:pPr>
              <w:rPr>
                <w:rFonts w:asciiTheme="minorHAnsi" w:hAnsiTheme="minorHAnsi"/>
                <w:color w:val="000000"/>
              </w:rPr>
            </w:pPr>
          </w:p>
        </w:tc>
        <w:tc>
          <w:tcPr>
            <w:tcW w:w="5820" w:type="dxa"/>
            <w:tcBorders>
              <w:top w:val="nil"/>
              <w:left w:val="nil"/>
              <w:bottom w:val="nil"/>
              <w:right w:val="nil"/>
            </w:tcBorders>
            <w:shd w:val="clear" w:color="auto" w:fill="auto"/>
            <w:noWrap/>
            <w:vAlign w:val="bottom"/>
            <w:hideMark/>
          </w:tcPr>
          <w:p w14:paraId="3732343D" w14:textId="77777777" w:rsidR="0043458D" w:rsidRPr="00FA763A" w:rsidRDefault="0043458D" w:rsidP="0043458D">
            <w:pPr>
              <w:rPr>
                <w:rFonts w:asciiTheme="minorHAnsi" w:hAnsiTheme="minorHAnsi"/>
                <w:color w:val="000000"/>
              </w:rPr>
            </w:pPr>
          </w:p>
        </w:tc>
      </w:tr>
      <w:tr w:rsidR="0043458D" w:rsidRPr="00FA763A" w14:paraId="0FFCCC76" w14:textId="77777777" w:rsidTr="0043458D">
        <w:trPr>
          <w:trHeight w:val="440"/>
        </w:trPr>
        <w:tc>
          <w:tcPr>
            <w:tcW w:w="1300" w:type="dxa"/>
            <w:tcBorders>
              <w:top w:val="nil"/>
              <w:left w:val="nil"/>
              <w:bottom w:val="nil"/>
              <w:right w:val="nil"/>
            </w:tcBorders>
            <w:shd w:val="clear" w:color="auto" w:fill="auto"/>
            <w:noWrap/>
            <w:vAlign w:val="bottom"/>
            <w:hideMark/>
          </w:tcPr>
          <w:p w14:paraId="67287BB5" w14:textId="77777777" w:rsidR="0043458D" w:rsidRPr="00FA763A" w:rsidRDefault="0043458D" w:rsidP="0043458D">
            <w:pPr>
              <w:rPr>
                <w:rFonts w:asciiTheme="minorHAnsi" w:hAnsiTheme="minorHAnsi"/>
                <w:color w:val="000000"/>
              </w:rPr>
            </w:pPr>
          </w:p>
        </w:tc>
        <w:tc>
          <w:tcPr>
            <w:tcW w:w="5820" w:type="dxa"/>
            <w:tcBorders>
              <w:top w:val="nil"/>
              <w:left w:val="nil"/>
              <w:bottom w:val="nil"/>
              <w:right w:val="nil"/>
            </w:tcBorders>
            <w:shd w:val="clear" w:color="auto" w:fill="auto"/>
            <w:noWrap/>
            <w:vAlign w:val="bottom"/>
            <w:hideMark/>
          </w:tcPr>
          <w:p w14:paraId="171EB46F" w14:textId="77777777" w:rsidR="0043458D" w:rsidRPr="00FA763A" w:rsidRDefault="0043458D" w:rsidP="0043458D">
            <w:pPr>
              <w:rPr>
                <w:rFonts w:asciiTheme="minorHAnsi" w:hAnsiTheme="minorHAnsi"/>
                <w:color w:val="000000"/>
              </w:rPr>
            </w:pPr>
          </w:p>
        </w:tc>
      </w:tr>
    </w:tbl>
    <w:p w14:paraId="703C7EF1" w14:textId="77777777" w:rsidR="0043458D" w:rsidRPr="00FA763A" w:rsidRDefault="0043458D" w:rsidP="00D25CB6">
      <w:pPr>
        <w:rPr>
          <w:rFonts w:asciiTheme="minorHAnsi" w:hAnsiTheme="minorHAnsi"/>
        </w:rPr>
      </w:pPr>
    </w:p>
    <w:p w14:paraId="5BDEC69B" w14:textId="77777777" w:rsidR="0043458D" w:rsidRPr="00FA763A" w:rsidRDefault="0043458D">
      <w:pPr>
        <w:rPr>
          <w:rFonts w:asciiTheme="minorHAnsi" w:eastAsiaTheme="majorEastAsia" w:hAnsiTheme="minorHAnsi" w:cstheme="majorBidi"/>
          <w:b/>
          <w:bCs/>
          <w:color w:val="4F81BD" w:themeColor="accent1"/>
          <w:sz w:val="26"/>
          <w:szCs w:val="26"/>
          <w:lang w:val="en-GB"/>
        </w:rPr>
      </w:pPr>
      <w:r w:rsidRPr="00FA763A">
        <w:rPr>
          <w:rFonts w:asciiTheme="minorHAnsi" w:hAnsiTheme="minorHAnsi"/>
          <w:lang w:val="en-GB"/>
        </w:rPr>
        <w:br w:type="page"/>
      </w:r>
    </w:p>
    <w:p w14:paraId="0C76073F" w14:textId="77777777" w:rsidR="00311863" w:rsidRDefault="00311863" w:rsidP="00B919C7">
      <w:pPr>
        <w:pStyle w:val="Heading2"/>
        <w:rPr>
          <w:lang w:val="en-GB"/>
        </w:rPr>
      </w:pPr>
      <w:bookmarkStart w:id="1" w:name="_Toc305764297"/>
      <w:r>
        <w:rPr>
          <w:lang w:val="en-GB"/>
        </w:rPr>
        <w:lastRenderedPageBreak/>
        <w:t>Introduction</w:t>
      </w:r>
      <w:bookmarkEnd w:id="1"/>
    </w:p>
    <w:p w14:paraId="2700B4AF" w14:textId="77777777" w:rsidR="00311863" w:rsidRDefault="00311863" w:rsidP="00311863">
      <w:pPr>
        <w:rPr>
          <w:lang w:val="en-GB"/>
        </w:rPr>
      </w:pPr>
    </w:p>
    <w:p w14:paraId="61206B46" w14:textId="51AFDF3D" w:rsidR="00C7639E" w:rsidRPr="00E834E7" w:rsidRDefault="00C7639E" w:rsidP="00C7639E">
      <w:pPr>
        <w:autoSpaceDE w:val="0"/>
        <w:autoSpaceDN w:val="0"/>
        <w:adjustRightInd w:val="0"/>
        <w:jc w:val="both"/>
      </w:pPr>
      <w:r w:rsidRPr="00311863">
        <w:rPr>
          <w:rFonts w:ascii="Arial" w:hAnsi="Arial" w:cs="Arial"/>
          <w:lang w:val="en-GB"/>
        </w:rPr>
        <w:t xml:space="preserve">Mongolia’s rising </w:t>
      </w:r>
      <w:r>
        <w:rPr>
          <w:rFonts w:ascii="Arial" w:hAnsi="Arial" w:cs="Arial"/>
          <w:lang w:val="en-GB"/>
        </w:rPr>
        <w:t>out of pocket health expenditure</w:t>
      </w:r>
      <w:r w:rsidRPr="00311863">
        <w:rPr>
          <w:rFonts w:ascii="Arial" w:hAnsi="Arial" w:cs="Arial"/>
          <w:lang w:val="en-GB"/>
        </w:rPr>
        <w:t xml:space="preserve"> </w:t>
      </w:r>
      <w:r>
        <w:rPr>
          <w:rFonts w:ascii="Arial" w:hAnsi="Arial" w:cs="Arial"/>
          <w:lang w:val="en-GB"/>
        </w:rPr>
        <w:t>is</w:t>
      </w:r>
      <w:r w:rsidRPr="00311863">
        <w:rPr>
          <w:rFonts w:ascii="Arial" w:hAnsi="Arial" w:cs="Arial"/>
          <w:lang w:val="en-GB"/>
        </w:rPr>
        <w:t xml:space="preserve"> the priority concern for </w:t>
      </w:r>
      <w:r>
        <w:rPr>
          <w:rFonts w:ascii="Arial" w:hAnsi="Arial" w:cs="Arial"/>
          <w:lang w:val="en-GB"/>
        </w:rPr>
        <w:t xml:space="preserve">its </w:t>
      </w:r>
      <w:r w:rsidRPr="00311863">
        <w:rPr>
          <w:rFonts w:ascii="Arial" w:hAnsi="Arial" w:cs="Arial"/>
          <w:lang w:val="en-GB"/>
        </w:rPr>
        <w:t>government</w:t>
      </w:r>
      <w:r>
        <w:rPr>
          <w:rFonts w:ascii="Arial" w:hAnsi="Arial" w:cs="Arial"/>
          <w:lang w:val="en-GB"/>
        </w:rPr>
        <w:t>, citizens and development partners including the World Health Organization</w:t>
      </w:r>
      <w:r w:rsidRPr="00311863">
        <w:rPr>
          <w:rFonts w:ascii="Arial" w:hAnsi="Arial" w:cs="Arial"/>
          <w:lang w:val="en-GB"/>
        </w:rPr>
        <w:t xml:space="preserve">. The share of out of pocket health payments in the total health expenditure increased </w:t>
      </w:r>
      <w:r w:rsidR="00ED7AE3">
        <w:rPr>
          <w:rFonts w:ascii="Arial" w:hAnsi="Arial" w:cs="Arial"/>
        </w:rPr>
        <w:t>sharply from 12</w:t>
      </w:r>
      <w:r>
        <w:rPr>
          <w:rFonts w:ascii="Arial" w:hAnsi="Arial" w:cs="Arial"/>
        </w:rPr>
        <w:t>% in 2000</w:t>
      </w:r>
      <w:r w:rsidRPr="00874E9E">
        <w:rPr>
          <w:rFonts w:ascii="Arial" w:hAnsi="Arial" w:cs="Arial"/>
        </w:rPr>
        <w:t xml:space="preserve"> to </w:t>
      </w:r>
      <w:r>
        <w:rPr>
          <w:rFonts w:ascii="Arial" w:hAnsi="Arial" w:cs="Arial"/>
        </w:rPr>
        <w:t>3</w:t>
      </w:r>
      <w:r w:rsidR="00ED7AE3">
        <w:rPr>
          <w:rFonts w:ascii="Arial" w:hAnsi="Arial" w:cs="Arial"/>
        </w:rPr>
        <w:t>5</w:t>
      </w:r>
      <w:r w:rsidRPr="00874E9E">
        <w:rPr>
          <w:rFonts w:ascii="Arial" w:hAnsi="Arial" w:cs="Arial"/>
        </w:rPr>
        <w:t>% in 20</w:t>
      </w:r>
      <w:r>
        <w:rPr>
          <w:rFonts w:ascii="Arial" w:hAnsi="Arial" w:cs="Arial"/>
        </w:rPr>
        <w:t>12</w:t>
      </w:r>
      <w:r w:rsidRPr="00311863">
        <w:rPr>
          <w:rFonts w:ascii="Arial" w:hAnsi="Arial" w:cs="Arial"/>
          <w:lang w:val="en-GB"/>
        </w:rPr>
        <w:t xml:space="preserve">. </w:t>
      </w:r>
      <w:r w:rsidRPr="004E43C0">
        <w:rPr>
          <w:rFonts w:ascii="Arial" w:hAnsi="Arial" w:cs="Arial"/>
          <w:lang w:val="en-GB"/>
        </w:rPr>
        <w:t>T</w:t>
      </w:r>
      <w:r w:rsidRPr="004E43C0">
        <w:rPr>
          <w:rFonts w:ascii="Arial" w:hAnsi="Arial" w:cs="Arial"/>
        </w:rPr>
        <w:t xml:space="preserve">he impact of these out-of-pocket payments for health care </w:t>
      </w:r>
      <w:r>
        <w:rPr>
          <w:rFonts w:ascii="Arial" w:hAnsi="Arial" w:cs="Arial"/>
        </w:rPr>
        <w:t>can be twofold.  One is that it may negatively impact the living standards of people causing</w:t>
      </w:r>
      <w:r w:rsidRPr="004E43C0">
        <w:rPr>
          <w:rFonts w:ascii="Arial" w:hAnsi="Arial" w:cs="Arial"/>
        </w:rPr>
        <w:t xml:space="preserve"> catastrophic </w:t>
      </w:r>
      <w:r>
        <w:rPr>
          <w:rFonts w:ascii="Arial" w:hAnsi="Arial" w:cs="Arial"/>
        </w:rPr>
        <w:t>and/or impoverishing spending</w:t>
      </w:r>
      <w:r w:rsidRPr="004E43C0">
        <w:rPr>
          <w:rFonts w:ascii="Arial" w:hAnsi="Arial" w:cs="Arial"/>
        </w:rPr>
        <w:t xml:space="preserve">. </w:t>
      </w:r>
      <w:r>
        <w:rPr>
          <w:rFonts w:ascii="Arial" w:hAnsi="Arial" w:cs="Arial"/>
        </w:rPr>
        <w:t>The other is that it may deter</w:t>
      </w:r>
      <w:r w:rsidRPr="004E43C0">
        <w:rPr>
          <w:rFonts w:ascii="Arial" w:hAnsi="Arial" w:cs="Arial"/>
        </w:rPr>
        <w:t xml:space="preserve"> people</w:t>
      </w:r>
      <w:r>
        <w:rPr>
          <w:rFonts w:ascii="Arial" w:hAnsi="Arial" w:cs="Arial"/>
        </w:rPr>
        <w:t xml:space="preserve"> from using</w:t>
      </w:r>
      <w:r w:rsidRPr="004E43C0">
        <w:rPr>
          <w:rFonts w:ascii="Arial" w:hAnsi="Arial" w:cs="Arial"/>
        </w:rPr>
        <w:t xml:space="preserve"> services, simply because they cannot afford direct costs, such as for consultations, medicines and laboratory tests. Poor households are likely to sink even further into poverty because of the adverse effects of illness on their earnings and general welfare.</w:t>
      </w:r>
      <w:r w:rsidRPr="004E43C0">
        <w:rPr>
          <w:rStyle w:val="FootnoteReference"/>
          <w:rFonts w:ascii="Arial" w:hAnsi="Arial" w:cs="Arial"/>
        </w:rPr>
        <w:footnoteReference w:id="1"/>
      </w:r>
      <w:r w:rsidRPr="004E43C0">
        <w:rPr>
          <w:rFonts w:ascii="Arial" w:hAnsi="Arial" w:cs="Arial"/>
        </w:rPr>
        <w:t xml:space="preserve"> </w:t>
      </w:r>
      <w:r w:rsidRPr="004E43C0">
        <w:rPr>
          <w:rFonts w:ascii="Arial" w:hAnsi="Arial" w:cs="Arial"/>
          <w:lang w:val="en-GB"/>
        </w:rPr>
        <w:t>In order</w:t>
      </w:r>
      <w:r>
        <w:rPr>
          <w:rFonts w:ascii="Arial" w:hAnsi="Arial" w:cs="Arial"/>
          <w:lang w:val="en-GB"/>
        </w:rPr>
        <w:t xml:space="preserve"> to address the issue</w:t>
      </w:r>
      <w:r w:rsidRPr="00311863">
        <w:rPr>
          <w:rFonts w:ascii="Arial" w:hAnsi="Arial" w:cs="Arial"/>
          <w:lang w:val="en-GB"/>
        </w:rPr>
        <w:t xml:space="preserve">, the </w:t>
      </w:r>
      <w:r w:rsidR="00AD6F57">
        <w:rPr>
          <w:rFonts w:ascii="Arial" w:hAnsi="Arial" w:cs="Arial"/>
          <w:lang w:val="en-GB"/>
        </w:rPr>
        <w:t xml:space="preserve">Government endorsed the </w:t>
      </w:r>
      <w:r w:rsidRPr="00311863">
        <w:rPr>
          <w:rFonts w:ascii="Arial" w:hAnsi="Arial" w:cs="Arial"/>
          <w:lang w:val="en-GB"/>
        </w:rPr>
        <w:t>health financing strategy</w:t>
      </w:r>
      <w:r>
        <w:rPr>
          <w:rFonts w:ascii="Arial" w:hAnsi="Arial" w:cs="Arial"/>
          <w:lang w:val="en-GB"/>
        </w:rPr>
        <w:t xml:space="preserve"> 2010-2015</w:t>
      </w:r>
      <w:r w:rsidRPr="00311863">
        <w:rPr>
          <w:rFonts w:ascii="Arial" w:hAnsi="Arial" w:cs="Arial"/>
          <w:lang w:val="en-GB"/>
        </w:rPr>
        <w:t xml:space="preserve"> </w:t>
      </w:r>
      <w:r w:rsidRPr="007043D5">
        <w:rPr>
          <w:rFonts w:ascii="Arial" w:hAnsi="Arial" w:cs="Arial"/>
          <w:lang w:val="en-GB"/>
        </w:rPr>
        <w:t>however showed flawed implementation and monitoring</w:t>
      </w:r>
      <w:r w:rsidR="007043D5" w:rsidRPr="007043D5">
        <w:rPr>
          <w:rFonts w:ascii="Arial" w:hAnsi="Arial" w:cs="Arial"/>
          <w:lang w:val="en-GB"/>
        </w:rPr>
        <w:t xml:space="preserve"> over the years</w:t>
      </w:r>
      <w:r w:rsidRPr="007043D5">
        <w:rPr>
          <w:rFonts w:ascii="Arial" w:hAnsi="Arial" w:cs="Arial"/>
          <w:lang w:val="en-GB"/>
        </w:rPr>
        <w:t>.</w:t>
      </w:r>
      <w:r w:rsidRPr="00311863">
        <w:rPr>
          <w:rFonts w:ascii="Arial" w:hAnsi="Arial" w:cs="Arial"/>
          <w:lang w:val="en-GB"/>
        </w:rPr>
        <w:t xml:space="preserve"> </w:t>
      </w:r>
      <w:r w:rsidR="00AD6F57">
        <w:rPr>
          <w:rFonts w:ascii="Arial" w:hAnsi="Arial" w:cs="Arial"/>
          <w:lang w:val="en-GB"/>
        </w:rPr>
        <w:t>T</w:t>
      </w:r>
      <w:r>
        <w:rPr>
          <w:rFonts w:ascii="Arial" w:hAnsi="Arial" w:cs="Arial"/>
          <w:lang w:val="en-GB"/>
        </w:rPr>
        <w:t>he contributing factors included lack of evidences and understanding by policy makers.</w:t>
      </w:r>
    </w:p>
    <w:p w14:paraId="33C04422" w14:textId="77777777" w:rsidR="00C7639E" w:rsidRPr="00311863" w:rsidRDefault="00C7639E" w:rsidP="00C7639E">
      <w:pPr>
        <w:jc w:val="both"/>
        <w:rPr>
          <w:rFonts w:ascii="Arial" w:hAnsi="Arial" w:cs="Arial"/>
          <w:lang w:val="en-GB"/>
        </w:rPr>
      </w:pPr>
    </w:p>
    <w:p w14:paraId="72028ECF" w14:textId="36493A7D" w:rsidR="00C7639E" w:rsidRDefault="00AD6F57" w:rsidP="00C7639E">
      <w:pPr>
        <w:jc w:val="both"/>
        <w:rPr>
          <w:rFonts w:ascii="Arial" w:hAnsi="Arial" w:cs="Arial"/>
          <w:lang w:val="en-GB"/>
        </w:rPr>
      </w:pPr>
      <w:r>
        <w:rPr>
          <w:rFonts w:ascii="Arial" w:hAnsi="Arial" w:cs="Arial"/>
          <w:lang w:val="en-GB"/>
        </w:rPr>
        <w:t>In cooperation with</w:t>
      </w:r>
      <w:r w:rsidR="00C7639E" w:rsidRPr="00311863">
        <w:rPr>
          <w:rFonts w:ascii="Arial" w:hAnsi="Arial" w:cs="Arial"/>
          <w:lang w:val="en-GB"/>
        </w:rPr>
        <w:t xml:space="preserve"> WHO, </w:t>
      </w:r>
      <w:r w:rsidR="00C7639E">
        <w:rPr>
          <w:rFonts w:ascii="Arial" w:hAnsi="Arial" w:cs="Arial"/>
          <w:lang w:val="en-GB"/>
        </w:rPr>
        <w:t xml:space="preserve">the </w:t>
      </w:r>
      <w:r w:rsidR="00C7639E" w:rsidRPr="00311863">
        <w:rPr>
          <w:rFonts w:ascii="Arial" w:hAnsi="Arial" w:cs="Arial"/>
          <w:lang w:val="en-GB"/>
        </w:rPr>
        <w:t>M</w:t>
      </w:r>
      <w:r w:rsidR="00C7639E">
        <w:rPr>
          <w:rFonts w:ascii="Arial" w:hAnsi="Arial" w:cs="Arial"/>
          <w:lang w:val="en-GB"/>
        </w:rPr>
        <w:t xml:space="preserve">inistry of Health initiated </w:t>
      </w:r>
      <w:r w:rsidR="007043D5">
        <w:rPr>
          <w:rFonts w:ascii="Arial" w:hAnsi="Arial" w:cs="Arial"/>
          <w:lang w:val="en-GB"/>
        </w:rPr>
        <w:t>the assessment of</w:t>
      </w:r>
      <w:r w:rsidR="00C7639E" w:rsidRPr="00311863">
        <w:rPr>
          <w:rFonts w:ascii="Arial" w:hAnsi="Arial" w:cs="Arial"/>
          <w:lang w:val="en-GB"/>
        </w:rPr>
        <w:t xml:space="preserve"> catastrophic health payments </w:t>
      </w:r>
      <w:r w:rsidR="00C7639E">
        <w:rPr>
          <w:rFonts w:ascii="Arial" w:hAnsi="Arial" w:cs="Arial"/>
          <w:lang w:val="en-GB"/>
        </w:rPr>
        <w:t>in Mongolia using</w:t>
      </w:r>
      <w:r w:rsidR="00C7639E" w:rsidRPr="00311863">
        <w:rPr>
          <w:rFonts w:ascii="Arial" w:hAnsi="Arial" w:cs="Arial"/>
          <w:lang w:val="en-GB"/>
        </w:rPr>
        <w:t xml:space="preserve"> </w:t>
      </w:r>
      <w:r w:rsidR="00C7639E">
        <w:rPr>
          <w:rFonts w:ascii="Arial" w:hAnsi="Arial" w:cs="Arial"/>
          <w:lang w:val="en-GB"/>
        </w:rPr>
        <w:t xml:space="preserve">datasets of </w:t>
      </w:r>
      <w:r w:rsidR="00C7639E" w:rsidRPr="00311863">
        <w:rPr>
          <w:rFonts w:ascii="Arial" w:hAnsi="Arial" w:cs="Arial"/>
          <w:lang w:val="en-GB"/>
        </w:rPr>
        <w:t>the H</w:t>
      </w:r>
      <w:r w:rsidR="00C7639E">
        <w:rPr>
          <w:rFonts w:ascii="Arial" w:hAnsi="Arial" w:cs="Arial"/>
          <w:lang w:val="en-GB"/>
        </w:rPr>
        <w:t xml:space="preserve">ousehold </w:t>
      </w:r>
      <w:r w:rsidR="00C7639E" w:rsidRPr="00311863">
        <w:rPr>
          <w:rFonts w:ascii="Arial" w:hAnsi="Arial" w:cs="Arial"/>
          <w:lang w:val="en-GB"/>
        </w:rPr>
        <w:t>S</w:t>
      </w:r>
      <w:r w:rsidR="00C7639E">
        <w:rPr>
          <w:rFonts w:ascii="Arial" w:hAnsi="Arial" w:cs="Arial"/>
          <w:lang w:val="en-GB"/>
        </w:rPr>
        <w:t xml:space="preserve">ocio </w:t>
      </w:r>
      <w:r w:rsidR="00C7639E" w:rsidRPr="00311863">
        <w:rPr>
          <w:rFonts w:ascii="Arial" w:hAnsi="Arial" w:cs="Arial"/>
          <w:lang w:val="en-GB"/>
        </w:rPr>
        <w:t>E</w:t>
      </w:r>
      <w:r w:rsidR="00C7639E">
        <w:rPr>
          <w:rFonts w:ascii="Arial" w:hAnsi="Arial" w:cs="Arial"/>
          <w:lang w:val="en-GB"/>
        </w:rPr>
        <w:t xml:space="preserve">conomic </w:t>
      </w:r>
      <w:r w:rsidR="00C7639E" w:rsidRPr="00311863">
        <w:rPr>
          <w:rFonts w:ascii="Arial" w:hAnsi="Arial" w:cs="Arial"/>
          <w:lang w:val="en-GB"/>
        </w:rPr>
        <w:t>S</w:t>
      </w:r>
      <w:r w:rsidR="00C7639E">
        <w:rPr>
          <w:rFonts w:ascii="Arial" w:hAnsi="Arial" w:cs="Arial"/>
          <w:lang w:val="en-GB"/>
        </w:rPr>
        <w:t xml:space="preserve">urvey </w:t>
      </w:r>
      <w:r w:rsidR="007043D5">
        <w:rPr>
          <w:rFonts w:ascii="Arial" w:hAnsi="Arial" w:cs="Arial"/>
          <w:lang w:val="en-GB"/>
        </w:rPr>
        <w:t xml:space="preserve">conducted in </w:t>
      </w:r>
      <w:r w:rsidR="00C7639E" w:rsidRPr="00311863">
        <w:rPr>
          <w:rFonts w:ascii="Arial" w:hAnsi="Arial" w:cs="Arial"/>
          <w:lang w:val="en-GB"/>
        </w:rPr>
        <w:t xml:space="preserve">2009. </w:t>
      </w:r>
      <w:r w:rsidR="00C7639E">
        <w:rPr>
          <w:rFonts w:ascii="Arial" w:hAnsi="Arial" w:cs="Arial"/>
          <w:lang w:val="en-GB"/>
        </w:rPr>
        <w:t xml:space="preserve">This study informed the policy makers and partners to inform the development and implementation of more equitable health policies and regulations and also contributed to the formulation of </w:t>
      </w:r>
      <w:r w:rsidR="00365494">
        <w:rPr>
          <w:rFonts w:ascii="Arial" w:hAnsi="Arial" w:cs="Arial"/>
          <w:lang w:val="en-GB"/>
        </w:rPr>
        <w:t>the S</w:t>
      </w:r>
      <w:r w:rsidR="00C7639E">
        <w:rPr>
          <w:rFonts w:ascii="Arial" w:hAnsi="Arial" w:cs="Arial"/>
          <w:lang w:val="en-GB"/>
        </w:rPr>
        <w:t xml:space="preserve">ocial health insurance law with </w:t>
      </w:r>
      <w:r w:rsidR="007043D5">
        <w:rPr>
          <w:rFonts w:ascii="Arial" w:hAnsi="Arial" w:cs="Arial"/>
          <w:lang w:val="en-GB"/>
        </w:rPr>
        <w:t xml:space="preserve">one of </w:t>
      </w:r>
      <w:r w:rsidR="00C7639E">
        <w:rPr>
          <w:rFonts w:ascii="Arial" w:hAnsi="Arial" w:cs="Arial"/>
          <w:lang w:val="en-GB"/>
        </w:rPr>
        <w:t>the focus</w:t>
      </w:r>
      <w:r w:rsidR="007043D5">
        <w:rPr>
          <w:rFonts w:ascii="Arial" w:hAnsi="Arial" w:cs="Arial"/>
          <w:lang w:val="en-GB"/>
        </w:rPr>
        <w:t xml:space="preserve"> is</w:t>
      </w:r>
      <w:r w:rsidR="00C7639E">
        <w:rPr>
          <w:rFonts w:ascii="Arial" w:hAnsi="Arial" w:cs="Arial"/>
          <w:lang w:val="en-GB"/>
        </w:rPr>
        <w:t xml:space="preserve"> to reduce out of pocket health payments</w:t>
      </w:r>
      <w:r w:rsidR="00365494">
        <w:rPr>
          <w:rFonts w:ascii="Arial" w:hAnsi="Arial" w:cs="Arial"/>
          <w:lang w:val="en-GB"/>
        </w:rPr>
        <w:t xml:space="preserve"> by the population</w:t>
      </w:r>
      <w:r w:rsidR="00C7639E">
        <w:rPr>
          <w:rFonts w:ascii="Arial" w:hAnsi="Arial" w:cs="Arial"/>
          <w:lang w:val="en-GB"/>
        </w:rPr>
        <w:t>.</w:t>
      </w:r>
    </w:p>
    <w:p w14:paraId="672D9FD2" w14:textId="77777777" w:rsidR="00C7639E" w:rsidRDefault="00C7639E" w:rsidP="00C7639E">
      <w:pPr>
        <w:jc w:val="both"/>
        <w:rPr>
          <w:rFonts w:ascii="Arial" w:hAnsi="Arial" w:cs="Arial"/>
          <w:lang w:val="en-GB"/>
        </w:rPr>
      </w:pPr>
    </w:p>
    <w:p w14:paraId="5C59289C" w14:textId="350E7376" w:rsidR="00C7639E" w:rsidRDefault="00C7639E" w:rsidP="00C7639E">
      <w:pPr>
        <w:jc w:val="both"/>
        <w:rPr>
          <w:rFonts w:ascii="Arial" w:hAnsi="Arial" w:cs="Arial"/>
          <w:lang w:val="en-GB"/>
        </w:rPr>
      </w:pPr>
      <w:r>
        <w:rPr>
          <w:rFonts w:ascii="Arial" w:hAnsi="Arial" w:cs="Arial"/>
          <w:lang w:val="en-GB"/>
        </w:rPr>
        <w:t xml:space="preserve">Further assessment and evidences on the catastrophic and impoverishing health payments </w:t>
      </w:r>
      <w:r w:rsidR="00365494">
        <w:rPr>
          <w:rFonts w:ascii="Arial" w:hAnsi="Arial" w:cs="Arial"/>
          <w:lang w:val="en-GB"/>
        </w:rPr>
        <w:t>and</w:t>
      </w:r>
      <w:r>
        <w:rPr>
          <w:rFonts w:ascii="Arial" w:hAnsi="Arial" w:cs="Arial"/>
          <w:lang w:val="en-GB"/>
        </w:rPr>
        <w:t xml:space="preserve"> the benefit incidence of government spending on health </w:t>
      </w:r>
      <w:r w:rsidR="007043D5">
        <w:rPr>
          <w:rFonts w:ascii="Arial" w:hAnsi="Arial" w:cs="Arial"/>
          <w:lang w:val="en-GB"/>
        </w:rPr>
        <w:t>will be</w:t>
      </w:r>
      <w:r>
        <w:rPr>
          <w:rFonts w:ascii="Arial" w:hAnsi="Arial" w:cs="Arial"/>
          <w:lang w:val="en-GB"/>
        </w:rPr>
        <w:t xml:space="preserve"> an important effort to maintain </w:t>
      </w:r>
      <w:r w:rsidR="00365494">
        <w:rPr>
          <w:rFonts w:ascii="Arial" w:hAnsi="Arial" w:cs="Arial"/>
          <w:lang w:val="en-GB"/>
        </w:rPr>
        <w:t xml:space="preserve">overall </w:t>
      </w:r>
      <w:r>
        <w:rPr>
          <w:rFonts w:ascii="Arial" w:hAnsi="Arial" w:cs="Arial"/>
          <w:lang w:val="en-GB"/>
        </w:rPr>
        <w:t xml:space="preserve">policy objectives </w:t>
      </w:r>
      <w:r w:rsidR="00365494">
        <w:rPr>
          <w:rFonts w:ascii="Arial" w:hAnsi="Arial" w:cs="Arial"/>
          <w:lang w:val="en-GB"/>
        </w:rPr>
        <w:t xml:space="preserve">of ensuring access to health services without financial catastrophe and also </w:t>
      </w:r>
      <w:r>
        <w:rPr>
          <w:rFonts w:ascii="Arial" w:hAnsi="Arial" w:cs="Arial"/>
          <w:lang w:val="en-GB"/>
        </w:rPr>
        <w:t xml:space="preserve">targeted to reducing associated burden to affected people including the poor and vulnerable. Therefore, this report presents the results of health services utilization, catastrophic health expenditure, impoverishing health expenditure and benefit incidence of government health spending </w:t>
      </w:r>
      <w:r w:rsidR="007043D5">
        <w:rPr>
          <w:rFonts w:ascii="Arial" w:hAnsi="Arial" w:cs="Arial"/>
          <w:lang w:val="en-GB"/>
        </w:rPr>
        <w:t xml:space="preserve">in Mongolia </w:t>
      </w:r>
      <w:r>
        <w:rPr>
          <w:rFonts w:ascii="Arial" w:hAnsi="Arial" w:cs="Arial"/>
          <w:lang w:val="en-GB"/>
        </w:rPr>
        <w:t xml:space="preserve">based on </w:t>
      </w:r>
      <w:r w:rsidR="007043D5">
        <w:rPr>
          <w:rFonts w:ascii="Arial" w:hAnsi="Arial" w:cs="Arial"/>
          <w:lang w:val="en-GB"/>
        </w:rPr>
        <w:t>national</w:t>
      </w:r>
      <w:r>
        <w:rPr>
          <w:rFonts w:ascii="Arial" w:hAnsi="Arial" w:cs="Arial"/>
          <w:lang w:val="en-GB"/>
        </w:rPr>
        <w:t xml:space="preserve"> Household Socio-Economic surveys conducted in 2010</w:t>
      </w:r>
      <w:r w:rsidR="00365494">
        <w:rPr>
          <w:rFonts w:ascii="Arial" w:hAnsi="Arial" w:cs="Arial"/>
          <w:lang w:val="en-GB"/>
        </w:rPr>
        <w:t xml:space="preserve">, 2011 and </w:t>
      </w:r>
      <w:r>
        <w:rPr>
          <w:rFonts w:ascii="Arial" w:hAnsi="Arial" w:cs="Arial"/>
          <w:lang w:val="en-GB"/>
        </w:rPr>
        <w:t>2012.</w:t>
      </w:r>
      <w:r w:rsidR="00ED7AE3">
        <w:rPr>
          <w:rFonts w:ascii="Arial" w:hAnsi="Arial" w:cs="Arial"/>
          <w:lang w:val="en-GB"/>
        </w:rPr>
        <w:t xml:space="preserve"> The report will also use HSES 2009 results </w:t>
      </w:r>
      <w:r w:rsidR="007043D5">
        <w:rPr>
          <w:rFonts w:ascii="Arial" w:hAnsi="Arial" w:cs="Arial"/>
          <w:lang w:val="en-GB"/>
        </w:rPr>
        <w:t xml:space="preserve">to provide some comparative overview </w:t>
      </w:r>
      <w:r w:rsidR="00ED7AE3">
        <w:rPr>
          <w:rFonts w:ascii="Arial" w:hAnsi="Arial" w:cs="Arial"/>
          <w:lang w:val="en-GB"/>
        </w:rPr>
        <w:t xml:space="preserve">over </w:t>
      </w:r>
      <w:r w:rsidR="007043D5">
        <w:rPr>
          <w:rFonts w:ascii="Arial" w:hAnsi="Arial" w:cs="Arial"/>
          <w:lang w:val="en-GB"/>
        </w:rPr>
        <w:t>time</w:t>
      </w:r>
      <w:r w:rsidR="00ED7AE3">
        <w:rPr>
          <w:rFonts w:ascii="Arial" w:hAnsi="Arial" w:cs="Arial"/>
          <w:lang w:val="en-GB"/>
        </w:rPr>
        <w:t>.</w:t>
      </w:r>
    </w:p>
    <w:p w14:paraId="6377C309" w14:textId="77777777" w:rsidR="00C7639E" w:rsidRDefault="00C7639E" w:rsidP="00C7639E">
      <w:pPr>
        <w:jc w:val="both"/>
        <w:rPr>
          <w:rFonts w:ascii="Arial" w:hAnsi="Arial" w:cs="Arial"/>
          <w:lang w:val="en-GB"/>
        </w:rPr>
      </w:pPr>
    </w:p>
    <w:p w14:paraId="0C20E1F8" w14:textId="1A0DAFA6" w:rsidR="00C7639E" w:rsidRDefault="00C7639E" w:rsidP="00C7639E">
      <w:pPr>
        <w:jc w:val="both"/>
        <w:rPr>
          <w:rFonts w:ascii="Arial" w:hAnsi="Arial" w:cs="Arial"/>
          <w:lang w:val="en-GB"/>
        </w:rPr>
      </w:pPr>
      <w:r>
        <w:rPr>
          <w:rFonts w:ascii="Arial" w:hAnsi="Arial" w:cs="Arial"/>
          <w:lang w:val="en-GB"/>
        </w:rPr>
        <w:t xml:space="preserve">The analytical methodology is the WHO developed approach </w:t>
      </w:r>
      <w:r w:rsidR="00365494">
        <w:rPr>
          <w:rFonts w:ascii="Arial" w:hAnsi="Arial" w:cs="Arial"/>
          <w:lang w:val="en-GB"/>
        </w:rPr>
        <w:t xml:space="preserve">that </w:t>
      </w:r>
      <w:r w:rsidR="00713C53">
        <w:rPr>
          <w:rFonts w:ascii="Arial" w:hAnsi="Arial" w:cs="Arial"/>
          <w:lang w:val="en-GB"/>
        </w:rPr>
        <w:t xml:space="preserve">is published in </w:t>
      </w:r>
      <w:r>
        <w:rPr>
          <w:rFonts w:ascii="Arial" w:hAnsi="Arial" w:cs="Arial"/>
          <w:lang w:val="en-GB"/>
        </w:rPr>
        <w:t xml:space="preserve">“Distribution of health payments </w:t>
      </w:r>
      <w:r w:rsidR="007043D5">
        <w:rPr>
          <w:rFonts w:ascii="Arial" w:hAnsi="Arial" w:cs="Arial"/>
          <w:lang w:val="en-GB"/>
        </w:rPr>
        <w:t xml:space="preserve">and catastrophic expenditures”, </w:t>
      </w:r>
      <w:r>
        <w:rPr>
          <w:rFonts w:ascii="Arial" w:hAnsi="Arial" w:cs="Arial"/>
          <w:lang w:val="en-GB"/>
        </w:rPr>
        <w:t xml:space="preserve">2005. For estimation of benefit incidence of government health subsidy we used EQUITAP </w:t>
      </w:r>
      <w:r>
        <w:rPr>
          <w:rFonts w:ascii="Arial" w:hAnsi="Arial" w:cs="Arial"/>
          <w:lang w:val="en-GB"/>
        </w:rPr>
        <w:lastRenderedPageBreak/>
        <w:t xml:space="preserve">guide developed using </w:t>
      </w:r>
      <w:r w:rsidR="007043D5">
        <w:rPr>
          <w:rFonts w:ascii="Arial" w:hAnsi="Arial" w:cs="Arial"/>
          <w:lang w:val="en-GB"/>
        </w:rPr>
        <w:t xml:space="preserve">the </w:t>
      </w:r>
      <w:r>
        <w:rPr>
          <w:rFonts w:ascii="Arial" w:hAnsi="Arial" w:cs="Arial"/>
          <w:lang w:val="en-GB"/>
        </w:rPr>
        <w:t>“Analysing health equity using household survey data”, the approach developed</w:t>
      </w:r>
      <w:r w:rsidR="007043D5">
        <w:rPr>
          <w:rFonts w:ascii="Arial" w:hAnsi="Arial" w:cs="Arial"/>
          <w:lang w:val="en-GB"/>
        </w:rPr>
        <w:t xml:space="preserve"> and published</w:t>
      </w:r>
      <w:r>
        <w:rPr>
          <w:rFonts w:ascii="Arial" w:hAnsi="Arial" w:cs="Arial"/>
          <w:lang w:val="en-GB"/>
        </w:rPr>
        <w:t xml:space="preserve"> by the World Bank</w:t>
      </w:r>
      <w:r w:rsidR="005A315D">
        <w:rPr>
          <w:rStyle w:val="FootnoteReference"/>
          <w:rFonts w:ascii="Arial" w:hAnsi="Arial" w:cs="Arial"/>
          <w:lang w:val="en-GB"/>
        </w:rPr>
        <w:footnoteReference w:id="2"/>
      </w:r>
      <w:r w:rsidR="007043D5">
        <w:rPr>
          <w:rFonts w:ascii="Arial" w:hAnsi="Arial" w:cs="Arial"/>
          <w:lang w:val="en-GB"/>
        </w:rPr>
        <w:t xml:space="preserve"> in 2008</w:t>
      </w:r>
      <w:r>
        <w:rPr>
          <w:rFonts w:ascii="Arial" w:hAnsi="Arial" w:cs="Arial"/>
          <w:lang w:val="en-GB"/>
        </w:rPr>
        <w:t>.</w:t>
      </w:r>
    </w:p>
    <w:p w14:paraId="5C890677" w14:textId="1A18322C" w:rsidR="00A75F22" w:rsidRDefault="00C7639E" w:rsidP="00A75F22">
      <w:pPr>
        <w:jc w:val="both"/>
        <w:rPr>
          <w:rFonts w:ascii="Arial" w:hAnsi="Arial" w:cs="Arial"/>
          <w:lang w:val="en-GB"/>
        </w:rPr>
      </w:pPr>
      <w:r>
        <w:rPr>
          <w:rFonts w:ascii="Arial" w:hAnsi="Arial" w:cs="Arial"/>
          <w:lang w:val="en-GB"/>
        </w:rPr>
        <w:t xml:space="preserve">This report is structured as follows: 1) overview of the health system over the last ten years, 2) survey design, data description and construction of key variables, 3) results of analysis, and </w:t>
      </w:r>
      <w:r w:rsidR="007043D5">
        <w:rPr>
          <w:rFonts w:ascii="Arial" w:hAnsi="Arial" w:cs="Arial"/>
          <w:lang w:val="en-GB"/>
        </w:rPr>
        <w:t xml:space="preserve">4) </w:t>
      </w:r>
      <w:r>
        <w:rPr>
          <w:rFonts w:ascii="Arial" w:hAnsi="Arial" w:cs="Arial"/>
          <w:lang w:val="en-GB"/>
        </w:rPr>
        <w:t>discussion and policy recommendations.</w:t>
      </w:r>
    </w:p>
    <w:p w14:paraId="2BF8FF45" w14:textId="77777777" w:rsidR="00A75F22" w:rsidRDefault="00A75F22" w:rsidP="00A75F22">
      <w:pPr>
        <w:jc w:val="both"/>
        <w:rPr>
          <w:lang w:val="en-GB"/>
        </w:rPr>
      </w:pPr>
    </w:p>
    <w:p w14:paraId="58E910A0" w14:textId="2D4984AC" w:rsidR="00FB368A" w:rsidRPr="00A75F22" w:rsidRDefault="00580844" w:rsidP="00A75F22">
      <w:pPr>
        <w:pStyle w:val="Heading2"/>
        <w:rPr>
          <w:rFonts w:ascii="Arial" w:hAnsi="Arial" w:cs="Arial"/>
          <w:lang w:val="en-GB"/>
        </w:rPr>
      </w:pPr>
      <w:bookmarkStart w:id="2" w:name="_Toc305764298"/>
      <w:r>
        <w:rPr>
          <w:lang w:val="en-GB"/>
        </w:rPr>
        <w:t>Overview of the health system</w:t>
      </w:r>
      <w:r w:rsidR="007043D5">
        <w:rPr>
          <w:lang w:val="en-GB"/>
        </w:rPr>
        <w:t xml:space="preserve"> in Mongolia</w:t>
      </w:r>
      <w:bookmarkEnd w:id="2"/>
    </w:p>
    <w:p w14:paraId="002FB820" w14:textId="77777777" w:rsidR="00580844" w:rsidRDefault="00580844" w:rsidP="00A844C9">
      <w:pPr>
        <w:jc w:val="both"/>
        <w:rPr>
          <w:rFonts w:ascii="Arial" w:hAnsi="Arial" w:cs="Arial"/>
        </w:rPr>
      </w:pPr>
    </w:p>
    <w:p w14:paraId="41B7499D" w14:textId="77777777" w:rsidR="00C011B2" w:rsidRDefault="00C011B2" w:rsidP="00A844C9">
      <w:pPr>
        <w:pStyle w:val="Heading3"/>
        <w:spacing w:before="0"/>
      </w:pPr>
      <w:bookmarkStart w:id="3" w:name="_Toc305764299"/>
      <w:r>
        <w:t>Health service delivery and governance</w:t>
      </w:r>
      <w:bookmarkEnd w:id="3"/>
    </w:p>
    <w:p w14:paraId="2F8FE966" w14:textId="77777777" w:rsidR="00C011B2" w:rsidRPr="003550B2" w:rsidRDefault="00C011B2" w:rsidP="003550B2">
      <w:pPr>
        <w:jc w:val="both"/>
        <w:rPr>
          <w:rFonts w:ascii="Arial" w:hAnsi="Arial"/>
        </w:rPr>
      </w:pPr>
    </w:p>
    <w:p w14:paraId="3EF9BC5B" w14:textId="55C005E6" w:rsidR="003550B2" w:rsidRPr="003550B2" w:rsidRDefault="00C7639E" w:rsidP="003550B2">
      <w:pPr>
        <w:widowControl w:val="0"/>
        <w:autoSpaceDE w:val="0"/>
        <w:autoSpaceDN w:val="0"/>
        <w:adjustRightInd w:val="0"/>
        <w:jc w:val="both"/>
        <w:rPr>
          <w:rFonts w:ascii="Arial" w:eastAsiaTheme="minorEastAsia" w:hAnsi="Arial"/>
        </w:rPr>
      </w:pPr>
      <w:r>
        <w:rPr>
          <w:rFonts w:ascii="Arial" w:hAnsi="Arial" w:cs="Arial"/>
        </w:rPr>
        <w:t xml:space="preserve">The </w:t>
      </w:r>
      <w:r w:rsidR="00270C90" w:rsidRPr="003550B2">
        <w:rPr>
          <w:rFonts w:ascii="Arial" w:hAnsi="Arial" w:cs="Arial"/>
        </w:rPr>
        <w:t xml:space="preserve">Mongolian health system </w:t>
      </w:r>
      <w:r w:rsidR="0009094F">
        <w:rPr>
          <w:rFonts w:ascii="Arial" w:hAnsi="Arial" w:cs="Arial"/>
        </w:rPr>
        <w:t xml:space="preserve">is </w:t>
      </w:r>
      <w:r w:rsidR="00DB5FFB">
        <w:rPr>
          <w:rFonts w:ascii="Arial" w:hAnsi="Arial" w:cs="Arial"/>
        </w:rPr>
        <w:t>organized</w:t>
      </w:r>
      <w:r w:rsidR="0037048F" w:rsidRPr="003550B2">
        <w:rPr>
          <w:rFonts w:ascii="Arial" w:hAnsi="Arial" w:cs="Arial"/>
        </w:rPr>
        <w:t xml:space="preserve"> to </w:t>
      </w:r>
      <w:r w:rsidR="00270C90" w:rsidRPr="003550B2">
        <w:rPr>
          <w:rFonts w:ascii="Arial" w:hAnsi="Arial" w:cs="Arial"/>
        </w:rPr>
        <w:t>provi</w:t>
      </w:r>
      <w:r w:rsidR="0037048F" w:rsidRPr="003550B2">
        <w:rPr>
          <w:rFonts w:ascii="Arial" w:hAnsi="Arial" w:cs="Arial"/>
        </w:rPr>
        <w:t xml:space="preserve">de nationwide </w:t>
      </w:r>
      <w:r w:rsidR="00270C90" w:rsidRPr="003550B2">
        <w:rPr>
          <w:rFonts w:ascii="Arial" w:hAnsi="Arial" w:cs="Arial"/>
        </w:rPr>
        <w:t xml:space="preserve">service delivery </w:t>
      </w:r>
      <w:r w:rsidR="0037518B" w:rsidRPr="003550B2">
        <w:rPr>
          <w:rFonts w:ascii="Arial" w:hAnsi="Arial" w:cs="Arial"/>
        </w:rPr>
        <w:t>through primary health care facilities down to the l</w:t>
      </w:r>
      <w:r w:rsidR="00840C10" w:rsidRPr="003550B2">
        <w:rPr>
          <w:rFonts w:ascii="Arial" w:hAnsi="Arial" w:cs="Arial"/>
        </w:rPr>
        <w:t>owest administrative unit</w:t>
      </w:r>
      <w:r w:rsidR="0037518B" w:rsidRPr="003550B2">
        <w:rPr>
          <w:rFonts w:ascii="Arial" w:hAnsi="Arial" w:cs="Arial"/>
        </w:rPr>
        <w:t>,</w:t>
      </w:r>
      <w:r w:rsidR="00270C90" w:rsidRPr="003550B2">
        <w:rPr>
          <w:rFonts w:ascii="Arial" w:hAnsi="Arial" w:cs="Arial"/>
        </w:rPr>
        <w:t xml:space="preserve"> a large hospital sector</w:t>
      </w:r>
      <w:r w:rsidR="0037518B" w:rsidRPr="003550B2">
        <w:rPr>
          <w:rFonts w:ascii="Arial" w:hAnsi="Arial" w:cs="Arial"/>
        </w:rPr>
        <w:t xml:space="preserve"> </w:t>
      </w:r>
      <w:r w:rsidR="00C011B2" w:rsidRPr="003550B2">
        <w:rPr>
          <w:rFonts w:ascii="Arial" w:hAnsi="Arial" w:cs="Arial"/>
        </w:rPr>
        <w:t xml:space="preserve">in urban areas </w:t>
      </w:r>
      <w:r w:rsidR="005A7A96" w:rsidRPr="003550B2">
        <w:rPr>
          <w:rFonts w:ascii="Arial" w:hAnsi="Arial" w:cs="Arial"/>
        </w:rPr>
        <w:t xml:space="preserve">and growing private </w:t>
      </w:r>
      <w:r w:rsidR="0037518B" w:rsidRPr="003550B2">
        <w:rPr>
          <w:rFonts w:ascii="Arial" w:hAnsi="Arial" w:cs="Arial"/>
        </w:rPr>
        <w:t>care providers</w:t>
      </w:r>
      <w:r w:rsidR="00791759">
        <w:rPr>
          <w:rFonts w:ascii="Arial" w:hAnsi="Arial" w:cs="Arial"/>
        </w:rPr>
        <w:t xml:space="preserve"> mainly in </w:t>
      </w:r>
      <w:proofErr w:type="spellStart"/>
      <w:r w:rsidR="00791759">
        <w:rPr>
          <w:rFonts w:ascii="Arial" w:hAnsi="Arial" w:cs="Arial"/>
        </w:rPr>
        <w:t>aimag</w:t>
      </w:r>
      <w:proofErr w:type="spellEnd"/>
      <w:r w:rsidR="00791759">
        <w:rPr>
          <w:rFonts w:ascii="Arial" w:hAnsi="Arial" w:cs="Arial"/>
        </w:rPr>
        <w:t xml:space="preserve"> centers and the capital city</w:t>
      </w:r>
      <w:r w:rsidR="0037518B" w:rsidRPr="003550B2">
        <w:rPr>
          <w:rFonts w:ascii="Arial" w:hAnsi="Arial" w:cs="Arial"/>
        </w:rPr>
        <w:t xml:space="preserve">. </w:t>
      </w:r>
    </w:p>
    <w:p w14:paraId="0DBBC1C8" w14:textId="77777777" w:rsidR="00165FD8" w:rsidRDefault="00165FD8" w:rsidP="00FB368A">
      <w:pPr>
        <w:jc w:val="both"/>
        <w:rPr>
          <w:rFonts w:ascii="Arial" w:hAnsi="Arial" w:cs="Arial"/>
        </w:rPr>
      </w:pPr>
    </w:p>
    <w:p w14:paraId="7705DD82" w14:textId="12265012" w:rsidR="0006166C" w:rsidRDefault="0006166C" w:rsidP="0006166C">
      <w:pPr>
        <w:widowControl w:val="0"/>
        <w:autoSpaceDE w:val="0"/>
        <w:autoSpaceDN w:val="0"/>
        <w:adjustRightInd w:val="0"/>
        <w:jc w:val="both"/>
        <w:rPr>
          <w:rFonts w:ascii="Arial" w:hAnsi="Arial" w:cs="Arial"/>
        </w:rPr>
      </w:pPr>
      <w:r>
        <w:rPr>
          <w:rFonts w:ascii="Arial" w:hAnsi="Arial" w:cs="Arial"/>
        </w:rPr>
        <w:t>T</w:t>
      </w:r>
      <w:r w:rsidRPr="003550B2">
        <w:rPr>
          <w:rFonts w:ascii="Arial" w:hAnsi="Arial" w:cs="Arial"/>
        </w:rPr>
        <w:t>hroughout the last 15 years</w:t>
      </w:r>
      <w:r w:rsidR="0009094F">
        <w:rPr>
          <w:rFonts w:ascii="Arial" w:hAnsi="Arial" w:cs="Arial"/>
        </w:rPr>
        <w:t>,</w:t>
      </w:r>
      <w:r w:rsidRPr="003550B2">
        <w:rPr>
          <w:rFonts w:ascii="Arial" w:hAnsi="Arial" w:cs="Arial"/>
        </w:rPr>
        <w:t xml:space="preserve"> more efforts have been made to strengthen th</w:t>
      </w:r>
      <w:r>
        <w:rPr>
          <w:rFonts w:ascii="Arial" w:hAnsi="Arial" w:cs="Arial"/>
        </w:rPr>
        <w:t>e primary health care providers</w:t>
      </w:r>
      <w:r w:rsidRPr="003550B2">
        <w:rPr>
          <w:rFonts w:ascii="Arial" w:hAnsi="Arial" w:cs="Arial"/>
        </w:rPr>
        <w:t xml:space="preserve">. </w:t>
      </w:r>
      <w:r w:rsidR="00C7639E">
        <w:rPr>
          <w:rFonts w:ascii="Arial" w:hAnsi="Arial" w:cs="Arial"/>
        </w:rPr>
        <w:t xml:space="preserve">During </w:t>
      </w:r>
      <w:r w:rsidR="00C7639E">
        <w:rPr>
          <w:rFonts w:ascii="Arial" w:hAnsi="Arial" w:cs="Arial"/>
          <w:bCs/>
        </w:rPr>
        <w:t>l</w:t>
      </w:r>
      <w:r w:rsidR="00CA1ECA">
        <w:rPr>
          <w:rFonts w:ascii="Arial" w:hAnsi="Arial" w:cs="Arial"/>
          <w:bCs/>
        </w:rPr>
        <w:t>ate 1990s</w:t>
      </w:r>
      <w:r w:rsidR="00C7639E">
        <w:rPr>
          <w:rFonts w:ascii="Arial" w:hAnsi="Arial" w:cs="Arial"/>
          <w:bCs/>
        </w:rPr>
        <w:t>,</w:t>
      </w:r>
      <w:r w:rsidR="00CA1ECA">
        <w:rPr>
          <w:rFonts w:ascii="Arial" w:hAnsi="Arial" w:cs="Arial"/>
          <w:bCs/>
        </w:rPr>
        <w:t xml:space="preserve"> the government rationalized the health care facilities and established </w:t>
      </w:r>
      <w:r w:rsidR="00DB5FFB">
        <w:rPr>
          <w:rFonts w:ascii="Arial" w:hAnsi="Arial" w:cs="Arial"/>
          <w:bCs/>
        </w:rPr>
        <w:t>private</w:t>
      </w:r>
      <w:r>
        <w:rPr>
          <w:rFonts w:ascii="Arial" w:hAnsi="Arial" w:cs="Arial"/>
          <w:bCs/>
        </w:rPr>
        <w:t>ly run</w:t>
      </w:r>
      <w:r w:rsidR="00DB5FFB">
        <w:rPr>
          <w:rFonts w:ascii="Arial" w:hAnsi="Arial" w:cs="Arial"/>
          <w:bCs/>
        </w:rPr>
        <w:t xml:space="preserve"> </w:t>
      </w:r>
      <w:r w:rsidR="00CA1ECA">
        <w:rPr>
          <w:rFonts w:ascii="Arial" w:hAnsi="Arial" w:cs="Arial"/>
          <w:bCs/>
        </w:rPr>
        <w:t>Family group practices b</w:t>
      </w:r>
      <w:r>
        <w:rPr>
          <w:rFonts w:ascii="Arial" w:hAnsi="Arial" w:cs="Arial"/>
          <w:bCs/>
        </w:rPr>
        <w:t xml:space="preserve">uilding </w:t>
      </w:r>
      <w:r w:rsidR="00CA1ECA">
        <w:rPr>
          <w:rFonts w:ascii="Arial" w:hAnsi="Arial" w:cs="Arial"/>
          <w:bCs/>
        </w:rPr>
        <w:t>on family care delivery system of the previous system</w:t>
      </w:r>
      <w:r>
        <w:rPr>
          <w:rFonts w:ascii="Arial" w:hAnsi="Arial" w:cs="Arial"/>
          <w:bCs/>
        </w:rPr>
        <w:t>.</w:t>
      </w:r>
      <w:r w:rsidRPr="0006166C">
        <w:rPr>
          <w:rFonts w:ascii="Arial" w:hAnsi="Arial" w:cs="Arial"/>
        </w:rPr>
        <w:t xml:space="preserve"> </w:t>
      </w:r>
      <w:r w:rsidR="00F062A9">
        <w:rPr>
          <w:rFonts w:ascii="Arial" w:hAnsi="Arial" w:cs="Arial"/>
        </w:rPr>
        <w:t>Rural</w:t>
      </w:r>
      <w:r>
        <w:rPr>
          <w:rFonts w:ascii="Arial" w:hAnsi="Arial" w:cs="Arial"/>
        </w:rPr>
        <w:t xml:space="preserve"> hospitals were restructured and reconstructed into health centers </w:t>
      </w:r>
      <w:r>
        <w:rPr>
          <w:rFonts w:ascii="Arial" w:eastAsiaTheme="minorEastAsia" w:hAnsi="Arial"/>
        </w:rPr>
        <w:t>and</w:t>
      </w:r>
      <w:r w:rsidRPr="003550B2">
        <w:rPr>
          <w:rFonts w:ascii="Arial" w:eastAsiaTheme="minorEastAsia" w:hAnsi="Arial"/>
        </w:rPr>
        <w:t xml:space="preserve"> there are thre</w:t>
      </w:r>
      <w:r>
        <w:rPr>
          <w:rFonts w:ascii="Arial" w:eastAsiaTheme="minorEastAsia" w:hAnsi="Arial"/>
        </w:rPr>
        <w:t>e</w:t>
      </w:r>
      <w:r w:rsidRPr="003550B2">
        <w:rPr>
          <w:rFonts w:ascii="Arial" w:eastAsiaTheme="minorEastAsia" w:hAnsi="Arial"/>
        </w:rPr>
        <w:t xml:space="preserve"> categories of </w:t>
      </w:r>
      <w:proofErr w:type="spellStart"/>
      <w:r w:rsidRPr="003550B2">
        <w:rPr>
          <w:rFonts w:ascii="Arial" w:eastAsiaTheme="minorEastAsia" w:hAnsi="Arial"/>
        </w:rPr>
        <w:t>soum</w:t>
      </w:r>
      <w:proofErr w:type="spellEnd"/>
      <w:r w:rsidRPr="003550B2">
        <w:rPr>
          <w:rFonts w:ascii="Arial" w:eastAsiaTheme="minorEastAsia" w:hAnsi="Arial"/>
        </w:rPr>
        <w:t xml:space="preserve"> </w:t>
      </w:r>
      <w:r>
        <w:rPr>
          <w:rFonts w:ascii="Arial" w:eastAsiaTheme="minorEastAsia" w:hAnsi="Arial"/>
        </w:rPr>
        <w:t xml:space="preserve">health centers </w:t>
      </w:r>
      <w:r w:rsidRPr="003550B2">
        <w:rPr>
          <w:rFonts w:ascii="Arial" w:eastAsiaTheme="minorEastAsia" w:hAnsi="Arial"/>
        </w:rPr>
        <w:t>depending on the size of catchment populatio</w:t>
      </w:r>
      <w:r>
        <w:rPr>
          <w:rFonts w:ascii="Arial" w:eastAsiaTheme="minorEastAsia" w:hAnsi="Arial"/>
        </w:rPr>
        <w:t xml:space="preserve">n. </w:t>
      </w:r>
      <w:r>
        <w:rPr>
          <w:rFonts w:ascii="Arial" w:hAnsi="Arial" w:cs="Arial"/>
        </w:rPr>
        <w:t>In 2003 and 2013, p</w:t>
      </w:r>
      <w:r w:rsidRPr="003550B2">
        <w:rPr>
          <w:rFonts w:ascii="Arial" w:hAnsi="Arial" w:cs="Arial"/>
        </w:rPr>
        <w:t>olicy documents to improve primary health care facilities have been approved and national standard</w:t>
      </w:r>
      <w:r w:rsidR="00F062A9">
        <w:rPr>
          <w:rFonts w:ascii="Arial" w:hAnsi="Arial" w:cs="Arial"/>
        </w:rPr>
        <w:t>s</w:t>
      </w:r>
      <w:r w:rsidRPr="003550B2">
        <w:rPr>
          <w:rFonts w:ascii="Arial" w:hAnsi="Arial" w:cs="Arial"/>
        </w:rPr>
        <w:t xml:space="preserve"> and by laws have been revised. </w:t>
      </w:r>
      <w:r w:rsidR="007043D5">
        <w:rPr>
          <w:rFonts w:ascii="Arial" w:hAnsi="Arial" w:cs="Arial"/>
        </w:rPr>
        <w:t>The latter revision of policies and standards aimed to redirect the operation focus of these health facilities from curative to more preventive care.</w:t>
      </w:r>
    </w:p>
    <w:p w14:paraId="370FCBD9" w14:textId="77777777" w:rsidR="0006166C" w:rsidRDefault="0006166C" w:rsidP="0006166C">
      <w:pPr>
        <w:widowControl w:val="0"/>
        <w:autoSpaceDE w:val="0"/>
        <w:autoSpaceDN w:val="0"/>
        <w:adjustRightInd w:val="0"/>
        <w:jc w:val="both"/>
        <w:rPr>
          <w:rFonts w:ascii="Arial" w:hAnsi="Arial" w:cs="Arial"/>
        </w:rPr>
      </w:pPr>
    </w:p>
    <w:p w14:paraId="740C14FA" w14:textId="5F60FC99" w:rsidR="00A552CB" w:rsidRDefault="00620F20" w:rsidP="00FB368A">
      <w:pPr>
        <w:jc w:val="both"/>
        <w:rPr>
          <w:rFonts w:ascii="Arial" w:hAnsi="Arial" w:cs="Arial"/>
          <w:bCs/>
        </w:rPr>
      </w:pPr>
      <w:r>
        <w:rPr>
          <w:rFonts w:ascii="Arial" w:hAnsi="Arial" w:cs="Arial"/>
          <w:color w:val="000000"/>
        </w:rPr>
        <w:t>Since 2000s, p</w:t>
      </w:r>
      <w:r w:rsidR="00A552CB" w:rsidRPr="008B1965">
        <w:rPr>
          <w:rFonts w:ascii="Arial" w:hAnsi="Arial" w:cs="Arial"/>
          <w:color w:val="000000"/>
        </w:rPr>
        <w:t xml:space="preserve">ublic private partnership has received much attention and </w:t>
      </w:r>
      <w:r w:rsidR="00DB5FFB">
        <w:rPr>
          <w:rFonts w:ascii="Arial" w:hAnsi="Arial" w:cs="Arial"/>
          <w:color w:val="000000"/>
        </w:rPr>
        <w:t xml:space="preserve">the </w:t>
      </w:r>
      <w:r w:rsidR="00DB5FFB">
        <w:rPr>
          <w:rFonts w:ascii="Arial" w:hAnsi="Arial" w:cs="Arial"/>
          <w:bCs/>
        </w:rPr>
        <w:t>Government</w:t>
      </w:r>
      <w:r>
        <w:rPr>
          <w:rFonts w:ascii="Arial" w:hAnsi="Arial" w:cs="Arial"/>
          <w:bCs/>
        </w:rPr>
        <w:t xml:space="preserve"> </w:t>
      </w:r>
      <w:r w:rsidR="00DB5FFB">
        <w:rPr>
          <w:rFonts w:ascii="Arial" w:hAnsi="Arial" w:cs="Arial"/>
          <w:bCs/>
        </w:rPr>
        <w:t>made attempts</w:t>
      </w:r>
      <w:r>
        <w:rPr>
          <w:rFonts w:ascii="Arial" w:hAnsi="Arial" w:cs="Arial"/>
          <w:bCs/>
        </w:rPr>
        <w:t xml:space="preserve"> to rationalize the hospital sector by contracting out </w:t>
      </w:r>
      <w:r w:rsidR="007043D5">
        <w:rPr>
          <w:rFonts w:ascii="Arial" w:hAnsi="Arial" w:cs="Arial"/>
          <w:bCs/>
        </w:rPr>
        <w:t xml:space="preserve">the management function </w:t>
      </w:r>
      <w:r>
        <w:rPr>
          <w:rFonts w:ascii="Arial" w:hAnsi="Arial" w:cs="Arial"/>
          <w:color w:val="000000"/>
        </w:rPr>
        <w:t>to</w:t>
      </w:r>
      <w:r w:rsidR="001561C3">
        <w:rPr>
          <w:rFonts w:ascii="Arial" w:hAnsi="Arial" w:cs="Arial"/>
          <w:color w:val="000000"/>
        </w:rPr>
        <w:t xml:space="preserve"> private sector however most of which </w:t>
      </w:r>
      <w:r>
        <w:rPr>
          <w:rFonts w:ascii="Arial" w:hAnsi="Arial" w:cs="Arial"/>
          <w:color w:val="000000"/>
        </w:rPr>
        <w:t xml:space="preserve">led to eventual privatization of </w:t>
      </w:r>
      <w:r w:rsidR="007043D5">
        <w:rPr>
          <w:rFonts w:ascii="Arial" w:hAnsi="Arial" w:cs="Arial"/>
          <w:color w:val="000000"/>
        </w:rPr>
        <w:t>government</w:t>
      </w:r>
      <w:r>
        <w:rPr>
          <w:rFonts w:ascii="Arial" w:hAnsi="Arial" w:cs="Arial"/>
          <w:color w:val="000000"/>
        </w:rPr>
        <w:t xml:space="preserve"> hospitals. </w:t>
      </w:r>
      <w:r w:rsidR="00850F9C">
        <w:rPr>
          <w:rFonts w:ascii="Arial" w:hAnsi="Arial" w:cs="Arial"/>
          <w:color w:val="000000"/>
        </w:rPr>
        <w:t xml:space="preserve">Assessment showed that these arrangements failed to ensure </w:t>
      </w:r>
      <w:r w:rsidR="007043D5">
        <w:rPr>
          <w:rFonts w:ascii="Arial" w:hAnsi="Arial" w:cs="Arial"/>
          <w:color w:val="000000"/>
        </w:rPr>
        <w:t xml:space="preserve">adequate </w:t>
      </w:r>
      <w:r w:rsidR="00850F9C">
        <w:rPr>
          <w:rFonts w:ascii="Arial" w:hAnsi="Arial" w:cs="Arial"/>
          <w:color w:val="000000"/>
        </w:rPr>
        <w:t xml:space="preserve">access and quality of health services to users. </w:t>
      </w:r>
      <w:r w:rsidR="00A552CB" w:rsidRPr="008B1965">
        <w:rPr>
          <w:rFonts w:ascii="Arial" w:hAnsi="Arial" w:cs="Arial"/>
          <w:color w:val="000000"/>
        </w:rPr>
        <w:t xml:space="preserve">The Policy on Public and Private Partnership in health sector” was developed in 2011, providing a legal framework for engagement of </w:t>
      </w:r>
      <w:r w:rsidR="007043D5">
        <w:rPr>
          <w:rFonts w:ascii="Arial" w:hAnsi="Arial" w:cs="Arial"/>
          <w:color w:val="000000"/>
        </w:rPr>
        <w:t xml:space="preserve">not only the private providers but also </w:t>
      </w:r>
      <w:r w:rsidR="00A552CB" w:rsidRPr="008B1965">
        <w:rPr>
          <w:rFonts w:ascii="Arial" w:hAnsi="Arial" w:cs="Arial"/>
          <w:color w:val="000000"/>
        </w:rPr>
        <w:t xml:space="preserve">civil society </w:t>
      </w:r>
      <w:r w:rsidR="00541D78" w:rsidRPr="008B1965">
        <w:rPr>
          <w:rFonts w:ascii="Arial" w:hAnsi="Arial" w:cs="Arial"/>
          <w:color w:val="000000"/>
        </w:rPr>
        <w:t>organizations</w:t>
      </w:r>
      <w:r w:rsidR="00A552CB" w:rsidRPr="008B1965">
        <w:rPr>
          <w:rFonts w:ascii="Arial" w:hAnsi="Arial" w:cs="Arial"/>
          <w:color w:val="000000"/>
        </w:rPr>
        <w:t xml:space="preserve"> in </w:t>
      </w:r>
      <w:r w:rsidR="007043D5">
        <w:rPr>
          <w:rFonts w:ascii="Arial" w:hAnsi="Arial" w:cs="Arial"/>
          <w:color w:val="000000"/>
        </w:rPr>
        <w:t xml:space="preserve">delivery of </w:t>
      </w:r>
      <w:r w:rsidR="00A552CB" w:rsidRPr="008B1965">
        <w:rPr>
          <w:rFonts w:ascii="Arial" w:hAnsi="Arial" w:cs="Arial"/>
          <w:color w:val="000000"/>
        </w:rPr>
        <w:t xml:space="preserve">health care and </w:t>
      </w:r>
      <w:r w:rsidR="007043D5">
        <w:rPr>
          <w:rFonts w:ascii="Arial" w:hAnsi="Arial" w:cs="Arial"/>
          <w:color w:val="000000"/>
        </w:rPr>
        <w:t xml:space="preserve">health </w:t>
      </w:r>
      <w:r w:rsidR="00A552CB" w:rsidRPr="008B1965">
        <w:rPr>
          <w:rFonts w:ascii="Arial" w:hAnsi="Arial" w:cs="Arial"/>
          <w:color w:val="000000"/>
        </w:rPr>
        <w:t>promotion functions of the government</w:t>
      </w:r>
      <w:r w:rsidR="00A552CB" w:rsidRPr="008B1965">
        <w:rPr>
          <w:rFonts w:ascii="Arial" w:hAnsi="Arial" w:cs="Arial"/>
          <w:color w:val="000000"/>
          <w:lang w:val="mn-MN"/>
        </w:rPr>
        <w:t>.</w:t>
      </w:r>
    </w:p>
    <w:p w14:paraId="0E8DB029" w14:textId="77777777" w:rsidR="00165FD8" w:rsidRDefault="00165FD8" w:rsidP="00541D78">
      <w:pPr>
        <w:widowControl w:val="0"/>
        <w:autoSpaceDE w:val="0"/>
        <w:autoSpaceDN w:val="0"/>
        <w:adjustRightInd w:val="0"/>
        <w:jc w:val="both"/>
        <w:rPr>
          <w:rFonts w:ascii="Arial" w:eastAsiaTheme="minorEastAsia" w:hAnsi="Arial"/>
        </w:rPr>
      </w:pPr>
    </w:p>
    <w:p w14:paraId="6CABD9C0" w14:textId="0A44650C" w:rsidR="00F062A9" w:rsidRDefault="00C74AFC" w:rsidP="00F062A9">
      <w:pPr>
        <w:jc w:val="both"/>
        <w:rPr>
          <w:rFonts w:ascii="Arial" w:hAnsi="Arial" w:cs="Arial"/>
        </w:rPr>
      </w:pPr>
      <w:r>
        <w:rPr>
          <w:rFonts w:ascii="Arial" w:hAnsi="Arial" w:cs="Arial"/>
          <w:szCs w:val="22"/>
        </w:rPr>
        <w:t xml:space="preserve">Until 2010 and 2011, </w:t>
      </w:r>
      <w:r w:rsidR="00347AB8" w:rsidRPr="001C613C">
        <w:rPr>
          <w:rFonts w:ascii="Arial" w:hAnsi="Arial" w:cs="Arial"/>
          <w:szCs w:val="22"/>
        </w:rPr>
        <w:t>Mongolia has made limited progress towards modernizing its h</w:t>
      </w:r>
      <w:r w:rsidR="0009094F">
        <w:rPr>
          <w:rFonts w:ascii="Arial" w:hAnsi="Arial" w:cs="Arial"/>
          <w:szCs w:val="22"/>
        </w:rPr>
        <w:t xml:space="preserve">ospitals </w:t>
      </w:r>
      <w:r w:rsidR="00347AB8" w:rsidRPr="001C613C">
        <w:rPr>
          <w:rFonts w:ascii="Arial" w:hAnsi="Arial" w:cs="Arial"/>
          <w:szCs w:val="22"/>
        </w:rPr>
        <w:t>and health technologies.</w:t>
      </w:r>
      <w:r w:rsidR="001C613C" w:rsidRPr="001C613C">
        <w:rPr>
          <w:rFonts w:ascii="Arial" w:hAnsi="Arial" w:cs="Arial"/>
          <w:szCs w:val="22"/>
        </w:rPr>
        <w:t xml:space="preserve"> Mo</w:t>
      </w:r>
      <w:r w:rsidR="0009094F">
        <w:rPr>
          <w:rFonts w:ascii="Arial" w:hAnsi="Arial" w:cs="Arial"/>
          <w:szCs w:val="22"/>
        </w:rPr>
        <w:t xml:space="preserve">st hospital facilities </w:t>
      </w:r>
      <w:r>
        <w:rPr>
          <w:rFonts w:ascii="Arial" w:hAnsi="Arial" w:cs="Arial"/>
          <w:szCs w:val="22"/>
        </w:rPr>
        <w:t>have been</w:t>
      </w:r>
      <w:r w:rsidR="0009094F">
        <w:rPr>
          <w:rFonts w:ascii="Arial" w:hAnsi="Arial" w:cs="Arial"/>
          <w:szCs w:val="22"/>
        </w:rPr>
        <w:t xml:space="preserve"> in </w:t>
      </w:r>
      <w:r w:rsidR="001C613C" w:rsidRPr="001C613C">
        <w:rPr>
          <w:rFonts w:ascii="Arial" w:hAnsi="Arial" w:cs="Arial"/>
          <w:szCs w:val="22"/>
        </w:rPr>
        <w:t>poor or very poor condition</w:t>
      </w:r>
      <w:r>
        <w:rPr>
          <w:rFonts w:ascii="Arial" w:hAnsi="Arial" w:cs="Arial"/>
          <w:szCs w:val="22"/>
        </w:rPr>
        <w:t>s</w:t>
      </w:r>
      <w:r w:rsidR="001C613C" w:rsidRPr="001C613C">
        <w:rPr>
          <w:rFonts w:ascii="Arial" w:hAnsi="Arial" w:cs="Arial"/>
          <w:szCs w:val="22"/>
        </w:rPr>
        <w:t xml:space="preserve"> and their design and maintenance does not meet modern requirements for a quality and risk free </w:t>
      </w:r>
      <w:r w:rsidR="002524AD">
        <w:rPr>
          <w:rFonts w:ascii="Arial" w:hAnsi="Arial" w:cs="Arial"/>
          <w:szCs w:val="22"/>
        </w:rPr>
        <w:t xml:space="preserve">environment </w:t>
      </w:r>
      <w:r>
        <w:rPr>
          <w:rFonts w:ascii="Arial" w:hAnsi="Arial" w:cs="Arial"/>
          <w:szCs w:val="22"/>
        </w:rPr>
        <w:t>for care</w:t>
      </w:r>
      <w:r w:rsidR="00F062A9">
        <w:rPr>
          <w:rFonts w:ascii="Arial" w:hAnsi="Arial" w:cs="Arial"/>
          <w:szCs w:val="22"/>
        </w:rPr>
        <w:t>. In Ulaanbaatar, most district</w:t>
      </w:r>
      <w:r>
        <w:rPr>
          <w:rFonts w:ascii="Arial" w:hAnsi="Arial" w:cs="Arial"/>
          <w:szCs w:val="22"/>
        </w:rPr>
        <w:t xml:space="preserve"> hospitals provide in</w:t>
      </w:r>
      <w:r w:rsidR="001C613C" w:rsidRPr="001C613C">
        <w:rPr>
          <w:rFonts w:ascii="Arial" w:hAnsi="Arial" w:cs="Arial"/>
          <w:szCs w:val="22"/>
        </w:rPr>
        <w:t xml:space="preserve">patient services with </w:t>
      </w:r>
      <w:r w:rsidR="0009094F">
        <w:rPr>
          <w:rFonts w:ascii="Arial" w:hAnsi="Arial" w:cs="Arial"/>
          <w:szCs w:val="22"/>
        </w:rPr>
        <w:t xml:space="preserve">only limited </w:t>
      </w:r>
      <w:r w:rsidR="002524AD">
        <w:rPr>
          <w:rFonts w:ascii="Arial" w:hAnsi="Arial" w:cs="Arial"/>
          <w:szCs w:val="22"/>
        </w:rPr>
        <w:t xml:space="preserve">specialty </w:t>
      </w:r>
      <w:r w:rsidR="0009094F">
        <w:rPr>
          <w:rFonts w:ascii="Arial" w:hAnsi="Arial" w:cs="Arial"/>
          <w:szCs w:val="22"/>
        </w:rPr>
        <w:t xml:space="preserve">areas i.e. </w:t>
      </w:r>
      <w:r w:rsidR="001C613C" w:rsidRPr="001C613C">
        <w:rPr>
          <w:rFonts w:ascii="Arial" w:hAnsi="Arial" w:cs="Arial"/>
          <w:szCs w:val="22"/>
        </w:rPr>
        <w:t xml:space="preserve">mainly internal medicine and neurology services. </w:t>
      </w:r>
      <w:r w:rsidR="005A7A96">
        <w:rPr>
          <w:rFonts w:ascii="Arial" w:hAnsi="Arial" w:cs="Arial"/>
        </w:rPr>
        <w:t xml:space="preserve">The new Health act </w:t>
      </w:r>
      <w:r w:rsidR="0000530E">
        <w:rPr>
          <w:rFonts w:ascii="Arial" w:hAnsi="Arial" w:cs="Arial"/>
        </w:rPr>
        <w:t xml:space="preserve">(2011) </w:t>
      </w:r>
      <w:r w:rsidR="005A7A96">
        <w:rPr>
          <w:rFonts w:ascii="Arial" w:hAnsi="Arial" w:cs="Arial"/>
        </w:rPr>
        <w:lastRenderedPageBreak/>
        <w:t>reorganized</w:t>
      </w:r>
      <w:r w:rsidR="005A7A96" w:rsidRPr="005A7A96">
        <w:rPr>
          <w:rFonts w:ascii="Arial" w:hAnsi="Arial" w:cs="Arial"/>
        </w:rPr>
        <w:t xml:space="preserve"> </w:t>
      </w:r>
      <w:r w:rsidR="005A7A96">
        <w:rPr>
          <w:rFonts w:ascii="Arial" w:hAnsi="Arial" w:cs="Arial"/>
        </w:rPr>
        <w:t xml:space="preserve">district outpatient clinics and hospitals into district public health centers and general hospitals in Ulaanbaatar. In addition, </w:t>
      </w:r>
      <w:r>
        <w:rPr>
          <w:rFonts w:ascii="Arial" w:hAnsi="Arial" w:cs="Arial"/>
        </w:rPr>
        <w:t xml:space="preserve">all </w:t>
      </w:r>
      <w:r w:rsidR="005A7A96">
        <w:rPr>
          <w:rFonts w:ascii="Arial" w:hAnsi="Arial" w:cs="Arial"/>
        </w:rPr>
        <w:t xml:space="preserve">general hospitals </w:t>
      </w:r>
      <w:r>
        <w:rPr>
          <w:rFonts w:ascii="Arial" w:hAnsi="Arial" w:cs="Arial"/>
        </w:rPr>
        <w:t>should</w:t>
      </w:r>
      <w:r w:rsidR="005A7A96">
        <w:rPr>
          <w:rFonts w:ascii="Arial" w:hAnsi="Arial" w:cs="Arial"/>
        </w:rPr>
        <w:t xml:space="preserve"> provide 7 major medi</w:t>
      </w:r>
      <w:r w:rsidR="002E5807">
        <w:rPr>
          <w:rFonts w:ascii="Arial" w:hAnsi="Arial" w:cs="Arial"/>
        </w:rPr>
        <w:t xml:space="preserve">cal services including internal </w:t>
      </w:r>
      <w:r w:rsidR="005A7A96">
        <w:rPr>
          <w:rFonts w:ascii="Arial" w:hAnsi="Arial" w:cs="Arial"/>
        </w:rPr>
        <w:t>medicine, pediatrics, surgery, obstetrics and gynecology, neurology, infectious disease and dental care from previous</w:t>
      </w:r>
      <w:r w:rsidR="00D31D80">
        <w:rPr>
          <w:rFonts w:ascii="Arial" w:hAnsi="Arial" w:cs="Arial"/>
        </w:rPr>
        <w:t xml:space="preserve"> </w:t>
      </w:r>
      <w:r w:rsidR="00E560F2">
        <w:rPr>
          <w:rFonts w:ascii="Arial" w:hAnsi="Arial" w:cs="Arial"/>
        </w:rPr>
        <w:t xml:space="preserve">three disciplines (internal, </w:t>
      </w:r>
      <w:r w:rsidR="00D31D80">
        <w:rPr>
          <w:rFonts w:ascii="Arial" w:hAnsi="Arial" w:cs="Arial"/>
        </w:rPr>
        <w:t xml:space="preserve">neurological medical </w:t>
      </w:r>
      <w:r w:rsidR="003059E0">
        <w:rPr>
          <w:rFonts w:ascii="Arial" w:hAnsi="Arial" w:cs="Arial"/>
        </w:rPr>
        <w:t xml:space="preserve">and </w:t>
      </w:r>
      <w:r w:rsidR="005A7A96">
        <w:rPr>
          <w:rFonts w:ascii="Arial" w:hAnsi="Arial" w:cs="Arial"/>
        </w:rPr>
        <w:t>services)</w:t>
      </w:r>
      <w:r w:rsidR="00D31D80">
        <w:rPr>
          <w:rFonts w:ascii="Arial" w:hAnsi="Arial" w:cs="Arial"/>
        </w:rPr>
        <w:t xml:space="preserve">. </w:t>
      </w:r>
    </w:p>
    <w:p w14:paraId="17CD982F" w14:textId="77777777" w:rsidR="00F062A9" w:rsidRDefault="00F062A9" w:rsidP="00F062A9">
      <w:pPr>
        <w:jc w:val="both"/>
        <w:rPr>
          <w:rFonts w:ascii="Arial" w:hAnsi="Arial" w:cs="Arial"/>
        </w:rPr>
      </w:pPr>
    </w:p>
    <w:p w14:paraId="4553F93F" w14:textId="7CE52B5D" w:rsidR="00C011B2" w:rsidRPr="00F062A9" w:rsidRDefault="00C011B2" w:rsidP="00F062A9">
      <w:pPr>
        <w:jc w:val="both"/>
        <w:rPr>
          <w:rFonts w:ascii="Arial" w:hAnsi="Arial" w:cs="Arial"/>
          <w:szCs w:val="22"/>
        </w:rPr>
      </w:pPr>
      <w:r>
        <w:rPr>
          <w:rFonts w:ascii="Arial" w:hAnsi="Arial" w:cs="Arial"/>
        </w:rPr>
        <w:t>On the other hand, the new Health act also brought changes in the hospital governance where there is newly established governing board</w:t>
      </w:r>
      <w:r w:rsidR="00581C3F">
        <w:rPr>
          <w:rFonts w:ascii="Arial" w:hAnsi="Arial" w:cs="Arial"/>
        </w:rPr>
        <w:t>s</w:t>
      </w:r>
      <w:r>
        <w:rPr>
          <w:rFonts w:ascii="Arial" w:hAnsi="Arial" w:cs="Arial"/>
        </w:rPr>
        <w:t xml:space="preserve"> of the state central hospitals, specialized centers and regional diagnostic and treatment centers aimed to provide elements of health care organizational autonomy in </w:t>
      </w:r>
      <w:r w:rsidR="00C74AFC">
        <w:rPr>
          <w:rFonts w:ascii="Arial" w:hAnsi="Arial" w:cs="Arial"/>
        </w:rPr>
        <w:t xml:space="preserve">management and </w:t>
      </w:r>
      <w:r>
        <w:rPr>
          <w:rFonts w:ascii="Arial" w:hAnsi="Arial" w:cs="Arial"/>
        </w:rPr>
        <w:t>decision making. However, actual implementation</w:t>
      </w:r>
      <w:r w:rsidR="0009094F">
        <w:rPr>
          <w:rFonts w:ascii="Arial" w:hAnsi="Arial" w:cs="Arial"/>
        </w:rPr>
        <w:t xml:space="preserve">s </w:t>
      </w:r>
      <w:r w:rsidR="002524AD">
        <w:rPr>
          <w:rFonts w:ascii="Arial" w:hAnsi="Arial" w:cs="Arial"/>
        </w:rPr>
        <w:t xml:space="preserve">of the Health act </w:t>
      </w:r>
      <w:r w:rsidR="0009094F">
        <w:rPr>
          <w:rFonts w:ascii="Arial" w:hAnsi="Arial" w:cs="Arial"/>
        </w:rPr>
        <w:t>have</w:t>
      </w:r>
      <w:r>
        <w:rPr>
          <w:rFonts w:ascii="Arial" w:hAnsi="Arial" w:cs="Arial"/>
        </w:rPr>
        <w:t xml:space="preserve"> not been effective </w:t>
      </w:r>
      <w:r w:rsidR="00581C3F">
        <w:rPr>
          <w:rFonts w:ascii="Arial" w:hAnsi="Arial" w:cs="Arial"/>
        </w:rPr>
        <w:t xml:space="preserve">and </w:t>
      </w:r>
      <w:r>
        <w:rPr>
          <w:rFonts w:ascii="Arial" w:hAnsi="Arial" w:cs="Arial"/>
        </w:rPr>
        <w:t xml:space="preserve">been erratic due </w:t>
      </w:r>
      <w:r w:rsidR="00C74AFC">
        <w:rPr>
          <w:rFonts w:ascii="Arial" w:hAnsi="Arial" w:cs="Arial"/>
        </w:rPr>
        <w:t>to limitations by</w:t>
      </w:r>
      <w:r>
        <w:rPr>
          <w:rFonts w:ascii="Arial" w:hAnsi="Arial" w:cs="Arial"/>
        </w:rPr>
        <w:t xml:space="preserve"> other legal environment </w:t>
      </w:r>
      <w:r w:rsidR="00C74AFC">
        <w:rPr>
          <w:rFonts w:ascii="Arial" w:hAnsi="Arial" w:cs="Arial"/>
        </w:rPr>
        <w:t xml:space="preserve">including civil service and public finance </w:t>
      </w:r>
      <w:r>
        <w:rPr>
          <w:rFonts w:ascii="Arial" w:hAnsi="Arial" w:cs="Arial"/>
        </w:rPr>
        <w:t xml:space="preserve">and </w:t>
      </w:r>
      <w:r w:rsidR="00C74AFC">
        <w:rPr>
          <w:rFonts w:ascii="Arial" w:hAnsi="Arial" w:cs="Arial"/>
        </w:rPr>
        <w:t>also capacity constraints at national and local levels</w:t>
      </w:r>
      <w:r>
        <w:rPr>
          <w:rFonts w:ascii="Arial" w:hAnsi="Arial" w:cs="Arial"/>
        </w:rPr>
        <w:t xml:space="preserve">. </w:t>
      </w:r>
    </w:p>
    <w:p w14:paraId="418DCC3D" w14:textId="77777777" w:rsidR="00C011B2" w:rsidRDefault="00C011B2" w:rsidP="00D31D80">
      <w:pPr>
        <w:autoSpaceDE w:val="0"/>
        <w:autoSpaceDN w:val="0"/>
        <w:adjustRightInd w:val="0"/>
        <w:jc w:val="both"/>
        <w:rPr>
          <w:rFonts w:ascii="Arial" w:hAnsi="Arial" w:cs="Arial"/>
        </w:rPr>
      </w:pPr>
    </w:p>
    <w:p w14:paraId="77E11EA4" w14:textId="2144F90C" w:rsidR="00D31D80" w:rsidRDefault="00F40604" w:rsidP="00D31D80">
      <w:pPr>
        <w:autoSpaceDE w:val="0"/>
        <w:autoSpaceDN w:val="0"/>
        <w:adjustRightInd w:val="0"/>
        <w:jc w:val="both"/>
        <w:rPr>
          <w:rFonts w:ascii="Arial" w:hAnsi="Arial" w:cs="Arial"/>
        </w:rPr>
      </w:pPr>
      <w:r>
        <w:rPr>
          <w:rFonts w:ascii="Arial" w:hAnsi="Arial" w:cs="Arial"/>
        </w:rPr>
        <w:t xml:space="preserve">Moreover, </w:t>
      </w:r>
      <w:r w:rsidR="00581C3F">
        <w:rPr>
          <w:rFonts w:ascii="Arial" w:hAnsi="Arial" w:cs="Arial"/>
        </w:rPr>
        <w:t xml:space="preserve">the </w:t>
      </w:r>
      <w:proofErr w:type="spellStart"/>
      <w:r>
        <w:rPr>
          <w:rFonts w:ascii="Arial" w:hAnsi="Arial" w:cs="Arial"/>
        </w:rPr>
        <w:t>MoH</w:t>
      </w:r>
      <w:proofErr w:type="spellEnd"/>
      <w:r>
        <w:rPr>
          <w:rFonts w:ascii="Arial" w:hAnsi="Arial" w:cs="Arial"/>
        </w:rPr>
        <w:t xml:space="preserve"> approved </w:t>
      </w:r>
      <w:r w:rsidR="00C74AFC">
        <w:rPr>
          <w:rFonts w:ascii="Arial" w:hAnsi="Arial" w:cs="Arial"/>
        </w:rPr>
        <w:t xml:space="preserve">(2014) </w:t>
      </w:r>
      <w:r>
        <w:rPr>
          <w:rFonts w:ascii="Arial" w:hAnsi="Arial" w:cs="Arial"/>
        </w:rPr>
        <w:t xml:space="preserve">the </w:t>
      </w:r>
      <w:r w:rsidR="0000530E">
        <w:rPr>
          <w:rFonts w:ascii="Arial" w:hAnsi="Arial" w:cs="Arial"/>
        </w:rPr>
        <w:t xml:space="preserve">development </w:t>
      </w:r>
      <w:r w:rsidR="00C475E8">
        <w:rPr>
          <w:rFonts w:ascii="Arial" w:hAnsi="Arial" w:cs="Arial"/>
        </w:rPr>
        <w:t>strategy</w:t>
      </w:r>
      <w:r w:rsidR="0000530E">
        <w:rPr>
          <w:rFonts w:ascii="Arial" w:hAnsi="Arial" w:cs="Arial"/>
        </w:rPr>
        <w:t xml:space="preserve"> for </w:t>
      </w:r>
      <w:r>
        <w:rPr>
          <w:rFonts w:ascii="Arial" w:hAnsi="Arial" w:cs="Arial"/>
        </w:rPr>
        <w:t xml:space="preserve">hospital care </w:t>
      </w:r>
      <w:r w:rsidR="00C475E8">
        <w:rPr>
          <w:rFonts w:ascii="Arial" w:hAnsi="Arial" w:cs="Arial"/>
        </w:rPr>
        <w:t xml:space="preserve">sector </w:t>
      </w:r>
      <w:r>
        <w:rPr>
          <w:rFonts w:ascii="Arial" w:hAnsi="Arial" w:cs="Arial"/>
        </w:rPr>
        <w:t>in the country and is aiming to reorganize the public hospital</w:t>
      </w:r>
      <w:r w:rsidR="002524AD">
        <w:rPr>
          <w:rFonts w:ascii="Arial" w:hAnsi="Arial" w:cs="Arial"/>
        </w:rPr>
        <w:t>s</w:t>
      </w:r>
      <w:r>
        <w:rPr>
          <w:rFonts w:ascii="Arial" w:hAnsi="Arial" w:cs="Arial"/>
        </w:rPr>
        <w:t xml:space="preserve"> into </w:t>
      </w:r>
      <w:r w:rsidR="002524AD">
        <w:rPr>
          <w:rFonts w:ascii="Arial" w:hAnsi="Arial" w:cs="Arial"/>
        </w:rPr>
        <w:t xml:space="preserve">geographically aligned </w:t>
      </w:r>
      <w:r>
        <w:rPr>
          <w:rFonts w:ascii="Arial" w:hAnsi="Arial" w:cs="Arial"/>
        </w:rPr>
        <w:t>network system</w:t>
      </w:r>
      <w:r w:rsidR="002524AD">
        <w:rPr>
          <w:rFonts w:ascii="Arial" w:hAnsi="Arial" w:cs="Arial"/>
        </w:rPr>
        <w:t>s</w:t>
      </w:r>
      <w:r>
        <w:rPr>
          <w:rFonts w:ascii="Arial" w:hAnsi="Arial" w:cs="Arial"/>
        </w:rPr>
        <w:t xml:space="preserve"> where ge</w:t>
      </w:r>
      <w:r w:rsidR="00CB4F33">
        <w:rPr>
          <w:rFonts w:ascii="Arial" w:hAnsi="Arial" w:cs="Arial"/>
        </w:rPr>
        <w:t xml:space="preserve">neral hospitals are established to provide multi disciplinary hospital services </w:t>
      </w:r>
      <w:r w:rsidR="00C74AFC">
        <w:rPr>
          <w:rFonts w:ascii="Arial" w:hAnsi="Arial" w:cs="Arial"/>
        </w:rPr>
        <w:t xml:space="preserve">in cooperation with other types of health facilities such as private sanatoria and hospitals </w:t>
      </w:r>
      <w:r w:rsidR="00CB4F33">
        <w:rPr>
          <w:rFonts w:ascii="Arial" w:hAnsi="Arial" w:cs="Arial"/>
        </w:rPr>
        <w:t xml:space="preserve">in Ulaanbaatar. </w:t>
      </w:r>
      <w:r w:rsidR="00581C3F">
        <w:rPr>
          <w:rFonts w:ascii="Arial" w:hAnsi="Arial" w:cs="Arial"/>
        </w:rPr>
        <w:t>The</w:t>
      </w:r>
      <w:r w:rsidR="00570ED4">
        <w:rPr>
          <w:rFonts w:ascii="Arial" w:hAnsi="Arial" w:cs="Arial"/>
        </w:rPr>
        <w:t xml:space="preserve"> policy </w:t>
      </w:r>
      <w:r w:rsidR="00581C3F">
        <w:rPr>
          <w:rFonts w:ascii="Arial" w:hAnsi="Arial" w:cs="Arial"/>
        </w:rPr>
        <w:t>aimed to</w:t>
      </w:r>
      <w:r w:rsidR="00570ED4">
        <w:rPr>
          <w:rFonts w:ascii="Arial" w:hAnsi="Arial" w:cs="Arial"/>
        </w:rPr>
        <w:t xml:space="preserve"> </w:t>
      </w:r>
      <w:r w:rsidR="00581C3F">
        <w:rPr>
          <w:rFonts w:ascii="Arial" w:hAnsi="Arial" w:cs="Arial"/>
        </w:rPr>
        <w:t>promote</w:t>
      </w:r>
      <w:r w:rsidR="00570ED4">
        <w:rPr>
          <w:rFonts w:ascii="Arial" w:hAnsi="Arial" w:cs="Arial"/>
        </w:rPr>
        <w:t xml:space="preserve"> high technology and complex care </w:t>
      </w:r>
      <w:r w:rsidR="00581C3F">
        <w:rPr>
          <w:rFonts w:ascii="Arial" w:hAnsi="Arial" w:cs="Arial"/>
        </w:rPr>
        <w:t xml:space="preserve">at </w:t>
      </w:r>
      <w:r w:rsidR="00C74AFC">
        <w:rPr>
          <w:rFonts w:ascii="Arial" w:hAnsi="Arial" w:cs="Arial"/>
        </w:rPr>
        <w:t xml:space="preserve">the </w:t>
      </w:r>
      <w:r w:rsidR="00581C3F">
        <w:rPr>
          <w:rFonts w:ascii="Arial" w:hAnsi="Arial" w:cs="Arial"/>
        </w:rPr>
        <w:t xml:space="preserve">tertiary level </w:t>
      </w:r>
      <w:r w:rsidR="00C74AFC">
        <w:rPr>
          <w:rFonts w:ascii="Arial" w:hAnsi="Arial" w:cs="Arial"/>
        </w:rPr>
        <w:t xml:space="preserve">care providers </w:t>
      </w:r>
      <w:r w:rsidR="00570ED4">
        <w:rPr>
          <w:rFonts w:ascii="Arial" w:hAnsi="Arial" w:cs="Arial"/>
        </w:rPr>
        <w:t xml:space="preserve">and secondary hospitals </w:t>
      </w:r>
      <w:r w:rsidR="00581C3F">
        <w:rPr>
          <w:rFonts w:ascii="Arial" w:hAnsi="Arial" w:cs="Arial"/>
        </w:rPr>
        <w:t xml:space="preserve">to </w:t>
      </w:r>
      <w:r w:rsidR="00570ED4">
        <w:rPr>
          <w:rFonts w:ascii="Arial" w:hAnsi="Arial" w:cs="Arial"/>
        </w:rPr>
        <w:t xml:space="preserve">deliver </w:t>
      </w:r>
      <w:r w:rsidR="00C74AFC">
        <w:rPr>
          <w:rFonts w:ascii="Arial" w:hAnsi="Arial" w:cs="Arial"/>
        </w:rPr>
        <w:t xml:space="preserve">the </w:t>
      </w:r>
      <w:r w:rsidR="00570ED4">
        <w:rPr>
          <w:rFonts w:ascii="Arial" w:hAnsi="Arial" w:cs="Arial"/>
        </w:rPr>
        <w:t>general hospital care</w:t>
      </w:r>
      <w:r w:rsidR="00C74AFC">
        <w:rPr>
          <w:rFonts w:ascii="Arial" w:hAnsi="Arial" w:cs="Arial"/>
        </w:rPr>
        <w:t xml:space="preserve"> to the population</w:t>
      </w:r>
      <w:r w:rsidR="00570ED4">
        <w:rPr>
          <w:rFonts w:ascii="Arial" w:hAnsi="Arial" w:cs="Arial"/>
        </w:rPr>
        <w:t>.</w:t>
      </w:r>
    </w:p>
    <w:p w14:paraId="12617BA8" w14:textId="77777777" w:rsidR="00F1467C" w:rsidRDefault="00F1467C" w:rsidP="00A844C9">
      <w:pPr>
        <w:autoSpaceDE w:val="0"/>
        <w:autoSpaceDN w:val="0"/>
        <w:adjustRightInd w:val="0"/>
        <w:jc w:val="both"/>
        <w:rPr>
          <w:rFonts w:ascii="Arial" w:hAnsi="Arial" w:cs="Arial"/>
          <w:bCs/>
        </w:rPr>
      </w:pPr>
    </w:p>
    <w:p w14:paraId="40D19C18" w14:textId="77777777" w:rsidR="00F1467C" w:rsidRDefault="00F1467C" w:rsidP="00A844C9">
      <w:pPr>
        <w:pStyle w:val="Heading3"/>
        <w:spacing w:before="0"/>
      </w:pPr>
      <w:bookmarkStart w:id="4" w:name="_Toc305764300"/>
      <w:r>
        <w:t>Human resources</w:t>
      </w:r>
      <w:bookmarkEnd w:id="4"/>
    </w:p>
    <w:p w14:paraId="445E2A2C" w14:textId="77777777" w:rsidR="00F1467C" w:rsidRDefault="00F1467C" w:rsidP="00A844C9">
      <w:pPr>
        <w:autoSpaceDE w:val="0"/>
        <w:autoSpaceDN w:val="0"/>
        <w:adjustRightInd w:val="0"/>
        <w:jc w:val="both"/>
        <w:rPr>
          <w:rFonts w:ascii="Arial" w:hAnsi="Arial" w:cs="Arial"/>
          <w:bCs/>
        </w:rPr>
      </w:pPr>
    </w:p>
    <w:p w14:paraId="6B84B193" w14:textId="49F94E86" w:rsidR="00CA1ECA" w:rsidRDefault="00CA1ECA" w:rsidP="00CA1ECA">
      <w:pPr>
        <w:autoSpaceDE w:val="0"/>
        <w:autoSpaceDN w:val="0"/>
        <w:adjustRightInd w:val="0"/>
        <w:jc w:val="both"/>
        <w:rPr>
          <w:rFonts w:ascii="Arial" w:hAnsi="Arial" w:cs="Arial"/>
          <w:bCs/>
        </w:rPr>
      </w:pPr>
      <w:r>
        <w:rPr>
          <w:rFonts w:ascii="Arial" w:hAnsi="Arial" w:cs="Arial"/>
          <w:bCs/>
        </w:rPr>
        <w:t xml:space="preserve">Since 1990, the number of doctors per 1000 population has remained steady but the supply of nurses and other allied staff significantly decreased. </w:t>
      </w:r>
      <w:r w:rsidR="003354AF">
        <w:rPr>
          <w:rFonts w:ascii="Arial" w:hAnsi="Arial" w:cs="Arial"/>
          <w:bCs/>
        </w:rPr>
        <w:t>In order t</w:t>
      </w:r>
      <w:r>
        <w:rPr>
          <w:rFonts w:ascii="Arial" w:hAnsi="Arial" w:cs="Arial"/>
          <w:bCs/>
        </w:rPr>
        <w:t xml:space="preserve">o increase the number of nurses, </w:t>
      </w:r>
      <w:r w:rsidR="003354AF">
        <w:rPr>
          <w:rFonts w:ascii="Arial" w:hAnsi="Arial" w:cs="Arial"/>
          <w:bCs/>
        </w:rPr>
        <w:t xml:space="preserve">the </w:t>
      </w:r>
      <w:r>
        <w:rPr>
          <w:rFonts w:ascii="Arial" w:hAnsi="Arial" w:cs="Arial"/>
          <w:bCs/>
        </w:rPr>
        <w:t>MOH has also taken numerous steps to address poor working conditions by establishing the Inte</w:t>
      </w:r>
      <w:r w:rsidR="003354AF">
        <w:rPr>
          <w:rFonts w:ascii="Arial" w:hAnsi="Arial" w:cs="Arial"/>
          <w:bCs/>
        </w:rPr>
        <w:t>r-</w:t>
      </w:r>
      <w:proofErr w:type="spellStart"/>
      <w:r w:rsidR="003354AF">
        <w:rPr>
          <w:rFonts w:ascii="Arial" w:hAnsi="Arial" w:cs="Arial"/>
          <w:bCs/>
        </w:rPr>
        <w:t>sectoral</w:t>
      </w:r>
      <w:proofErr w:type="spellEnd"/>
      <w:r w:rsidR="003354AF">
        <w:rPr>
          <w:rFonts w:ascii="Arial" w:hAnsi="Arial" w:cs="Arial"/>
          <w:bCs/>
        </w:rPr>
        <w:t xml:space="preserve"> Committee on Health sector human r</w:t>
      </w:r>
      <w:r>
        <w:rPr>
          <w:rFonts w:ascii="Arial" w:hAnsi="Arial" w:cs="Arial"/>
          <w:bCs/>
        </w:rPr>
        <w:t>esources chaired by the Prime Minister, introducing incentive packages for health workers in remote areas, approving th</w:t>
      </w:r>
      <w:r w:rsidR="003354AF">
        <w:rPr>
          <w:rFonts w:ascii="Arial" w:hAnsi="Arial" w:cs="Arial"/>
          <w:bCs/>
        </w:rPr>
        <w:t xml:space="preserve">e Housing </w:t>
      </w:r>
      <w:proofErr w:type="spellStart"/>
      <w:r w:rsidR="003354AF">
        <w:rPr>
          <w:rFonts w:ascii="Arial" w:hAnsi="Arial" w:cs="Arial"/>
          <w:bCs/>
        </w:rPr>
        <w:t>Programme</w:t>
      </w:r>
      <w:proofErr w:type="spellEnd"/>
      <w:r w:rsidR="003354AF">
        <w:rPr>
          <w:rFonts w:ascii="Arial" w:hAnsi="Arial" w:cs="Arial"/>
          <w:bCs/>
        </w:rPr>
        <w:t xml:space="preserve"> for Health w</w:t>
      </w:r>
      <w:r>
        <w:rPr>
          <w:rFonts w:ascii="Arial" w:hAnsi="Arial" w:cs="Arial"/>
          <w:bCs/>
        </w:rPr>
        <w:t xml:space="preserve">orkers and increasing overall salaries. </w:t>
      </w:r>
      <w:r w:rsidR="00E0193D">
        <w:rPr>
          <w:rFonts w:ascii="Arial" w:hAnsi="Arial" w:cs="Arial"/>
          <w:bCs/>
        </w:rPr>
        <w:t>However the ratio</w:t>
      </w:r>
      <w:r w:rsidR="004E6055">
        <w:rPr>
          <w:rFonts w:ascii="Arial" w:hAnsi="Arial" w:cs="Arial"/>
          <w:bCs/>
        </w:rPr>
        <w:t xml:space="preserve"> of</w:t>
      </w:r>
      <w:r w:rsidR="003354AF">
        <w:rPr>
          <w:rFonts w:ascii="Arial" w:hAnsi="Arial" w:cs="Arial"/>
          <w:bCs/>
        </w:rPr>
        <w:t xml:space="preserve"> doctor to nurse</w:t>
      </w:r>
      <w:r w:rsidR="004E6055">
        <w:rPr>
          <w:rFonts w:ascii="Arial" w:hAnsi="Arial" w:cs="Arial"/>
          <w:bCs/>
        </w:rPr>
        <w:t xml:space="preserve"> remain</w:t>
      </w:r>
      <w:r w:rsidR="00E0193D">
        <w:rPr>
          <w:rFonts w:ascii="Arial" w:hAnsi="Arial" w:cs="Arial"/>
          <w:bCs/>
        </w:rPr>
        <w:t xml:space="preserve">s low </w:t>
      </w:r>
      <w:r w:rsidR="004E6055">
        <w:rPr>
          <w:rFonts w:ascii="Arial" w:hAnsi="Arial" w:cs="Arial"/>
          <w:bCs/>
        </w:rPr>
        <w:t xml:space="preserve">at </w:t>
      </w:r>
      <w:r w:rsidR="00E0193D">
        <w:rPr>
          <w:rFonts w:ascii="Arial" w:hAnsi="Arial" w:cs="Arial"/>
          <w:bCs/>
        </w:rPr>
        <w:t>1:1.13 in 2012.</w:t>
      </w:r>
    </w:p>
    <w:p w14:paraId="5C9D3B34" w14:textId="77777777" w:rsidR="00CA1ECA" w:rsidRDefault="00CA1ECA" w:rsidP="00F6574A">
      <w:pPr>
        <w:rPr>
          <w:lang w:val="en-GB"/>
        </w:rPr>
      </w:pPr>
    </w:p>
    <w:p w14:paraId="16F51BD3" w14:textId="7C463B60" w:rsidR="007B46FC" w:rsidRPr="00711471" w:rsidRDefault="00CA1ECA" w:rsidP="007B46FC">
      <w:pPr>
        <w:autoSpaceDE w:val="0"/>
        <w:autoSpaceDN w:val="0"/>
        <w:adjustRightInd w:val="0"/>
        <w:jc w:val="both"/>
        <w:rPr>
          <w:rFonts w:ascii="Arial" w:hAnsi="Arial" w:cs="Arial"/>
          <w:bCs/>
        </w:rPr>
      </w:pPr>
      <w:r>
        <w:rPr>
          <w:rFonts w:ascii="Arial" w:hAnsi="Arial" w:cs="Arial"/>
          <w:bCs/>
        </w:rPr>
        <w:t xml:space="preserve">There </w:t>
      </w:r>
      <w:r w:rsidR="004E6055">
        <w:rPr>
          <w:rFonts w:ascii="Arial" w:hAnsi="Arial" w:cs="Arial"/>
          <w:bCs/>
        </w:rPr>
        <w:t xml:space="preserve">are </w:t>
      </w:r>
      <w:r>
        <w:rPr>
          <w:rFonts w:ascii="Arial" w:hAnsi="Arial" w:cs="Arial"/>
          <w:bCs/>
        </w:rPr>
        <w:t>more doctors per 1000 population in Ulaanbaatar</w:t>
      </w:r>
      <w:r w:rsidR="00AD5F6B">
        <w:rPr>
          <w:rFonts w:ascii="Arial" w:hAnsi="Arial" w:cs="Arial"/>
          <w:bCs/>
        </w:rPr>
        <w:t xml:space="preserve"> and </w:t>
      </w:r>
      <w:r>
        <w:rPr>
          <w:rFonts w:ascii="Arial" w:hAnsi="Arial" w:cs="Arial"/>
          <w:bCs/>
        </w:rPr>
        <w:t xml:space="preserve">most of them are specialists providing services at the secondary or tertiary facilities. At the primary care level, Ulaanbaatar has </w:t>
      </w:r>
      <w:r w:rsidR="003354AF">
        <w:rPr>
          <w:rFonts w:ascii="Arial" w:hAnsi="Arial" w:cs="Arial"/>
          <w:bCs/>
        </w:rPr>
        <w:t xml:space="preserve">the </w:t>
      </w:r>
      <w:r>
        <w:rPr>
          <w:rFonts w:ascii="Arial" w:hAnsi="Arial" w:cs="Arial"/>
          <w:bCs/>
        </w:rPr>
        <w:t xml:space="preserve">half the number of doctors compared to </w:t>
      </w:r>
      <w:proofErr w:type="spellStart"/>
      <w:r>
        <w:rPr>
          <w:rFonts w:ascii="Arial" w:hAnsi="Arial" w:cs="Arial"/>
          <w:bCs/>
        </w:rPr>
        <w:t>soums</w:t>
      </w:r>
      <w:proofErr w:type="spellEnd"/>
      <w:r>
        <w:rPr>
          <w:rFonts w:ascii="Arial" w:hAnsi="Arial" w:cs="Arial"/>
          <w:bCs/>
        </w:rPr>
        <w:t xml:space="preserve">. On the other hand, there are significantly more doctors providing secondary care in </w:t>
      </w:r>
      <w:r w:rsidR="00AD5F6B">
        <w:rPr>
          <w:rFonts w:ascii="Arial" w:hAnsi="Arial" w:cs="Arial"/>
          <w:bCs/>
        </w:rPr>
        <w:t>Ulaanbaatar</w:t>
      </w:r>
      <w:r>
        <w:rPr>
          <w:rFonts w:ascii="Arial" w:hAnsi="Arial" w:cs="Arial"/>
          <w:bCs/>
        </w:rPr>
        <w:t xml:space="preserve"> than in </w:t>
      </w:r>
      <w:proofErr w:type="spellStart"/>
      <w:r>
        <w:rPr>
          <w:rFonts w:ascii="Arial" w:hAnsi="Arial" w:cs="Arial"/>
          <w:bCs/>
        </w:rPr>
        <w:t>aimags</w:t>
      </w:r>
      <w:proofErr w:type="spellEnd"/>
      <w:r>
        <w:rPr>
          <w:rFonts w:ascii="Arial" w:hAnsi="Arial" w:cs="Arial"/>
          <w:bCs/>
        </w:rPr>
        <w:t xml:space="preserve">. </w:t>
      </w:r>
    </w:p>
    <w:p w14:paraId="543930A3" w14:textId="77777777" w:rsidR="00CA1ECA" w:rsidRDefault="00CA1ECA" w:rsidP="00F6574A">
      <w:pPr>
        <w:rPr>
          <w:lang w:val="en-GB"/>
        </w:rPr>
      </w:pPr>
    </w:p>
    <w:p w14:paraId="310BC5E4" w14:textId="77777777" w:rsidR="0029286B" w:rsidRDefault="00A844C9" w:rsidP="00A844C9">
      <w:pPr>
        <w:autoSpaceDE w:val="0"/>
        <w:autoSpaceDN w:val="0"/>
        <w:adjustRightInd w:val="0"/>
        <w:jc w:val="both"/>
        <w:rPr>
          <w:rFonts w:ascii="Arial" w:hAnsi="Arial" w:cs="Arial"/>
          <w:szCs w:val="30"/>
        </w:rPr>
      </w:pPr>
      <w:r w:rsidRPr="00A844C9">
        <w:rPr>
          <w:rFonts w:ascii="Arial" w:hAnsi="Arial" w:cs="Arial"/>
        </w:rPr>
        <w:t>Doctors, nurses, paramedics at government hospitals are civil servants and salaried according to civil servant salary schedule which vary in accordance with employment duration, seniority and professional degree. Most non-medical staff such as cleaners and/or maintenance people is contract workers or no longer civil servants</w:t>
      </w:r>
      <w:r w:rsidR="00C73714">
        <w:rPr>
          <w:rFonts w:ascii="Arial" w:hAnsi="Arial" w:cs="Arial"/>
        </w:rPr>
        <w:t xml:space="preserve"> from 2005</w:t>
      </w:r>
      <w:r w:rsidRPr="00A844C9">
        <w:rPr>
          <w:rFonts w:ascii="Arial" w:hAnsi="Arial" w:cs="Arial"/>
        </w:rPr>
        <w:t xml:space="preserve">. The significant strides in the salary increases for civil </w:t>
      </w:r>
      <w:r w:rsidRPr="00A844C9">
        <w:rPr>
          <w:rFonts w:ascii="Arial" w:hAnsi="Arial" w:cs="Arial"/>
        </w:rPr>
        <w:lastRenderedPageBreak/>
        <w:t xml:space="preserve">servants in recent years have made the average wage in the public sector outpace the average private sector wage (WB 2009). However, </w:t>
      </w:r>
      <w:r w:rsidRPr="00A844C9">
        <w:rPr>
          <w:rFonts w:ascii="Arial" w:hAnsi="Arial" w:cs="Arial"/>
          <w:szCs w:val="30"/>
        </w:rPr>
        <w:t xml:space="preserve">health care personnel are still underpaid and face hard working conditions. </w:t>
      </w:r>
    </w:p>
    <w:p w14:paraId="7DE55963" w14:textId="77777777" w:rsidR="00147CD1" w:rsidRDefault="00147CD1" w:rsidP="00147CD1">
      <w:pPr>
        <w:rPr>
          <w:lang w:val="en-GB"/>
        </w:rPr>
      </w:pPr>
      <w:bookmarkStart w:id="5" w:name="_Toc305764301"/>
    </w:p>
    <w:p w14:paraId="3CDC4B57" w14:textId="77777777" w:rsidR="007A1B5C" w:rsidRDefault="007A1B5C" w:rsidP="007A1B5C">
      <w:pPr>
        <w:pStyle w:val="Heading3"/>
        <w:spacing w:before="0"/>
        <w:rPr>
          <w:lang w:val="en-GB"/>
        </w:rPr>
      </w:pPr>
    </w:p>
    <w:p w14:paraId="07FAC706" w14:textId="79D1BA4F" w:rsidR="00A50AA9" w:rsidRPr="00147CD1" w:rsidRDefault="00C011B2" w:rsidP="007A1B5C">
      <w:pPr>
        <w:pStyle w:val="Heading3"/>
        <w:spacing w:before="0"/>
        <w:rPr>
          <w:lang w:val="en-GB"/>
        </w:rPr>
      </w:pPr>
      <w:r>
        <w:rPr>
          <w:lang w:val="en-GB"/>
        </w:rPr>
        <w:t>Health care financing</w:t>
      </w:r>
      <w:bookmarkEnd w:id="5"/>
      <w:r>
        <w:rPr>
          <w:lang w:val="en-GB"/>
        </w:rPr>
        <w:t xml:space="preserve"> </w:t>
      </w:r>
    </w:p>
    <w:p w14:paraId="1AD21341" w14:textId="77777777" w:rsidR="003354AF" w:rsidRPr="003354AF" w:rsidRDefault="003354AF" w:rsidP="003354AF"/>
    <w:p w14:paraId="3AB1F630" w14:textId="6B60E3B8" w:rsidR="003C4F73" w:rsidRDefault="00711471" w:rsidP="006229F6">
      <w:pPr>
        <w:autoSpaceDE w:val="0"/>
        <w:autoSpaceDN w:val="0"/>
        <w:adjustRightInd w:val="0"/>
        <w:jc w:val="both"/>
        <w:rPr>
          <w:rFonts w:ascii="Arial" w:hAnsi="Arial" w:cs="Arial"/>
        </w:rPr>
      </w:pPr>
      <w:r w:rsidRPr="00C43D75">
        <w:rPr>
          <w:rFonts w:ascii="Arial" w:hAnsi="Arial" w:cs="Arial"/>
          <w:lang w:val="en-GB"/>
        </w:rPr>
        <w:t xml:space="preserve">Since 2000s, </w:t>
      </w:r>
      <w:r w:rsidR="003354AF">
        <w:rPr>
          <w:rFonts w:ascii="Arial" w:hAnsi="Arial" w:cs="Arial"/>
          <w:lang w:val="en-GB"/>
        </w:rPr>
        <w:t xml:space="preserve">the </w:t>
      </w:r>
      <w:r w:rsidRPr="00C43D75">
        <w:rPr>
          <w:rFonts w:ascii="Arial" w:hAnsi="Arial" w:cs="Arial"/>
          <w:lang w:val="en-GB"/>
        </w:rPr>
        <w:t xml:space="preserve">health care financing </w:t>
      </w:r>
      <w:r w:rsidR="003354AF">
        <w:rPr>
          <w:rFonts w:ascii="Arial" w:hAnsi="Arial" w:cs="Arial"/>
          <w:lang w:val="en-GB"/>
        </w:rPr>
        <w:t>in Mongolia</w:t>
      </w:r>
      <w:r w:rsidRPr="00C43D75">
        <w:rPr>
          <w:rFonts w:ascii="Arial" w:hAnsi="Arial" w:cs="Arial"/>
          <w:lang w:val="en-GB"/>
        </w:rPr>
        <w:t xml:space="preserve"> shifted from largely publicly funded system to increasing out of</w:t>
      </w:r>
      <w:r w:rsidR="00C43D75">
        <w:rPr>
          <w:rFonts w:ascii="Arial" w:hAnsi="Arial" w:cs="Arial"/>
          <w:lang w:val="en-GB"/>
        </w:rPr>
        <w:t xml:space="preserve"> pocket payment for health care</w:t>
      </w:r>
      <w:r w:rsidR="00C43D75">
        <w:rPr>
          <w:rFonts w:ascii="Arial" w:hAnsi="Arial" w:cs="Arial"/>
        </w:rPr>
        <w:t>. WHO data on the</w:t>
      </w:r>
      <w:r w:rsidR="00C43D75" w:rsidRPr="00874E9E">
        <w:rPr>
          <w:rFonts w:ascii="Arial" w:hAnsi="Arial" w:cs="Arial"/>
        </w:rPr>
        <w:t xml:space="preserve"> share of OOPs in T</w:t>
      </w:r>
      <w:r w:rsidR="0009094F">
        <w:rPr>
          <w:rFonts w:ascii="Arial" w:hAnsi="Arial" w:cs="Arial"/>
        </w:rPr>
        <w:t xml:space="preserve">otal </w:t>
      </w:r>
      <w:r w:rsidR="00C43D75" w:rsidRPr="00874E9E">
        <w:rPr>
          <w:rFonts w:ascii="Arial" w:hAnsi="Arial" w:cs="Arial"/>
        </w:rPr>
        <w:t>H</w:t>
      </w:r>
      <w:r w:rsidR="0009094F">
        <w:rPr>
          <w:rFonts w:ascii="Arial" w:hAnsi="Arial" w:cs="Arial"/>
        </w:rPr>
        <w:t xml:space="preserve">ealth </w:t>
      </w:r>
      <w:r w:rsidR="00C43D75" w:rsidRPr="00874E9E">
        <w:rPr>
          <w:rFonts w:ascii="Arial" w:hAnsi="Arial" w:cs="Arial"/>
        </w:rPr>
        <w:t>E</w:t>
      </w:r>
      <w:r w:rsidR="0009094F">
        <w:rPr>
          <w:rFonts w:ascii="Arial" w:hAnsi="Arial" w:cs="Arial"/>
        </w:rPr>
        <w:t>xpenditure (THE)</w:t>
      </w:r>
      <w:r w:rsidR="00C43D75" w:rsidRPr="00874E9E">
        <w:rPr>
          <w:rFonts w:ascii="Arial" w:hAnsi="Arial" w:cs="Arial"/>
        </w:rPr>
        <w:t xml:space="preserve"> </w:t>
      </w:r>
      <w:r w:rsidR="00C43D75">
        <w:rPr>
          <w:rFonts w:ascii="Arial" w:hAnsi="Arial" w:cs="Arial"/>
        </w:rPr>
        <w:t>shows a sharp rise from 12.1% in 2000</w:t>
      </w:r>
      <w:r w:rsidR="00C43D75" w:rsidRPr="00874E9E">
        <w:rPr>
          <w:rFonts w:ascii="Arial" w:hAnsi="Arial" w:cs="Arial"/>
        </w:rPr>
        <w:t xml:space="preserve"> to </w:t>
      </w:r>
      <w:r w:rsidR="00C43D75">
        <w:rPr>
          <w:rFonts w:ascii="Arial" w:hAnsi="Arial" w:cs="Arial"/>
        </w:rPr>
        <w:t>3</w:t>
      </w:r>
      <w:r w:rsidR="002524AD">
        <w:rPr>
          <w:rFonts w:ascii="Arial" w:hAnsi="Arial" w:cs="Arial"/>
        </w:rPr>
        <w:t>5</w:t>
      </w:r>
      <w:r w:rsidR="00C43D75" w:rsidRPr="00874E9E">
        <w:rPr>
          <w:rFonts w:ascii="Arial" w:hAnsi="Arial" w:cs="Arial"/>
        </w:rPr>
        <w:t>% in 20</w:t>
      </w:r>
      <w:r w:rsidR="00C43D75">
        <w:rPr>
          <w:rFonts w:ascii="Arial" w:hAnsi="Arial" w:cs="Arial"/>
        </w:rPr>
        <w:t>12</w:t>
      </w:r>
      <w:r w:rsidR="00C43D75" w:rsidRPr="00874E9E">
        <w:rPr>
          <w:rFonts w:ascii="Arial" w:hAnsi="Arial" w:cs="Arial"/>
        </w:rPr>
        <w:t xml:space="preserve">. </w:t>
      </w:r>
      <w:r w:rsidR="006229F6">
        <w:rPr>
          <w:rFonts w:ascii="Arial" w:hAnsi="Arial" w:cs="Arial"/>
        </w:rPr>
        <w:t>This type of outcome is highly undesirable for a country with traditional socially equitable values and principles</w:t>
      </w:r>
      <w:r w:rsidR="00757904">
        <w:rPr>
          <w:rFonts w:ascii="Arial" w:hAnsi="Arial" w:cs="Arial"/>
        </w:rPr>
        <w:t xml:space="preserve"> and </w:t>
      </w:r>
      <w:r w:rsidR="003354AF">
        <w:rPr>
          <w:rFonts w:ascii="Arial" w:hAnsi="Arial" w:cs="Arial"/>
        </w:rPr>
        <w:t xml:space="preserve">the </w:t>
      </w:r>
      <w:r w:rsidR="00757904">
        <w:rPr>
          <w:rFonts w:ascii="Arial" w:hAnsi="Arial" w:cs="Arial"/>
        </w:rPr>
        <w:t>strong public financing system</w:t>
      </w:r>
      <w:r w:rsidR="006229F6">
        <w:rPr>
          <w:rFonts w:ascii="Arial" w:hAnsi="Arial" w:cs="Arial"/>
        </w:rPr>
        <w:t xml:space="preserve">. </w:t>
      </w:r>
    </w:p>
    <w:p w14:paraId="583E7471" w14:textId="77777777" w:rsidR="003C4F73" w:rsidRDefault="003C4F73" w:rsidP="006229F6">
      <w:pPr>
        <w:autoSpaceDE w:val="0"/>
        <w:autoSpaceDN w:val="0"/>
        <w:adjustRightInd w:val="0"/>
        <w:jc w:val="both"/>
        <w:rPr>
          <w:rFonts w:ascii="Arial" w:hAnsi="Arial" w:cs="Arial"/>
        </w:rPr>
      </w:pPr>
    </w:p>
    <w:p w14:paraId="6F05E731" w14:textId="49652EA1" w:rsidR="003C4F73" w:rsidRPr="004E6055" w:rsidRDefault="00657EAC" w:rsidP="006229F6">
      <w:pPr>
        <w:autoSpaceDE w:val="0"/>
        <w:autoSpaceDN w:val="0"/>
        <w:adjustRightInd w:val="0"/>
        <w:jc w:val="both"/>
        <w:rPr>
          <w:rFonts w:ascii="Arial" w:hAnsi="Arial" w:cs="Arial"/>
          <w:szCs w:val="22"/>
        </w:rPr>
      </w:pPr>
      <w:r w:rsidRPr="004E6055">
        <w:rPr>
          <w:rFonts w:ascii="Arial" w:hAnsi="Arial" w:cs="Arial"/>
          <w:szCs w:val="22"/>
        </w:rPr>
        <w:t>Increases</w:t>
      </w:r>
      <w:r w:rsidR="00A9167D" w:rsidRPr="004E6055">
        <w:rPr>
          <w:rFonts w:ascii="Arial" w:hAnsi="Arial" w:cs="Arial"/>
          <w:szCs w:val="22"/>
        </w:rPr>
        <w:t xml:space="preserve"> in </w:t>
      </w:r>
      <w:r w:rsidR="00447BB0">
        <w:rPr>
          <w:rFonts w:ascii="Arial" w:hAnsi="Arial" w:cs="Arial"/>
          <w:szCs w:val="22"/>
        </w:rPr>
        <w:t xml:space="preserve">per capita </w:t>
      </w:r>
      <w:r w:rsidR="00A9167D" w:rsidRPr="004E6055">
        <w:rPr>
          <w:rFonts w:ascii="Arial" w:hAnsi="Arial" w:cs="Arial"/>
          <w:szCs w:val="22"/>
        </w:rPr>
        <w:t xml:space="preserve">health </w:t>
      </w:r>
      <w:r w:rsidR="00A9167D">
        <w:rPr>
          <w:rFonts w:ascii="Arial" w:hAnsi="Arial" w:cs="Arial"/>
          <w:szCs w:val="22"/>
        </w:rPr>
        <w:t>spending</w:t>
      </w:r>
      <w:r w:rsidR="00A9167D" w:rsidRPr="004E6055">
        <w:rPr>
          <w:rFonts w:ascii="Arial" w:hAnsi="Arial" w:cs="Arial"/>
          <w:szCs w:val="22"/>
        </w:rPr>
        <w:t xml:space="preserve"> over the past decade</w:t>
      </w:r>
      <w:r w:rsidR="00A9167D">
        <w:rPr>
          <w:rFonts w:ascii="Arial" w:hAnsi="Arial" w:cs="Arial"/>
          <w:szCs w:val="22"/>
        </w:rPr>
        <w:t xml:space="preserve"> has been found with g</w:t>
      </w:r>
      <w:r w:rsidR="00A9167D" w:rsidRPr="004E6055">
        <w:rPr>
          <w:rFonts w:ascii="Arial" w:hAnsi="Arial" w:cs="Arial"/>
          <w:szCs w:val="22"/>
        </w:rPr>
        <w:t>overnment health expenditures increas</w:t>
      </w:r>
      <w:r w:rsidR="00A9167D">
        <w:rPr>
          <w:rFonts w:ascii="Arial" w:hAnsi="Arial" w:cs="Arial"/>
          <w:szCs w:val="22"/>
        </w:rPr>
        <w:t>ing</w:t>
      </w:r>
      <w:r w:rsidR="00A9167D" w:rsidRPr="004E6055">
        <w:rPr>
          <w:rFonts w:ascii="Arial" w:hAnsi="Arial" w:cs="Arial"/>
          <w:szCs w:val="22"/>
        </w:rPr>
        <w:t xml:space="preserve"> from M</w:t>
      </w:r>
      <w:r w:rsidR="00942D58">
        <w:rPr>
          <w:rFonts w:ascii="Arial" w:hAnsi="Arial" w:cs="Arial"/>
          <w:szCs w:val="22"/>
        </w:rPr>
        <w:t>NT40597</w:t>
      </w:r>
      <w:r w:rsidR="00A9167D" w:rsidRPr="004E6055">
        <w:rPr>
          <w:rFonts w:ascii="Arial" w:hAnsi="Arial" w:cs="Arial"/>
          <w:szCs w:val="22"/>
        </w:rPr>
        <w:t xml:space="preserve"> in 200</w:t>
      </w:r>
      <w:r w:rsidR="00942D58">
        <w:rPr>
          <w:rFonts w:ascii="Arial" w:hAnsi="Arial" w:cs="Arial"/>
          <w:szCs w:val="22"/>
        </w:rPr>
        <w:t>5</w:t>
      </w:r>
      <w:r w:rsidR="00A9167D" w:rsidRPr="004E6055">
        <w:rPr>
          <w:rFonts w:ascii="Arial" w:hAnsi="Arial" w:cs="Arial"/>
          <w:szCs w:val="22"/>
        </w:rPr>
        <w:t xml:space="preserve"> to MNT</w:t>
      </w:r>
      <w:r w:rsidR="00942D58">
        <w:rPr>
          <w:rFonts w:ascii="Arial" w:hAnsi="Arial" w:cs="Arial"/>
          <w:szCs w:val="22"/>
        </w:rPr>
        <w:t>197778</w:t>
      </w:r>
      <w:r>
        <w:rPr>
          <w:rFonts w:ascii="Arial" w:hAnsi="Arial" w:cs="Arial"/>
          <w:szCs w:val="22"/>
        </w:rPr>
        <w:t xml:space="preserve"> </w:t>
      </w:r>
      <w:r w:rsidR="00942D58">
        <w:rPr>
          <w:rFonts w:ascii="Arial" w:hAnsi="Arial" w:cs="Arial"/>
          <w:szCs w:val="22"/>
        </w:rPr>
        <w:t>in the year 2012</w:t>
      </w:r>
      <w:r w:rsidR="00A9167D" w:rsidRPr="004E6055">
        <w:rPr>
          <w:rFonts w:ascii="Arial" w:hAnsi="Arial" w:cs="Arial"/>
          <w:szCs w:val="22"/>
        </w:rPr>
        <w:t xml:space="preserve"> </w:t>
      </w:r>
      <w:r w:rsidR="003354AF">
        <w:rPr>
          <w:rFonts w:ascii="Arial" w:hAnsi="Arial" w:cs="Arial"/>
          <w:szCs w:val="22"/>
        </w:rPr>
        <w:t>in</w:t>
      </w:r>
      <w:r>
        <w:rPr>
          <w:rFonts w:ascii="Arial" w:hAnsi="Arial" w:cs="Arial"/>
          <w:szCs w:val="22"/>
        </w:rPr>
        <w:t xml:space="preserve"> absolute</w:t>
      </w:r>
      <w:r w:rsidRPr="004E6055">
        <w:rPr>
          <w:rFonts w:ascii="Arial" w:hAnsi="Arial" w:cs="Arial"/>
          <w:szCs w:val="22"/>
        </w:rPr>
        <w:t xml:space="preserve"> </w:t>
      </w:r>
      <w:r>
        <w:rPr>
          <w:rFonts w:ascii="Arial" w:hAnsi="Arial" w:cs="Arial"/>
          <w:szCs w:val="22"/>
        </w:rPr>
        <w:t xml:space="preserve">terms. However </w:t>
      </w:r>
      <w:r w:rsidR="00A9167D" w:rsidRPr="004E6055">
        <w:rPr>
          <w:rFonts w:ascii="Arial" w:hAnsi="Arial" w:cs="Arial"/>
          <w:szCs w:val="22"/>
        </w:rPr>
        <w:t xml:space="preserve">it </w:t>
      </w:r>
      <w:r>
        <w:rPr>
          <w:rFonts w:ascii="Arial" w:hAnsi="Arial" w:cs="Arial"/>
          <w:szCs w:val="22"/>
        </w:rPr>
        <w:t xml:space="preserve">has not kept pace with the </w:t>
      </w:r>
      <w:r w:rsidR="00942D58">
        <w:rPr>
          <w:rFonts w:ascii="Arial" w:hAnsi="Arial" w:cs="Arial"/>
          <w:szCs w:val="22"/>
        </w:rPr>
        <w:t xml:space="preserve">significant </w:t>
      </w:r>
      <w:r w:rsidR="00A9167D" w:rsidRPr="004E6055">
        <w:rPr>
          <w:rFonts w:ascii="Arial" w:hAnsi="Arial" w:cs="Arial"/>
          <w:szCs w:val="22"/>
        </w:rPr>
        <w:t>increase</w:t>
      </w:r>
      <w:r w:rsidR="00196A27">
        <w:rPr>
          <w:rFonts w:ascii="Arial" w:hAnsi="Arial" w:cs="Arial"/>
          <w:szCs w:val="22"/>
        </w:rPr>
        <w:t>s</w:t>
      </w:r>
      <w:r w:rsidR="00A9167D" w:rsidRPr="004E6055">
        <w:rPr>
          <w:rFonts w:ascii="Arial" w:hAnsi="Arial" w:cs="Arial"/>
          <w:szCs w:val="22"/>
        </w:rPr>
        <w:t xml:space="preserve"> </w:t>
      </w:r>
      <w:r w:rsidR="00196A27">
        <w:rPr>
          <w:rFonts w:ascii="Arial" w:hAnsi="Arial" w:cs="Arial"/>
          <w:szCs w:val="22"/>
        </w:rPr>
        <w:t>of</w:t>
      </w:r>
      <w:r w:rsidR="00447BB0">
        <w:rPr>
          <w:rFonts w:ascii="Arial" w:hAnsi="Arial" w:cs="Arial"/>
          <w:szCs w:val="22"/>
        </w:rPr>
        <w:t xml:space="preserve"> G</w:t>
      </w:r>
      <w:r w:rsidR="00A9167D" w:rsidRPr="004E6055">
        <w:rPr>
          <w:rFonts w:ascii="Arial" w:hAnsi="Arial" w:cs="Arial"/>
          <w:szCs w:val="22"/>
        </w:rPr>
        <w:t xml:space="preserve">ross domestic product </w:t>
      </w:r>
      <w:r w:rsidR="00447BB0">
        <w:rPr>
          <w:rFonts w:ascii="Arial" w:hAnsi="Arial" w:cs="Arial"/>
          <w:szCs w:val="22"/>
        </w:rPr>
        <w:t xml:space="preserve">(GDP) </w:t>
      </w:r>
      <w:r>
        <w:rPr>
          <w:rFonts w:ascii="Arial" w:hAnsi="Arial" w:cs="Arial"/>
          <w:szCs w:val="22"/>
        </w:rPr>
        <w:t xml:space="preserve">and total government expenditure </w:t>
      </w:r>
      <w:r w:rsidR="00A9167D" w:rsidRPr="004E6055">
        <w:rPr>
          <w:rFonts w:ascii="Arial" w:hAnsi="Arial" w:cs="Arial"/>
          <w:szCs w:val="22"/>
        </w:rPr>
        <w:t>over the same period</w:t>
      </w:r>
      <w:r w:rsidR="00196A27">
        <w:rPr>
          <w:rFonts w:ascii="Arial" w:hAnsi="Arial" w:cs="Arial"/>
          <w:szCs w:val="22"/>
        </w:rPr>
        <w:t xml:space="preserve"> as the </w:t>
      </w:r>
      <w:r w:rsidR="00196A27" w:rsidRPr="004E6055">
        <w:rPr>
          <w:rFonts w:ascii="Arial" w:hAnsi="Arial" w:cs="Arial"/>
          <w:szCs w:val="22"/>
        </w:rPr>
        <w:t xml:space="preserve">percentage of total government health expenditures </w:t>
      </w:r>
      <w:r w:rsidR="00196A27">
        <w:rPr>
          <w:rFonts w:ascii="Arial" w:hAnsi="Arial" w:cs="Arial"/>
          <w:szCs w:val="22"/>
        </w:rPr>
        <w:t>in</w:t>
      </w:r>
      <w:r w:rsidR="00942D58">
        <w:rPr>
          <w:rFonts w:ascii="Arial" w:hAnsi="Arial" w:cs="Arial"/>
          <w:szCs w:val="22"/>
        </w:rPr>
        <w:t xml:space="preserve"> total government expenditure</w:t>
      </w:r>
      <w:r w:rsidR="00196A27" w:rsidRPr="004E6055">
        <w:rPr>
          <w:rFonts w:ascii="Arial" w:hAnsi="Arial" w:cs="Arial"/>
          <w:szCs w:val="22"/>
        </w:rPr>
        <w:t xml:space="preserve"> </w:t>
      </w:r>
      <w:r w:rsidR="003C4F73" w:rsidRPr="004E6055">
        <w:rPr>
          <w:rFonts w:ascii="Arial" w:hAnsi="Arial" w:cs="Arial"/>
          <w:szCs w:val="22"/>
        </w:rPr>
        <w:t>decrease</w:t>
      </w:r>
      <w:r w:rsidR="00196A27">
        <w:rPr>
          <w:rFonts w:ascii="Arial" w:hAnsi="Arial" w:cs="Arial"/>
          <w:szCs w:val="22"/>
        </w:rPr>
        <w:t>d</w:t>
      </w:r>
      <w:r w:rsidR="003C4F73" w:rsidRPr="004E6055">
        <w:rPr>
          <w:rFonts w:ascii="Arial" w:hAnsi="Arial" w:cs="Arial"/>
          <w:szCs w:val="22"/>
        </w:rPr>
        <w:t xml:space="preserve"> from </w:t>
      </w:r>
      <w:r w:rsidR="00942D58">
        <w:rPr>
          <w:rFonts w:ascii="Arial" w:hAnsi="Arial" w:cs="Arial"/>
          <w:szCs w:val="22"/>
        </w:rPr>
        <w:t>13</w:t>
      </w:r>
      <w:r w:rsidR="003C4F73" w:rsidRPr="004E6055">
        <w:rPr>
          <w:rFonts w:ascii="Arial" w:hAnsi="Arial" w:cs="Arial"/>
          <w:szCs w:val="22"/>
        </w:rPr>
        <w:t>% in 200</w:t>
      </w:r>
      <w:r w:rsidR="00942D58">
        <w:rPr>
          <w:rFonts w:ascii="Arial" w:hAnsi="Arial" w:cs="Arial"/>
          <w:szCs w:val="22"/>
        </w:rPr>
        <w:t>5</w:t>
      </w:r>
      <w:r w:rsidR="003C4F73" w:rsidRPr="004E6055">
        <w:rPr>
          <w:rFonts w:ascii="Arial" w:hAnsi="Arial" w:cs="Arial"/>
          <w:szCs w:val="22"/>
        </w:rPr>
        <w:t xml:space="preserve"> to </w:t>
      </w:r>
      <w:r w:rsidR="00942D58">
        <w:rPr>
          <w:rFonts w:ascii="Arial" w:hAnsi="Arial" w:cs="Arial"/>
          <w:szCs w:val="22"/>
        </w:rPr>
        <w:t>9</w:t>
      </w:r>
      <w:r w:rsidR="003C4F73" w:rsidRPr="004E6055">
        <w:rPr>
          <w:rFonts w:ascii="Arial" w:hAnsi="Arial" w:cs="Arial"/>
          <w:szCs w:val="22"/>
        </w:rPr>
        <w:t>% in 2012. Total government health e</w:t>
      </w:r>
      <w:r w:rsidR="0009094F">
        <w:rPr>
          <w:rFonts w:ascii="Arial" w:hAnsi="Arial" w:cs="Arial"/>
          <w:szCs w:val="22"/>
        </w:rPr>
        <w:t>xpenditures as a proportion to G</w:t>
      </w:r>
      <w:r w:rsidR="00447BB0">
        <w:rPr>
          <w:rFonts w:ascii="Arial" w:hAnsi="Arial" w:cs="Arial"/>
          <w:szCs w:val="22"/>
        </w:rPr>
        <w:t>DP remained constant at about 3.7%</w:t>
      </w:r>
      <w:r w:rsidR="003C4F73" w:rsidRPr="004E6055">
        <w:rPr>
          <w:rFonts w:ascii="Arial" w:hAnsi="Arial" w:cs="Arial"/>
          <w:szCs w:val="22"/>
        </w:rPr>
        <w:t xml:space="preserve"> during last ten years.</w:t>
      </w:r>
    </w:p>
    <w:p w14:paraId="50834254" w14:textId="77777777" w:rsidR="003C4F73" w:rsidRDefault="003C4F73" w:rsidP="006229F6">
      <w:pPr>
        <w:autoSpaceDE w:val="0"/>
        <w:autoSpaceDN w:val="0"/>
        <w:adjustRightInd w:val="0"/>
        <w:jc w:val="both"/>
        <w:rPr>
          <w:rFonts w:ascii="Arial" w:hAnsi="Arial" w:cs="Arial"/>
          <w:sz w:val="22"/>
          <w:szCs w:val="22"/>
        </w:rPr>
      </w:pPr>
    </w:p>
    <w:p w14:paraId="56947059" w14:textId="09AC7F1D" w:rsidR="004E6055" w:rsidRDefault="004E6055" w:rsidP="004E6055">
      <w:pPr>
        <w:pStyle w:val="Caption"/>
        <w:rPr>
          <w:rFonts w:ascii="Arial" w:hAnsi="Arial" w:cs="Arial"/>
          <w:b w:val="0"/>
          <w:sz w:val="22"/>
        </w:rPr>
      </w:pPr>
      <w:bookmarkStart w:id="6" w:name="_Toc310170084"/>
      <w:r w:rsidRPr="00156753">
        <w:rPr>
          <w:rFonts w:ascii="Arial" w:hAnsi="Arial" w:cs="Arial"/>
          <w:b w:val="0"/>
          <w:sz w:val="22"/>
        </w:rPr>
        <w:t xml:space="preserve">Table </w:t>
      </w:r>
      <w:r w:rsidR="00CB191B" w:rsidRPr="00156753">
        <w:rPr>
          <w:rFonts w:ascii="Arial" w:hAnsi="Arial" w:cs="Arial"/>
          <w:b w:val="0"/>
          <w:sz w:val="22"/>
        </w:rPr>
        <w:fldChar w:fldCharType="begin"/>
      </w:r>
      <w:r w:rsidRPr="00156753">
        <w:rPr>
          <w:rFonts w:ascii="Arial" w:hAnsi="Arial" w:cs="Arial"/>
          <w:b w:val="0"/>
          <w:sz w:val="22"/>
        </w:rPr>
        <w:instrText xml:space="preserve"> SEQ Table \* ARABIC </w:instrText>
      </w:r>
      <w:r w:rsidR="00CB191B" w:rsidRPr="00156753">
        <w:rPr>
          <w:rFonts w:ascii="Arial" w:hAnsi="Arial" w:cs="Arial"/>
          <w:b w:val="0"/>
          <w:sz w:val="22"/>
        </w:rPr>
        <w:fldChar w:fldCharType="separate"/>
      </w:r>
      <w:r w:rsidR="00A11550">
        <w:rPr>
          <w:rFonts w:ascii="Arial" w:hAnsi="Arial" w:cs="Arial"/>
          <w:b w:val="0"/>
          <w:noProof/>
          <w:sz w:val="22"/>
        </w:rPr>
        <w:t>1</w:t>
      </w:r>
      <w:r w:rsidR="00CB191B" w:rsidRPr="00156753">
        <w:rPr>
          <w:rFonts w:ascii="Arial" w:hAnsi="Arial" w:cs="Arial"/>
          <w:b w:val="0"/>
          <w:sz w:val="22"/>
        </w:rPr>
        <w:fldChar w:fldCharType="end"/>
      </w:r>
      <w:r w:rsidR="00EB44F9">
        <w:rPr>
          <w:rFonts w:ascii="Arial" w:hAnsi="Arial" w:cs="Arial"/>
          <w:b w:val="0"/>
          <w:sz w:val="22"/>
        </w:rPr>
        <w:t xml:space="preserve">: Sources of revenue as </w:t>
      </w:r>
      <w:r w:rsidRPr="00156753">
        <w:rPr>
          <w:rFonts w:ascii="Arial" w:hAnsi="Arial" w:cs="Arial"/>
          <w:b w:val="0"/>
          <w:sz w:val="22"/>
        </w:rPr>
        <w:t>percentage of total expenditure on health</w:t>
      </w:r>
      <w:r w:rsidR="00EB44F9">
        <w:rPr>
          <w:rFonts w:ascii="Arial" w:hAnsi="Arial" w:cs="Arial"/>
          <w:b w:val="0"/>
          <w:sz w:val="22"/>
        </w:rPr>
        <w:t>,</w:t>
      </w:r>
      <w:r w:rsidRPr="00156753">
        <w:rPr>
          <w:rFonts w:ascii="Arial" w:hAnsi="Arial" w:cs="Arial"/>
          <w:b w:val="0"/>
          <w:sz w:val="22"/>
        </w:rPr>
        <w:t xml:space="preserve"> </w:t>
      </w:r>
      <w:r w:rsidR="00EB44F9">
        <w:rPr>
          <w:rFonts w:ascii="Arial" w:hAnsi="Arial" w:cs="Arial"/>
          <w:b w:val="0"/>
          <w:sz w:val="22"/>
        </w:rPr>
        <w:t>2000</w:t>
      </w:r>
      <w:r w:rsidRPr="00156753">
        <w:rPr>
          <w:rFonts w:ascii="Arial" w:hAnsi="Arial" w:cs="Arial"/>
          <w:b w:val="0"/>
          <w:sz w:val="22"/>
        </w:rPr>
        <w:t>-201</w:t>
      </w:r>
      <w:r w:rsidR="00EB44F9">
        <w:rPr>
          <w:rFonts w:ascii="Arial" w:hAnsi="Arial" w:cs="Arial"/>
          <w:b w:val="0"/>
          <w:sz w:val="22"/>
        </w:rPr>
        <w:t>2</w:t>
      </w:r>
      <w:bookmarkEnd w:id="6"/>
      <w:r w:rsidRPr="00156753">
        <w:rPr>
          <w:rFonts w:ascii="Arial" w:hAnsi="Arial" w:cs="Arial"/>
          <w:b w:val="0"/>
          <w:sz w:val="22"/>
        </w:rPr>
        <w:t xml:space="preserve"> </w:t>
      </w:r>
    </w:p>
    <w:tbl>
      <w:tblPr>
        <w:tblW w:w="9976" w:type="dxa"/>
        <w:tblInd w:w="93" w:type="dxa"/>
        <w:tblBorders>
          <w:top w:val="single" w:sz="4" w:space="0" w:color="auto"/>
          <w:bottom w:val="single" w:sz="4" w:space="0" w:color="auto"/>
        </w:tblBorders>
        <w:tblLayout w:type="fixed"/>
        <w:tblLook w:val="04A0" w:firstRow="1" w:lastRow="0" w:firstColumn="1" w:lastColumn="0" w:noHBand="0" w:noVBand="1"/>
      </w:tblPr>
      <w:tblGrid>
        <w:gridCol w:w="2265"/>
        <w:gridCol w:w="593"/>
        <w:gridCol w:w="593"/>
        <w:gridCol w:w="593"/>
        <w:gridCol w:w="593"/>
        <w:gridCol w:w="593"/>
        <w:gridCol w:w="593"/>
        <w:gridCol w:w="594"/>
        <w:gridCol w:w="593"/>
        <w:gridCol w:w="593"/>
        <w:gridCol w:w="593"/>
        <w:gridCol w:w="593"/>
        <w:gridCol w:w="593"/>
        <w:gridCol w:w="594"/>
      </w:tblGrid>
      <w:tr w:rsidR="00EB44F9" w:rsidRPr="00EB44F9" w14:paraId="08DF7464" w14:textId="77777777" w:rsidTr="003354AF">
        <w:trPr>
          <w:trHeight w:val="290"/>
        </w:trPr>
        <w:tc>
          <w:tcPr>
            <w:tcW w:w="2265" w:type="dxa"/>
            <w:tcBorders>
              <w:top w:val="single" w:sz="4" w:space="0" w:color="auto"/>
              <w:bottom w:val="single" w:sz="4" w:space="0" w:color="auto"/>
            </w:tcBorders>
            <w:shd w:val="clear" w:color="000000" w:fill="FFFFFF"/>
            <w:noWrap/>
            <w:vAlign w:val="bottom"/>
            <w:hideMark/>
          </w:tcPr>
          <w:p w14:paraId="0C7952FC" w14:textId="63E5770C" w:rsidR="00EB44F9" w:rsidRPr="00EB44F9" w:rsidRDefault="00EB44F9" w:rsidP="00EB44F9">
            <w:pPr>
              <w:rPr>
                <w:rFonts w:ascii="Arial Narrow" w:hAnsi="Arial Narrow" w:cs="Arial"/>
                <w:sz w:val="22"/>
                <w:szCs w:val="22"/>
              </w:rPr>
            </w:pPr>
            <w:r>
              <w:rPr>
                <w:rFonts w:ascii="Arial Narrow" w:hAnsi="Arial Narrow" w:cs="Arial"/>
                <w:sz w:val="22"/>
                <w:szCs w:val="22"/>
              </w:rPr>
              <w:t>Sources of revenue</w:t>
            </w:r>
          </w:p>
        </w:tc>
        <w:tc>
          <w:tcPr>
            <w:tcW w:w="593" w:type="dxa"/>
            <w:tcBorders>
              <w:top w:val="single" w:sz="4" w:space="0" w:color="auto"/>
              <w:bottom w:val="single" w:sz="4" w:space="0" w:color="auto"/>
            </w:tcBorders>
            <w:shd w:val="clear" w:color="000000" w:fill="FFFFFF"/>
            <w:vAlign w:val="center"/>
            <w:hideMark/>
          </w:tcPr>
          <w:p w14:paraId="2571436C"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2000</w:t>
            </w:r>
          </w:p>
        </w:tc>
        <w:tc>
          <w:tcPr>
            <w:tcW w:w="593" w:type="dxa"/>
            <w:tcBorders>
              <w:top w:val="single" w:sz="4" w:space="0" w:color="auto"/>
              <w:bottom w:val="single" w:sz="4" w:space="0" w:color="auto"/>
            </w:tcBorders>
            <w:shd w:val="clear" w:color="000000" w:fill="FFFFFF"/>
            <w:vAlign w:val="center"/>
            <w:hideMark/>
          </w:tcPr>
          <w:p w14:paraId="053450B8"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2001</w:t>
            </w:r>
          </w:p>
        </w:tc>
        <w:tc>
          <w:tcPr>
            <w:tcW w:w="593" w:type="dxa"/>
            <w:tcBorders>
              <w:top w:val="single" w:sz="4" w:space="0" w:color="auto"/>
              <w:bottom w:val="single" w:sz="4" w:space="0" w:color="auto"/>
            </w:tcBorders>
            <w:shd w:val="clear" w:color="000000" w:fill="FFFFFF"/>
            <w:vAlign w:val="center"/>
            <w:hideMark/>
          </w:tcPr>
          <w:p w14:paraId="43094516"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2002</w:t>
            </w:r>
          </w:p>
        </w:tc>
        <w:tc>
          <w:tcPr>
            <w:tcW w:w="593" w:type="dxa"/>
            <w:tcBorders>
              <w:top w:val="single" w:sz="4" w:space="0" w:color="auto"/>
              <w:bottom w:val="single" w:sz="4" w:space="0" w:color="auto"/>
            </w:tcBorders>
            <w:shd w:val="clear" w:color="000000" w:fill="FFFFFF"/>
            <w:vAlign w:val="center"/>
            <w:hideMark/>
          </w:tcPr>
          <w:p w14:paraId="55AC3734"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2003</w:t>
            </w:r>
          </w:p>
        </w:tc>
        <w:tc>
          <w:tcPr>
            <w:tcW w:w="593" w:type="dxa"/>
            <w:tcBorders>
              <w:top w:val="single" w:sz="4" w:space="0" w:color="auto"/>
              <w:bottom w:val="single" w:sz="4" w:space="0" w:color="auto"/>
            </w:tcBorders>
            <w:shd w:val="clear" w:color="000000" w:fill="FFFFFF"/>
            <w:vAlign w:val="center"/>
            <w:hideMark/>
          </w:tcPr>
          <w:p w14:paraId="4ACEBA67"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2004</w:t>
            </w:r>
          </w:p>
        </w:tc>
        <w:tc>
          <w:tcPr>
            <w:tcW w:w="593" w:type="dxa"/>
            <w:tcBorders>
              <w:top w:val="single" w:sz="4" w:space="0" w:color="auto"/>
              <w:bottom w:val="single" w:sz="4" w:space="0" w:color="auto"/>
            </w:tcBorders>
            <w:shd w:val="clear" w:color="000000" w:fill="FFFFFF"/>
            <w:vAlign w:val="center"/>
            <w:hideMark/>
          </w:tcPr>
          <w:p w14:paraId="77D1EC90"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2005</w:t>
            </w:r>
          </w:p>
        </w:tc>
        <w:tc>
          <w:tcPr>
            <w:tcW w:w="594" w:type="dxa"/>
            <w:tcBorders>
              <w:top w:val="single" w:sz="4" w:space="0" w:color="auto"/>
              <w:bottom w:val="single" w:sz="4" w:space="0" w:color="auto"/>
            </w:tcBorders>
            <w:shd w:val="clear" w:color="000000" w:fill="FFFFFF"/>
            <w:vAlign w:val="center"/>
            <w:hideMark/>
          </w:tcPr>
          <w:p w14:paraId="4B6D46C6"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2006</w:t>
            </w:r>
          </w:p>
        </w:tc>
        <w:tc>
          <w:tcPr>
            <w:tcW w:w="593" w:type="dxa"/>
            <w:tcBorders>
              <w:top w:val="single" w:sz="4" w:space="0" w:color="auto"/>
              <w:bottom w:val="single" w:sz="4" w:space="0" w:color="auto"/>
            </w:tcBorders>
            <w:shd w:val="clear" w:color="000000" w:fill="FFFFFF"/>
            <w:vAlign w:val="center"/>
            <w:hideMark/>
          </w:tcPr>
          <w:p w14:paraId="3A40FA83"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2007</w:t>
            </w:r>
          </w:p>
        </w:tc>
        <w:tc>
          <w:tcPr>
            <w:tcW w:w="593" w:type="dxa"/>
            <w:tcBorders>
              <w:top w:val="single" w:sz="4" w:space="0" w:color="auto"/>
              <w:bottom w:val="single" w:sz="4" w:space="0" w:color="auto"/>
            </w:tcBorders>
            <w:shd w:val="clear" w:color="000000" w:fill="FFFFFF"/>
            <w:vAlign w:val="center"/>
            <w:hideMark/>
          </w:tcPr>
          <w:p w14:paraId="69D75299"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2008</w:t>
            </w:r>
          </w:p>
        </w:tc>
        <w:tc>
          <w:tcPr>
            <w:tcW w:w="593" w:type="dxa"/>
            <w:tcBorders>
              <w:top w:val="single" w:sz="4" w:space="0" w:color="auto"/>
              <w:bottom w:val="single" w:sz="4" w:space="0" w:color="auto"/>
            </w:tcBorders>
            <w:shd w:val="clear" w:color="000000" w:fill="FFFFFF"/>
            <w:vAlign w:val="center"/>
            <w:hideMark/>
          </w:tcPr>
          <w:p w14:paraId="04889DB7"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2009</w:t>
            </w:r>
          </w:p>
        </w:tc>
        <w:tc>
          <w:tcPr>
            <w:tcW w:w="593" w:type="dxa"/>
            <w:tcBorders>
              <w:top w:val="single" w:sz="4" w:space="0" w:color="auto"/>
              <w:bottom w:val="single" w:sz="4" w:space="0" w:color="auto"/>
            </w:tcBorders>
            <w:shd w:val="clear" w:color="000000" w:fill="FFFFFF"/>
            <w:vAlign w:val="center"/>
            <w:hideMark/>
          </w:tcPr>
          <w:p w14:paraId="081718B3"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2010</w:t>
            </w:r>
          </w:p>
        </w:tc>
        <w:tc>
          <w:tcPr>
            <w:tcW w:w="593" w:type="dxa"/>
            <w:tcBorders>
              <w:top w:val="single" w:sz="4" w:space="0" w:color="auto"/>
              <w:bottom w:val="single" w:sz="4" w:space="0" w:color="auto"/>
            </w:tcBorders>
            <w:shd w:val="clear" w:color="000000" w:fill="FFFFFF"/>
            <w:vAlign w:val="center"/>
            <w:hideMark/>
          </w:tcPr>
          <w:p w14:paraId="791B4CBC"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2011</w:t>
            </w:r>
          </w:p>
        </w:tc>
        <w:tc>
          <w:tcPr>
            <w:tcW w:w="594" w:type="dxa"/>
            <w:tcBorders>
              <w:top w:val="single" w:sz="4" w:space="0" w:color="auto"/>
              <w:bottom w:val="single" w:sz="4" w:space="0" w:color="auto"/>
            </w:tcBorders>
            <w:shd w:val="clear" w:color="000000" w:fill="FFFFFF"/>
            <w:vAlign w:val="center"/>
            <w:hideMark/>
          </w:tcPr>
          <w:p w14:paraId="275BD3F7"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2012</w:t>
            </w:r>
          </w:p>
        </w:tc>
      </w:tr>
      <w:tr w:rsidR="00EB44F9" w:rsidRPr="00EB44F9" w14:paraId="5AC12C00" w14:textId="77777777" w:rsidTr="003354AF">
        <w:trPr>
          <w:trHeight w:val="290"/>
        </w:trPr>
        <w:tc>
          <w:tcPr>
            <w:tcW w:w="2265" w:type="dxa"/>
            <w:tcBorders>
              <w:top w:val="single" w:sz="4" w:space="0" w:color="auto"/>
            </w:tcBorders>
            <w:shd w:val="clear" w:color="000000" w:fill="FFFFFF"/>
            <w:noWrap/>
            <w:vAlign w:val="center"/>
            <w:hideMark/>
          </w:tcPr>
          <w:p w14:paraId="7F80C2A4" w14:textId="77777777" w:rsidR="00EB44F9" w:rsidRPr="00EB44F9" w:rsidRDefault="00EB44F9" w:rsidP="00EB44F9">
            <w:pPr>
              <w:rPr>
                <w:rFonts w:ascii="Arial Narrow" w:hAnsi="Arial Narrow" w:cs="Arial"/>
                <w:color w:val="000000"/>
                <w:sz w:val="22"/>
                <w:szCs w:val="22"/>
              </w:rPr>
            </w:pPr>
            <w:r w:rsidRPr="00EB44F9">
              <w:rPr>
                <w:rFonts w:ascii="Arial Narrow" w:hAnsi="Arial Narrow" w:cs="Arial"/>
                <w:color w:val="000000"/>
                <w:sz w:val="22"/>
                <w:szCs w:val="22"/>
              </w:rPr>
              <w:t>Government expenditure</w:t>
            </w:r>
          </w:p>
        </w:tc>
        <w:tc>
          <w:tcPr>
            <w:tcW w:w="593" w:type="dxa"/>
            <w:tcBorders>
              <w:top w:val="single" w:sz="4" w:space="0" w:color="auto"/>
            </w:tcBorders>
            <w:shd w:val="clear" w:color="000000" w:fill="FFFFFF"/>
            <w:noWrap/>
            <w:vAlign w:val="bottom"/>
            <w:hideMark/>
          </w:tcPr>
          <w:p w14:paraId="09B81521"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62</w:t>
            </w:r>
          </w:p>
        </w:tc>
        <w:tc>
          <w:tcPr>
            <w:tcW w:w="593" w:type="dxa"/>
            <w:tcBorders>
              <w:top w:val="single" w:sz="4" w:space="0" w:color="auto"/>
            </w:tcBorders>
            <w:shd w:val="clear" w:color="000000" w:fill="FFFFFF"/>
            <w:noWrap/>
            <w:vAlign w:val="bottom"/>
            <w:hideMark/>
          </w:tcPr>
          <w:p w14:paraId="760F36BA"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58</w:t>
            </w:r>
          </w:p>
        </w:tc>
        <w:tc>
          <w:tcPr>
            <w:tcW w:w="593" w:type="dxa"/>
            <w:tcBorders>
              <w:top w:val="single" w:sz="4" w:space="0" w:color="auto"/>
            </w:tcBorders>
            <w:shd w:val="clear" w:color="000000" w:fill="FFFFFF"/>
            <w:noWrap/>
            <w:vAlign w:val="bottom"/>
            <w:hideMark/>
          </w:tcPr>
          <w:p w14:paraId="40B37010"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50</w:t>
            </w:r>
          </w:p>
        </w:tc>
        <w:tc>
          <w:tcPr>
            <w:tcW w:w="593" w:type="dxa"/>
            <w:tcBorders>
              <w:top w:val="single" w:sz="4" w:space="0" w:color="auto"/>
            </w:tcBorders>
            <w:shd w:val="clear" w:color="000000" w:fill="FFFFFF"/>
            <w:noWrap/>
            <w:vAlign w:val="bottom"/>
            <w:hideMark/>
          </w:tcPr>
          <w:p w14:paraId="3EDEDE45"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43</w:t>
            </w:r>
          </w:p>
        </w:tc>
        <w:tc>
          <w:tcPr>
            <w:tcW w:w="593" w:type="dxa"/>
            <w:tcBorders>
              <w:top w:val="single" w:sz="4" w:space="0" w:color="auto"/>
            </w:tcBorders>
            <w:shd w:val="clear" w:color="000000" w:fill="FFFFFF"/>
            <w:noWrap/>
            <w:vAlign w:val="bottom"/>
            <w:hideMark/>
          </w:tcPr>
          <w:p w14:paraId="0701C959"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44</w:t>
            </w:r>
          </w:p>
        </w:tc>
        <w:tc>
          <w:tcPr>
            <w:tcW w:w="593" w:type="dxa"/>
            <w:tcBorders>
              <w:top w:val="single" w:sz="4" w:space="0" w:color="auto"/>
            </w:tcBorders>
            <w:shd w:val="clear" w:color="000000" w:fill="FFFFFF"/>
            <w:noWrap/>
            <w:vAlign w:val="bottom"/>
            <w:hideMark/>
          </w:tcPr>
          <w:p w14:paraId="6A960B5C"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44</w:t>
            </w:r>
          </w:p>
        </w:tc>
        <w:tc>
          <w:tcPr>
            <w:tcW w:w="594" w:type="dxa"/>
            <w:tcBorders>
              <w:top w:val="single" w:sz="4" w:space="0" w:color="auto"/>
            </w:tcBorders>
            <w:shd w:val="clear" w:color="000000" w:fill="FFFFFF"/>
            <w:noWrap/>
            <w:vAlign w:val="bottom"/>
            <w:hideMark/>
          </w:tcPr>
          <w:p w14:paraId="193EB2D3"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46</w:t>
            </w:r>
          </w:p>
        </w:tc>
        <w:tc>
          <w:tcPr>
            <w:tcW w:w="593" w:type="dxa"/>
            <w:tcBorders>
              <w:top w:val="single" w:sz="4" w:space="0" w:color="auto"/>
            </w:tcBorders>
            <w:shd w:val="clear" w:color="000000" w:fill="FFFFFF"/>
            <w:noWrap/>
            <w:vAlign w:val="bottom"/>
            <w:hideMark/>
          </w:tcPr>
          <w:p w14:paraId="155EF96F"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50</w:t>
            </w:r>
          </w:p>
        </w:tc>
        <w:tc>
          <w:tcPr>
            <w:tcW w:w="593" w:type="dxa"/>
            <w:tcBorders>
              <w:top w:val="single" w:sz="4" w:space="0" w:color="auto"/>
            </w:tcBorders>
            <w:shd w:val="clear" w:color="000000" w:fill="FFFFFF"/>
            <w:noWrap/>
            <w:vAlign w:val="bottom"/>
            <w:hideMark/>
          </w:tcPr>
          <w:p w14:paraId="7793D450"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49</w:t>
            </w:r>
          </w:p>
        </w:tc>
        <w:tc>
          <w:tcPr>
            <w:tcW w:w="593" w:type="dxa"/>
            <w:tcBorders>
              <w:top w:val="single" w:sz="4" w:space="0" w:color="auto"/>
            </w:tcBorders>
            <w:shd w:val="clear" w:color="000000" w:fill="FFFFFF"/>
            <w:noWrap/>
            <w:vAlign w:val="bottom"/>
            <w:hideMark/>
          </w:tcPr>
          <w:p w14:paraId="7D44FBB7"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46</w:t>
            </w:r>
          </w:p>
        </w:tc>
        <w:tc>
          <w:tcPr>
            <w:tcW w:w="593" w:type="dxa"/>
            <w:tcBorders>
              <w:top w:val="single" w:sz="4" w:space="0" w:color="auto"/>
            </w:tcBorders>
            <w:shd w:val="clear" w:color="000000" w:fill="FFFFFF"/>
            <w:noWrap/>
            <w:vAlign w:val="bottom"/>
            <w:hideMark/>
          </w:tcPr>
          <w:p w14:paraId="5A79A905"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47</w:t>
            </w:r>
          </w:p>
        </w:tc>
        <w:tc>
          <w:tcPr>
            <w:tcW w:w="593" w:type="dxa"/>
            <w:tcBorders>
              <w:top w:val="single" w:sz="4" w:space="0" w:color="auto"/>
            </w:tcBorders>
            <w:shd w:val="clear" w:color="000000" w:fill="FFFFFF"/>
            <w:noWrap/>
            <w:vAlign w:val="bottom"/>
            <w:hideMark/>
          </w:tcPr>
          <w:p w14:paraId="0856034E"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50</w:t>
            </w:r>
          </w:p>
        </w:tc>
        <w:tc>
          <w:tcPr>
            <w:tcW w:w="594" w:type="dxa"/>
            <w:tcBorders>
              <w:top w:val="single" w:sz="4" w:space="0" w:color="auto"/>
            </w:tcBorders>
            <w:shd w:val="clear" w:color="000000" w:fill="FFFFFF"/>
            <w:noWrap/>
            <w:vAlign w:val="bottom"/>
            <w:hideMark/>
          </w:tcPr>
          <w:p w14:paraId="66C97CAF"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49</w:t>
            </w:r>
          </w:p>
        </w:tc>
      </w:tr>
      <w:tr w:rsidR="00EB44F9" w:rsidRPr="00EB44F9" w14:paraId="02EE26F0" w14:textId="77777777" w:rsidTr="003354AF">
        <w:trPr>
          <w:trHeight w:val="290"/>
        </w:trPr>
        <w:tc>
          <w:tcPr>
            <w:tcW w:w="2265" w:type="dxa"/>
            <w:shd w:val="clear" w:color="000000" w:fill="FFFFFF"/>
            <w:noWrap/>
            <w:vAlign w:val="center"/>
            <w:hideMark/>
          </w:tcPr>
          <w:p w14:paraId="3FC1E174" w14:textId="77777777" w:rsidR="00EB44F9" w:rsidRPr="00EB44F9" w:rsidRDefault="00EB44F9" w:rsidP="00EB44F9">
            <w:pPr>
              <w:rPr>
                <w:rFonts w:ascii="Arial Narrow" w:hAnsi="Arial Narrow" w:cs="Arial"/>
                <w:color w:val="000000"/>
                <w:sz w:val="22"/>
                <w:szCs w:val="22"/>
              </w:rPr>
            </w:pPr>
            <w:r w:rsidRPr="00EB44F9">
              <w:rPr>
                <w:rFonts w:ascii="Arial Narrow" w:hAnsi="Arial Narrow" w:cs="Arial"/>
                <w:color w:val="000000"/>
                <w:sz w:val="22"/>
                <w:szCs w:val="22"/>
              </w:rPr>
              <w:t>Social health insurance</w:t>
            </w:r>
          </w:p>
        </w:tc>
        <w:tc>
          <w:tcPr>
            <w:tcW w:w="593" w:type="dxa"/>
            <w:shd w:val="clear" w:color="000000" w:fill="FFFFFF"/>
            <w:noWrap/>
            <w:vAlign w:val="bottom"/>
            <w:hideMark/>
          </w:tcPr>
          <w:p w14:paraId="0BF2F6BC"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20</w:t>
            </w:r>
          </w:p>
        </w:tc>
        <w:tc>
          <w:tcPr>
            <w:tcW w:w="593" w:type="dxa"/>
            <w:shd w:val="clear" w:color="000000" w:fill="FFFFFF"/>
            <w:noWrap/>
            <w:vAlign w:val="bottom"/>
            <w:hideMark/>
          </w:tcPr>
          <w:p w14:paraId="02F04ABD"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27</w:t>
            </w:r>
          </w:p>
        </w:tc>
        <w:tc>
          <w:tcPr>
            <w:tcW w:w="593" w:type="dxa"/>
            <w:shd w:val="clear" w:color="000000" w:fill="FFFFFF"/>
            <w:noWrap/>
            <w:vAlign w:val="bottom"/>
            <w:hideMark/>
          </w:tcPr>
          <w:p w14:paraId="576FF03A"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29</w:t>
            </w:r>
          </w:p>
        </w:tc>
        <w:tc>
          <w:tcPr>
            <w:tcW w:w="593" w:type="dxa"/>
            <w:shd w:val="clear" w:color="000000" w:fill="FFFFFF"/>
            <w:noWrap/>
            <w:vAlign w:val="bottom"/>
            <w:hideMark/>
          </w:tcPr>
          <w:p w14:paraId="7C5FCA6B"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12</w:t>
            </w:r>
          </w:p>
        </w:tc>
        <w:tc>
          <w:tcPr>
            <w:tcW w:w="593" w:type="dxa"/>
            <w:shd w:val="clear" w:color="000000" w:fill="FFFFFF"/>
            <w:noWrap/>
            <w:vAlign w:val="bottom"/>
            <w:hideMark/>
          </w:tcPr>
          <w:p w14:paraId="01E56A8E"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12</w:t>
            </w:r>
          </w:p>
        </w:tc>
        <w:tc>
          <w:tcPr>
            <w:tcW w:w="593" w:type="dxa"/>
            <w:shd w:val="clear" w:color="000000" w:fill="FFFFFF"/>
            <w:noWrap/>
            <w:vAlign w:val="bottom"/>
            <w:hideMark/>
          </w:tcPr>
          <w:p w14:paraId="59356A7A"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12</w:t>
            </w:r>
          </w:p>
        </w:tc>
        <w:tc>
          <w:tcPr>
            <w:tcW w:w="594" w:type="dxa"/>
            <w:shd w:val="clear" w:color="000000" w:fill="FFFFFF"/>
            <w:noWrap/>
            <w:vAlign w:val="bottom"/>
            <w:hideMark/>
          </w:tcPr>
          <w:p w14:paraId="7142C08F"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12</w:t>
            </w:r>
          </w:p>
        </w:tc>
        <w:tc>
          <w:tcPr>
            <w:tcW w:w="593" w:type="dxa"/>
            <w:shd w:val="clear" w:color="000000" w:fill="FFFFFF"/>
            <w:noWrap/>
            <w:vAlign w:val="bottom"/>
            <w:hideMark/>
          </w:tcPr>
          <w:p w14:paraId="28E2108E"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10</w:t>
            </w:r>
          </w:p>
        </w:tc>
        <w:tc>
          <w:tcPr>
            <w:tcW w:w="593" w:type="dxa"/>
            <w:shd w:val="clear" w:color="000000" w:fill="FFFFFF"/>
            <w:noWrap/>
            <w:vAlign w:val="bottom"/>
            <w:hideMark/>
          </w:tcPr>
          <w:p w14:paraId="03A1F2ED"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13</w:t>
            </w:r>
          </w:p>
        </w:tc>
        <w:tc>
          <w:tcPr>
            <w:tcW w:w="593" w:type="dxa"/>
            <w:shd w:val="clear" w:color="000000" w:fill="FFFFFF"/>
            <w:noWrap/>
            <w:vAlign w:val="bottom"/>
            <w:hideMark/>
          </w:tcPr>
          <w:p w14:paraId="76F131AE"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14</w:t>
            </w:r>
          </w:p>
        </w:tc>
        <w:tc>
          <w:tcPr>
            <w:tcW w:w="593" w:type="dxa"/>
            <w:shd w:val="clear" w:color="000000" w:fill="FFFFFF"/>
            <w:noWrap/>
            <w:vAlign w:val="bottom"/>
            <w:hideMark/>
          </w:tcPr>
          <w:p w14:paraId="1E0BDA46"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15</w:t>
            </w:r>
          </w:p>
        </w:tc>
        <w:tc>
          <w:tcPr>
            <w:tcW w:w="593" w:type="dxa"/>
            <w:shd w:val="clear" w:color="000000" w:fill="FFFFFF"/>
            <w:noWrap/>
            <w:vAlign w:val="bottom"/>
            <w:hideMark/>
          </w:tcPr>
          <w:p w14:paraId="47C15EDC"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14</w:t>
            </w:r>
          </w:p>
        </w:tc>
        <w:tc>
          <w:tcPr>
            <w:tcW w:w="594" w:type="dxa"/>
            <w:shd w:val="clear" w:color="000000" w:fill="FFFFFF"/>
            <w:noWrap/>
            <w:vAlign w:val="bottom"/>
            <w:hideMark/>
          </w:tcPr>
          <w:p w14:paraId="6060F6EF"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13</w:t>
            </w:r>
          </w:p>
        </w:tc>
      </w:tr>
      <w:tr w:rsidR="00EB44F9" w:rsidRPr="00EB44F9" w14:paraId="7656DBE0" w14:textId="77777777" w:rsidTr="003354AF">
        <w:trPr>
          <w:trHeight w:val="290"/>
        </w:trPr>
        <w:tc>
          <w:tcPr>
            <w:tcW w:w="2265" w:type="dxa"/>
            <w:shd w:val="clear" w:color="000000" w:fill="FFFFFF"/>
            <w:noWrap/>
            <w:vAlign w:val="center"/>
            <w:hideMark/>
          </w:tcPr>
          <w:p w14:paraId="05587F30" w14:textId="26412009" w:rsidR="00EB44F9" w:rsidRPr="00EB44F9" w:rsidRDefault="00EB44F9" w:rsidP="00EB44F9">
            <w:pPr>
              <w:rPr>
                <w:rFonts w:ascii="Arial Narrow" w:hAnsi="Arial Narrow" w:cs="Arial"/>
                <w:color w:val="000000"/>
                <w:sz w:val="22"/>
                <w:szCs w:val="22"/>
              </w:rPr>
            </w:pPr>
            <w:r w:rsidRPr="00EB44F9">
              <w:rPr>
                <w:rFonts w:ascii="Arial Narrow" w:hAnsi="Arial Narrow" w:cs="Arial"/>
                <w:color w:val="000000"/>
                <w:sz w:val="22"/>
                <w:szCs w:val="22"/>
              </w:rPr>
              <w:t xml:space="preserve">OOP </w:t>
            </w:r>
            <w:r>
              <w:rPr>
                <w:rFonts w:ascii="Arial Narrow" w:hAnsi="Arial Narrow" w:cs="Arial"/>
                <w:color w:val="000000"/>
                <w:sz w:val="22"/>
                <w:szCs w:val="22"/>
              </w:rPr>
              <w:t>expenditure</w:t>
            </w:r>
          </w:p>
        </w:tc>
        <w:tc>
          <w:tcPr>
            <w:tcW w:w="593" w:type="dxa"/>
            <w:shd w:val="clear" w:color="000000" w:fill="FFFFFF"/>
            <w:noWrap/>
            <w:vAlign w:val="bottom"/>
            <w:hideMark/>
          </w:tcPr>
          <w:p w14:paraId="2F13F82F"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12</w:t>
            </w:r>
          </w:p>
        </w:tc>
        <w:tc>
          <w:tcPr>
            <w:tcW w:w="593" w:type="dxa"/>
            <w:shd w:val="clear" w:color="000000" w:fill="FFFFFF"/>
            <w:noWrap/>
            <w:vAlign w:val="bottom"/>
            <w:hideMark/>
          </w:tcPr>
          <w:p w14:paraId="2C24DFD5"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10</w:t>
            </w:r>
          </w:p>
        </w:tc>
        <w:tc>
          <w:tcPr>
            <w:tcW w:w="593" w:type="dxa"/>
            <w:shd w:val="clear" w:color="000000" w:fill="FFFFFF"/>
            <w:noWrap/>
            <w:vAlign w:val="bottom"/>
            <w:hideMark/>
          </w:tcPr>
          <w:p w14:paraId="1DABC4E3"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17</w:t>
            </w:r>
          </w:p>
        </w:tc>
        <w:tc>
          <w:tcPr>
            <w:tcW w:w="593" w:type="dxa"/>
            <w:shd w:val="clear" w:color="000000" w:fill="FFFFFF"/>
            <w:noWrap/>
            <w:vAlign w:val="bottom"/>
            <w:hideMark/>
          </w:tcPr>
          <w:p w14:paraId="61ACF3C5"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42</w:t>
            </w:r>
          </w:p>
        </w:tc>
        <w:tc>
          <w:tcPr>
            <w:tcW w:w="593" w:type="dxa"/>
            <w:shd w:val="clear" w:color="000000" w:fill="FFFFFF"/>
            <w:noWrap/>
            <w:vAlign w:val="bottom"/>
            <w:hideMark/>
          </w:tcPr>
          <w:p w14:paraId="4310B0B5"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41</w:t>
            </w:r>
          </w:p>
        </w:tc>
        <w:tc>
          <w:tcPr>
            <w:tcW w:w="593" w:type="dxa"/>
            <w:shd w:val="clear" w:color="000000" w:fill="FFFFFF"/>
            <w:noWrap/>
            <w:vAlign w:val="bottom"/>
            <w:hideMark/>
          </w:tcPr>
          <w:p w14:paraId="7257F3B5"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41</w:t>
            </w:r>
          </w:p>
        </w:tc>
        <w:tc>
          <w:tcPr>
            <w:tcW w:w="594" w:type="dxa"/>
            <w:shd w:val="clear" w:color="000000" w:fill="FFFFFF"/>
            <w:noWrap/>
            <w:vAlign w:val="bottom"/>
            <w:hideMark/>
          </w:tcPr>
          <w:p w14:paraId="332D4C6F"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39</w:t>
            </w:r>
          </w:p>
        </w:tc>
        <w:tc>
          <w:tcPr>
            <w:tcW w:w="593" w:type="dxa"/>
            <w:shd w:val="clear" w:color="000000" w:fill="FFFFFF"/>
            <w:noWrap/>
            <w:vAlign w:val="bottom"/>
            <w:hideMark/>
          </w:tcPr>
          <w:p w14:paraId="6BDA0488"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38</w:t>
            </w:r>
          </w:p>
        </w:tc>
        <w:tc>
          <w:tcPr>
            <w:tcW w:w="593" w:type="dxa"/>
            <w:shd w:val="clear" w:color="000000" w:fill="FFFFFF"/>
            <w:noWrap/>
            <w:vAlign w:val="bottom"/>
            <w:hideMark/>
          </w:tcPr>
          <w:p w14:paraId="25ECB6D1"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35</w:t>
            </w:r>
          </w:p>
        </w:tc>
        <w:tc>
          <w:tcPr>
            <w:tcW w:w="593" w:type="dxa"/>
            <w:shd w:val="clear" w:color="000000" w:fill="FFFFFF"/>
            <w:noWrap/>
            <w:vAlign w:val="bottom"/>
            <w:hideMark/>
          </w:tcPr>
          <w:p w14:paraId="052E2880"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37</w:t>
            </w:r>
          </w:p>
        </w:tc>
        <w:tc>
          <w:tcPr>
            <w:tcW w:w="593" w:type="dxa"/>
            <w:shd w:val="clear" w:color="000000" w:fill="FFFFFF"/>
            <w:noWrap/>
            <w:vAlign w:val="bottom"/>
            <w:hideMark/>
          </w:tcPr>
          <w:p w14:paraId="56D46F4B"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35</w:t>
            </w:r>
          </w:p>
        </w:tc>
        <w:tc>
          <w:tcPr>
            <w:tcW w:w="593" w:type="dxa"/>
            <w:shd w:val="clear" w:color="000000" w:fill="FFFFFF"/>
            <w:noWrap/>
            <w:vAlign w:val="bottom"/>
            <w:hideMark/>
          </w:tcPr>
          <w:p w14:paraId="2EBE8450"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34</w:t>
            </w:r>
          </w:p>
        </w:tc>
        <w:tc>
          <w:tcPr>
            <w:tcW w:w="594" w:type="dxa"/>
            <w:shd w:val="clear" w:color="000000" w:fill="FFFFFF"/>
            <w:noWrap/>
            <w:vAlign w:val="bottom"/>
            <w:hideMark/>
          </w:tcPr>
          <w:p w14:paraId="5DE6B266"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35</w:t>
            </w:r>
          </w:p>
        </w:tc>
      </w:tr>
      <w:tr w:rsidR="00EB44F9" w:rsidRPr="00EB44F9" w14:paraId="0F7B2655" w14:textId="77777777" w:rsidTr="003354AF">
        <w:trPr>
          <w:trHeight w:val="290"/>
        </w:trPr>
        <w:tc>
          <w:tcPr>
            <w:tcW w:w="2265" w:type="dxa"/>
            <w:shd w:val="clear" w:color="000000" w:fill="FFFFFF"/>
            <w:noWrap/>
            <w:vAlign w:val="center"/>
            <w:hideMark/>
          </w:tcPr>
          <w:p w14:paraId="7D3E24FF" w14:textId="77777777" w:rsidR="00EB44F9" w:rsidRPr="00EB44F9" w:rsidRDefault="00EB44F9" w:rsidP="00EB44F9">
            <w:pPr>
              <w:rPr>
                <w:rFonts w:ascii="Arial Narrow" w:hAnsi="Arial Narrow" w:cs="Arial"/>
                <w:color w:val="000000"/>
                <w:sz w:val="22"/>
                <w:szCs w:val="22"/>
              </w:rPr>
            </w:pPr>
            <w:r w:rsidRPr="00EB44F9">
              <w:rPr>
                <w:rFonts w:ascii="Arial Narrow" w:hAnsi="Arial Narrow" w:cs="Arial"/>
                <w:color w:val="000000"/>
                <w:sz w:val="22"/>
                <w:szCs w:val="22"/>
              </w:rPr>
              <w:t>Other private expenditure</w:t>
            </w:r>
          </w:p>
        </w:tc>
        <w:tc>
          <w:tcPr>
            <w:tcW w:w="593" w:type="dxa"/>
            <w:shd w:val="clear" w:color="000000" w:fill="FFFFFF"/>
            <w:noWrap/>
            <w:vAlign w:val="bottom"/>
            <w:hideMark/>
          </w:tcPr>
          <w:p w14:paraId="541E37F5"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6</w:t>
            </w:r>
          </w:p>
        </w:tc>
        <w:tc>
          <w:tcPr>
            <w:tcW w:w="593" w:type="dxa"/>
            <w:shd w:val="clear" w:color="000000" w:fill="FFFFFF"/>
            <w:noWrap/>
            <w:vAlign w:val="bottom"/>
            <w:hideMark/>
          </w:tcPr>
          <w:p w14:paraId="26558C72"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5</w:t>
            </w:r>
          </w:p>
        </w:tc>
        <w:tc>
          <w:tcPr>
            <w:tcW w:w="593" w:type="dxa"/>
            <w:shd w:val="clear" w:color="000000" w:fill="FFFFFF"/>
            <w:noWrap/>
            <w:vAlign w:val="bottom"/>
            <w:hideMark/>
          </w:tcPr>
          <w:p w14:paraId="3AF9AE1B"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4</w:t>
            </w:r>
          </w:p>
        </w:tc>
        <w:tc>
          <w:tcPr>
            <w:tcW w:w="593" w:type="dxa"/>
            <w:shd w:val="clear" w:color="000000" w:fill="FFFFFF"/>
            <w:noWrap/>
            <w:vAlign w:val="bottom"/>
            <w:hideMark/>
          </w:tcPr>
          <w:p w14:paraId="17992098"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3</w:t>
            </w:r>
          </w:p>
        </w:tc>
        <w:tc>
          <w:tcPr>
            <w:tcW w:w="593" w:type="dxa"/>
            <w:shd w:val="clear" w:color="000000" w:fill="FFFFFF"/>
            <w:noWrap/>
            <w:vAlign w:val="bottom"/>
            <w:hideMark/>
          </w:tcPr>
          <w:p w14:paraId="68843870"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3</w:t>
            </w:r>
          </w:p>
        </w:tc>
        <w:tc>
          <w:tcPr>
            <w:tcW w:w="593" w:type="dxa"/>
            <w:shd w:val="clear" w:color="000000" w:fill="FFFFFF"/>
            <w:noWrap/>
            <w:vAlign w:val="bottom"/>
            <w:hideMark/>
          </w:tcPr>
          <w:p w14:paraId="33761CFF"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3</w:t>
            </w:r>
          </w:p>
        </w:tc>
        <w:tc>
          <w:tcPr>
            <w:tcW w:w="594" w:type="dxa"/>
            <w:shd w:val="clear" w:color="000000" w:fill="FFFFFF"/>
            <w:noWrap/>
            <w:vAlign w:val="bottom"/>
            <w:hideMark/>
          </w:tcPr>
          <w:p w14:paraId="55432339"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3</w:t>
            </w:r>
          </w:p>
        </w:tc>
        <w:tc>
          <w:tcPr>
            <w:tcW w:w="593" w:type="dxa"/>
            <w:shd w:val="clear" w:color="000000" w:fill="FFFFFF"/>
            <w:noWrap/>
            <w:vAlign w:val="bottom"/>
            <w:hideMark/>
          </w:tcPr>
          <w:p w14:paraId="0BAB3194"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3</w:t>
            </w:r>
          </w:p>
        </w:tc>
        <w:tc>
          <w:tcPr>
            <w:tcW w:w="593" w:type="dxa"/>
            <w:shd w:val="clear" w:color="000000" w:fill="FFFFFF"/>
            <w:noWrap/>
            <w:vAlign w:val="bottom"/>
            <w:hideMark/>
          </w:tcPr>
          <w:p w14:paraId="4199B582"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3</w:t>
            </w:r>
          </w:p>
        </w:tc>
        <w:tc>
          <w:tcPr>
            <w:tcW w:w="593" w:type="dxa"/>
            <w:shd w:val="clear" w:color="000000" w:fill="FFFFFF"/>
            <w:noWrap/>
            <w:vAlign w:val="bottom"/>
            <w:hideMark/>
          </w:tcPr>
          <w:p w14:paraId="40D525A7"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3</w:t>
            </w:r>
          </w:p>
        </w:tc>
        <w:tc>
          <w:tcPr>
            <w:tcW w:w="593" w:type="dxa"/>
            <w:shd w:val="clear" w:color="000000" w:fill="FFFFFF"/>
            <w:noWrap/>
            <w:vAlign w:val="bottom"/>
            <w:hideMark/>
          </w:tcPr>
          <w:p w14:paraId="4C1240F3"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3</w:t>
            </w:r>
          </w:p>
        </w:tc>
        <w:tc>
          <w:tcPr>
            <w:tcW w:w="593" w:type="dxa"/>
            <w:shd w:val="clear" w:color="000000" w:fill="FFFFFF"/>
            <w:noWrap/>
            <w:vAlign w:val="bottom"/>
            <w:hideMark/>
          </w:tcPr>
          <w:p w14:paraId="7352767A"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3</w:t>
            </w:r>
          </w:p>
        </w:tc>
        <w:tc>
          <w:tcPr>
            <w:tcW w:w="594" w:type="dxa"/>
            <w:shd w:val="clear" w:color="000000" w:fill="FFFFFF"/>
            <w:noWrap/>
            <w:vAlign w:val="bottom"/>
            <w:hideMark/>
          </w:tcPr>
          <w:p w14:paraId="3D981C1C" w14:textId="77777777" w:rsidR="00EB44F9" w:rsidRPr="003354AF" w:rsidRDefault="00EB44F9" w:rsidP="00EB44F9">
            <w:pPr>
              <w:jc w:val="center"/>
              <w:rPr>
                <w:rFonts w:ascii="Arial Narrow" w:hAnsi="Arial Narrow" w:cs="Arial"/>
                <w:sz w:val="20"/>
                <w:szCs w:val="20"/>
              </w:rPr>
            </w:pPr>
            <w:r w:rsidRPr="003354AF">
              <w:rPr>
                <w:rFonts w:ascii="Arial Narrow" w:hAnsi="Arial Narrow" w:cs="Arial"/>
                <w:sz w:val="20"/>
                <w:szCs w:val="20"/>
              </w:rPr>
              <w:t>3</w:t>
            </w:r>
          </w:p>
        </w:tc>
      </w:tr>
    </w:tbl>
    <w:p w14:paraId="0F0C5539" w14:textId="1C4D1E32" w:rsidR="004E6055" w:rsidRPr="006062EB" w:rsidRDefault="004E6055" w:rsidP="004E6055">
      <w:pPr>
        <w:rPr>
          <w:rFonts w:ascii="Arial" w:hAnsi="Arial" w:cs="Arial"/>
          <w:color w:val="000000"/>
          <w:sz w:val="20"/>
          <w:szCs w:val="20"/>
        </w:rPr>
      </w:pPr>
      <w:r w:rsidRPr="00BC0D35">
        <w:rPr>
          <w:rFonts w:ascii="Arial" w:hAnsi="Arial" w:cs="Arial"/>
          <w:i/>
          <w:iCs/>
          <w:sz w:val="20"/>
          <w:szCs w:val="20"/>
        </w:rPr>
        <w:t xml:space="preserve">Source: </w:t>
      </w:r>
      <w:r w:rsidR="003354AF">
        <w:rPr>
          <w:rFonts w:ascii="Arial" w:hAnsi="Arial" w:cs="Arial"/>
          <w:sz w:val="20"/>
          <w:szCs w:val="20"/>
        </w:rPr>
        <w:t>WHO (2015</w:t>
      </w:r>
      <w:r w:rsidRPr="006062EB">
        <w:rPr>
          <w:rFonts w:ascii="Arial" w:hAnsi="Arial" w:cs="Arial"/>
          <w:sz w:val="20"/>
          <w:szCs w:val="20"/>
        </w:rPr>
        <w:t xml:space="preserve">). </w:t>
      </w:r>
      <w:r w:rsidRPr="006062EB">
        <w:rPr>
          <w:rFonts w:ascii="Arial" w:hAnsi="Arial" w:cs="Arial"/>
          <w:i/>
          <w:sz w:val="20"/>
          <w:szCs w:val="20"/>
        </w:rPr>
        <w:t>National Health Accounts data</w:t>
      </w:r>
      <w:r w:rsidRPr="006062EB">
        <w:rPr>
          <w:rFonts w:ascii="Arial" w:hAnsi="Arial" w:cs="Arial"/>
          <w:sz w:val="20"/>
          <w:szCs w:val="20"/>
        </w:rPr>
        <w:t>, (</w:t>
      </w:r>
      <w:hyperlink r:id="rId10" w:history="1">
        <w:r w:rsidRPr="006062EB">
          <w:rPr>
            <w:rStyle w:val="Hyperlink"/>
            <w:rFonts w:ascii="Arial" w:hAnsi="Arial" w:cs="Arial"/>
            <w:sz w:val="20"/>
            <w:szCs w:val="20"/>
          </w:rPr>
          <w:t>http://www.who.int/nha/en/</w:t>
        </w:r>
      </w:hyperlink>
      <w:r w:rsidR="006F4476">
        <w:t>)</w:t>
      </w:r>
      <w:r w:rsidRPr="006062EB">
        <w:rPr>
          <w:rFonts w:ascii="Arial" w:hAnsi="Arial" w:cs="Arial"/>
          <w:sz w:val="20"/>
          <w:szCs w:val="20"/>
        </w:rPr>
        <w:t xml:space="preserve"> </w:t>
      </w:r>
    </w:p>
    <w:p w14:paraId="672E1B49" w14:textId="77777777" w:rsidR="0043410C" w:rsidRDefault="0043410C" w:rsidP="00B03E0E">
      <w:pPr>
        <w:jc w:val="both"/>
        <w:rPr>
          <w:rFonts w:ascii="Arial" w:hAnsi="Arial" w:cs="Arial"/>
        </w:rPr>
      </w:pPr>
    </w:p>
    <w:p w14:paraId="6ED9A678" w14:textId="3E116AF7" w:rsidR="0043410C" w:rsidRDefault="0009094F" w:rsidP="00B03E0E">
      <w:pPr>
        <w:jc w:val="both"/>
        <w:rPr>
          <w:rFonts w:ascii="Arial" w:hAnsi="Arial" w:cs="Arial"/>
        </w:rPr>
      </w:pPr>
      <w:r>
        <w:rPr>
          <w:rFonts w:ascii="Arial" w:hAnsi="Arial" w:cs="Arial"/>
        </w:rPr>
        <w:t>The social health insurance (S</w:t>
      </w:r>
      <w:r w:rsidR="00B6408D">
        <w:rPr>
          <w:rFonts w:ascii="Arial" w:hAnsi="Arial" w:cs="Arial"/>
        </w:rPr>
        <w:t>HI</w:t>
      </w:r>
      <w:r>
        <w:rPr>
          <w:rFonts w:ascii="Arial" w:hAnsi="Arial" w:cs="Arial"/>
        </w:rPr>
        <w:t>)</w:t>
      </w:r>
      <w:r w:rsidR="00B6408D">
        <w:rPr>
          <w:rFonts w:ascii="Arial" w:hAnsi="Arial" w:cs="Arial"/>
        </w:rPr>
        <w:t xml:space="preserve"> population coverage has been decreasing </w:t>
      </w:r>
      <w:r w:rsidR="002F59DB">
        <w:rPr>
          <w:rFonts w:ascii="Arial" w:hAnsi="Arial" w:cs="Arial"/>
        </w:rPr>
        <w:t>from 95</w:t>
      </w:r>
      <w:r w:rsidR="00915D1C">
        <w:rPr>
          <w:rFonts w:ascii="Arial" w:hAnsi="Arial" w:cs="Arial"/>
        </w:rPr>
        <w:t>.3</w:t>
      </w:r>
      <w:r w:rsidR="002F59DB">
        <w:rPr>
          <w:rFonts w:ascii="Arial" w:hAnsi="Arial" w:cs="Arial"/>
        </w:rPr>
        <w:t>% in 1998 to</w:t>
      </w:r>
      <w:r w:rsidR="0043410C">
        <w:rPr>
          <w:rFonts w:ascii="Arial" w:hAnsi="Arial" w:cs="Arial"/>
        </w:rPr>
        <w:t xml:space="preserve"> 82.6% of the total population in 2010</w:t>
      </w:r>
      <w:r w:rsidR="00915D1C">
        <w:rPr>
          <w:rFonts w:ascii="Arial" w:hAnsi="Arial" w:cs="Arial"/>
        </w:rPr>
        <w:t xml:space="preserve"> when students and herders were removed from the populations being subsidized by the state</w:t>
      </w:r>
      <w:r w:rsidR="0043410C">
        <w:rPr>
          <w:rFonts w:ascii="Arial" w:hAnsi="Arial" w:cs="Arial"/>
        </w:rPr>
        <w:t xml:space="preserve">. In 2011, in order to </w:t>
      </w:r>
      <w:r w:rsidR="002F59DB">
        <w:rPr>
          <w:rFonts w:ascii="Arial" w:hAnsi="Arial" w:cs="Arial"/>
        </w:rPr>
        <w:t xml:space="preserve">help the ruling political party </w:t>
      </w:r>
      <w:r w:rsidR="00757904">
        <w:rPr>
          <w:rFonts w:ascii="Arial" w:hAnsi="Arial" w:cs="Arial"/>
        </w:rPr>
        <w:t xml:space="preserve">to </w:t>
      </w:r>
      <w:r w:rsidR="0043410C">
        <w:rPr>
          <w:rFonts w:ascii="Arial" w:hAnsi="Arial" w:cs="Arial"/>
        </w:rPr>
        <w:t xml:space="preserve">deliver on its political promises, the Human Development Fund helped </w:t>
      </w:r>
      <w:r w:rsidR="00581C3F">
        <w:rPr>
          <w:rFonts w:ascii="Arial" w:hAnsi="Arial" w:cs="Arial"/>
        </w:rPr>
        <w:t xml:space="preserve">to </w:t>
      </w:r>
      <w:r w:rsidR="0043410C">
        <w:rPr>
          <w:rFonts w:ascii="Arial" w:hAnsi="Arial" w:cs="Arial"/>
        </w:rPr>
        <w:t xml:space="preserve">subsidize the uninsured groups and coverage reached 98.6%. However, this </w:t>
      </w:r>
      <w:r w:rsidR="00581C3F">
        <w:rPr>
          <w:rFonts w:ascii="Arial" w:hAnsi="Arial" w:cs="Arial"/>
        </w:rPr>
        <w:t>arrangement is no longer supported and students will be in charge of their own contribution</w:t>
      </w:r>
      <w:r w:rsidR="00BA3778">
        <w:rPr>
          <w:rFonts w:ascii="Arial" w:hAnsi="Arial" w:cs="Arial"/>
        </w:rPr>
        <w:t xml:space="preserve"> and as result the SHI coverage went down to 90.4% in 2012</w:t>
      </w:r>
      <w:r w:rsidR="0043410C">
        <w:rPr>
          <w:rFonts w:ascii="Arial" w:hAnsi="Arial" w:cs="Arial"/>
        </w:rPr>
        <w:t>.</w:t>
      </w:r>
      <w:r w:rsidR="003354AF">
        <w:rPr>
          <w:rFonts w:ascii="Arial" w:hAnsi="Arial" w:cs="Arial"/>
        </w:rPr>
        <w:t xml:space="preserve"> </w:t>
      </w:r>
    </w:p>
    <w:p w14:paraId="2ED43977" w14:textId="77777777" w:rsidR="0043410C" w:rsidRDefault="0043410C" w:rsidP="00B03E0E">
      <w:pPr>
        <w:jc w:val="both"/>
        <w:rPr>
          <w:rFonts w:ascii="Arial" w:hAnsi="Arial" w:cs="Arial"/>
        </w:rPr>
      </w:pPr>
    </w:p>
    <w:p w14:paraId="1EAD450D" w14:textId="6B5EF69D" w:rsidR="00AB4AAF" w:rsidRDefault="00AB4AAF" w:rsidP="00AB4AAF">
      <w:pPr>
        <w:jc w:val="both"/>
        <w:rPr>
          <w:rFonts w:ascii="Arial" w:hAnsi="Arial" w:cs="Arial"/>
        </w:rPr>
      </w:pPr>
      <w:r>
        <w:rPr>
          <w:rFonts w:ascii="Arial" w:hAnsi="Arial" w:cs="Arial"/>
          <w:bCs/>
          <w:iCs/>
        </w:rPr>
        <w:t xml:space="preserve">The </w:t>
      </w:r>
      <w:r>
        <w:rPr>
          <w:rFonts w:ascii="Arial" w:hAnsi="Arial" w:cs="Arial"/>
        </w:rPr>
        <w:t>SHI</w:t>
      </w:r>
      <w:r w:rsidRPr="00985749">
        <w:rPr>
          <w:rFonts w:ascii="Arial" w:hAnsi="Arial" w:cs="Arial"/>
        </w:rPr>
        <w:t xml:space="preserve"> contribution rate for salaried workers was 6% of salary but it has been reduced to 4% in 2008 as part of </w:t>
      </w:r>
      <w:r w:rsidR="00BA3778">
        <w:rPr>
          <w:rFonts w:ascii="Arial" w:hAnsi="Arial" w:cs="Arial"/>
        </w:rPr>
        <w:t xml:space="preserve">the </w:t>
      </w:r>
      <w:r w:rsidRPr="00985749">
        <w:rPr>
          <w:rFonts w:ascii="Arial" w:hAnsi="Arial" w:cs="Arial"/>
        </w:rPr>
        <w:t xml:space="preserve">policy decisions to reduce contribution burden of </w:t>
      </w:r>
      <w:r>
        <w:rPr>
          <w:rFonts w:ascii="Arial" w:hAnsi="Arial" w:cs="Arial"/>
        </w:rPr>
        <w:t>overall</w:t>
      </w:r>
      <w:r w:rsidRPr="00985749">
        <w:rPr>
          <w:rFonts w:ascii="Arial" w:hAnsi="Arial" w:cs="Arial"/>
        </w:rPr>
        <w:t xml:space="preserve"> social security system</w:t>
      </w:r>
      <w:r w:rsidR="00BA3778">
        <w:rPr>
          <w:rFonts w:ascii="Arial" w:hAnsi="Arial" w:cs="Arial"/>
        </w:rPr>
        <w:t xml:space="preserve"> on employers</w:t>
      </w:r>
      <w:r w:rsidRPr="00985749">
        <w:rPr>
          <w:rFonts w:ascii="Arial" w:hAnsi="Arial" w:cs="Arial"/>
        </w:rPr>
        <w:t>. A flat rate contribution applied for state subsidized group, herders, students</w:t>
      </w:r>
      <w:r>
        <w:rPr>
          <w:rFonts w:ascii="Arial" w:hAnsi="Arial" w:cs="Arial"/>
          <w:lang w:eastAsia="ko-KR"/>
        </w:rPr>
        <w:t>,</w:t>
      </w:r>
      <w:r w:rsidRPr="00985749">
        <w:rPr>
          <w:rFonts w:ascii="Arial" w:hAnsi="Arial" w:cs="Arial"/>
        </w:rPr>
        <w:t xml:space="preserve"> and</w:t>
      </w:r>
      <w:r>
        <w:rPr>
          <w:rFonts w:ascii="Arial" w:hAnsi="Arial" w:cs="Arial"/>
        </w:rPr>
        <w:t xml:space="preserve"> the</w:t>
      </w:r>
      <w:r w:rsidRPr="00985749">
        <w:rPr>
          <w:rFonts w:ascii="Arial" w:hAnsi="Arial" w:cs="Arial"/>
        </w:rPr>
        <w:t xml:space="preserve"> self</w:t>
      </w:r>
      <w:r>
        <w:rPr>
          <w:rFonts w:ascii="Arial" w:hAnsi="Arial" w:cs="Arial"/>
        </w:rPr>
        <w:t>-</w:t>
      </w:r>
      <w:r w:rsidRPr="00985749">
        <w:rPr>
          <w:rFonts w:ascii="Arial" w:hAnsi="Arial" w:cs="Arial"/>
        </w:rPr>
        <w:t xml:space="preserve">employed population. </w:t>
      </w:r>
      <w:r>
        <w:rPr>
          <w:rFonts w:ascii="Arial" w:hAnsi="Arial" w:cs="Arial"/>
        </w:rPr>
        <w:t>Since 2008, t</w:t>
      </w:r>
      <w:r w:rsidRPr="00985749">
        <w:rPr>
          <w:rFonts w:ascii="Arial" w:hAnsi="Arial" w:cs="Arial"/>
        </w:rPr>
        <w:t xml:space="preserve">he contribution rate for </w:t>
      </w:r>
      <w:r>
        <w:rPr>
          <w:rFonts w:ascii="Arial" w:hAnsi="Arial" w:cs="Arial"/>
          <w:lang w:eastAsia="ko-KR"/>
        </w:rPr>
        <w:t xml:space="preserve">the </w:t>
      </w:r>
      <w:r w:rsidRPr="00985749">
        <w:rPr>
          <w:rFonts w:ascii="Arial" w:hAnsi="Arial" w:cs="Arial"/>
        </w:rPr>
        <w:t>self</w:t>
      </w:r>
      <w:r>
        <w:rPr>
          <w:rFonts w:ascii="Arial" w:hAnsi="Arial" w:cs="Arial"/>
        </w:rPr>
        <w:t>-</w:t>
      </w:r>
      <w:r w:rsidRPr="00985749">
        <w:rPr>
          <w:rFonts w:ascii="Arial" w:hAnsi="Arial" w:cs="Arial"/>
        </w:rPr>
        <w:t xml:space="preserve">employed is set at 1% of </w:t>
      </w:r>
      <w:r>
        <w:rPr>
          <w:rFonts w:ascii="Arial" w:hAnsi="Arial" w:cs="Arial"/>
        </w:rPr>
        <w:lastRenderedPageBreak/>
        <w:t xml:space="preserve">(reported) </w:t>
      </w:r>
      <w:r w:rsidRPr="00985749">
        <w:rPr>
          <w:rFonts w:ascii="Arial" w:hAnsi="Arial" w:cs="Arial"/>
        </w:rPr>
        <w:t>monthly income</w:t>
      </w:r>
      <w:r>
        <w:rPr>
          <w:rFonts w:ascii="Arial" w:hAnsi="Arial" w:cs="Arial"/>
        </w:rPr>
        <w:t>, revised from the previous flat rate of 800 MNT per month or 0.7 USD.</w:t>
      </w:r>
    </w:p>
    <w:p w14:paraId="783ECDC0" w14:textId="77777777" w:rsidR="00AB4AAF" w:rsidRDefault="00AB4AAF" w:rsidP="00B03E0E">
      <w:pPr>
        <w:jc w:val="both"/>
        <w:rPr>
          <w:rFonts w:ascii="Arial" w:hAnsi="Arial" w:cs="Arial"/>
        </w:rPr>
      </w:pPr>
    </w:p>
    <w:p w14:paraId="1C682A46" w14:textId="77777777" w:rsidR="00757904" w:rsidRPr="00C73714" w:rsidRDefault="00757904" w:rsidP="00C73714">
      <w:pPr>
        <w:autoSpaceDE w:val="0"/>
        <w:autoSpaceDN w:val="0"/>
        <w:adjustRightInd w:val="0"/>
        <w:jc w:val="both"/>
        <w:rPr>
          <w:rFonts w:ascii="Arial" w:hAnsi="Arial" w:cs="Arial"/>
          <w:szCs w:val="22"/>
        </w:rPr>
      </w:pPr>
      <w:r w:rsidRPr="00757904">
        <w:rPr>
          <w:rFonts w:ascii="Arial" w:hAnsi="Arial" w:cs="Arial"/>
          <w:szCs w:val="22"/>
        </w:rPr>
        <w:t xml:space="preserve">The majority of SHI revenue is generated from payroll-tax contributions from formal sector employees; it was 66.3% of total revenue in 2000 and 88% by 2013. In addition, the government subsidy for the vulnerable groups decreased from 27.4% of total revenue in 2000 to 6.6% in 2013. </w:t>
      </w:r>
      <w:r w:rsidRPr="00757904">
        <w:rPr>
          <w:rFonts w:ascii="Arial" w:eastAsia="MS Mincho" w:hAnsi="Arial" w:cs="Arial"/>
          <w:szCs w:val="22"/>
          <w:lang w:eastAsia="ko-KR"/>
        </w:rPr>
        <w:t xml:space="preserve">This group is subsidized at a very low level, US$ 4-5 per capita per annum. </w:t>
      </w:r>
    </w:p>
    <w:p w14:paraId="632A8C14" w14:textId="77777777" w:rsidR="0029286B" w:rsidRDefault="0029286B" w:rsidP="00B03E0E">
      <w:pPr>
        <w:jc w:val="both"/>
        <w:rPr>
          <w:rFonts w:ascii="Arial" w:hAnsi="Arial" w:cs="Arial"/>
        </w:rPr>
      </w:pPr>
    </w:p>
    <w:p w14:paraId="724CD47F" w14:textId="57192578" w:rsidR="00915D1C" w:rsidRDefault="00BA3778" w:rsidP="00B03E0E">
      <w:pPr>
        <w:jc w:val="both"/>
        <w:rPr>
          <w:rFonts w:ascii="Arial" w:hAnsi="Arial" w:cs="Arial"/>
        </w:rPr>
      </w:pPr>
      <w:r>
        <w:rPr>
          <w:rFonts w:ascii="Arial" w:hAnsi="Arial" w:cs="Arial"/>
        </w:rPr>
        <w:t xml:space="preserve">The </w:t>
      </w:r>
      <w:r w:rsidR="00915D1C">
        <w:rPr>
          <w:rFonts w:ascii="Arial" w:hAnsi="Arial" w:cs="Arial"/>
        </w:rPr>
        <w:t>SHI mainly has been covering inpatient care however</w:t>
      </w:r>
      <w:r w:rsidR="008F3E28">
        <w:rPr>
          <w:rFonts w:ascii="Arial" w:hAnsi="Arial" w:cs="Arial"/>
        </w:rPr>
        <w:t xml:space="preserve"> the benefit package </w:t>
      </w:r>
      <w:r>
        <w:rPr>
          <w:rFonts w:ascii="Arial" w:hAnsi="Arial" w:cs="Arial"/>
        </w:rPr>
        <w:t>was</w:t>
      </w:r>
      <w:r w:rsidR="008F3E28">
        <w:rPr>
          <w:rFonts w:ascii="Arial" w:hAnsi="Arial" w:cs="Arial"/>
        </w:rPr>
        <w:t xml:space="preserve"> expanded </w:t>
      </w:r>
      <w:r w:rsidR="00503A9D">
        <w:rPr>
          <w:rFonts w:ascii="Arial" w:hAnsi="Arial" w:cs="Arial"/>
        </w:rPr>
        <w:t xml:space="preserve">in 2006 </w:t>
      </w:r>
      <w:r w:rsidR="008F3E28">
        <w:rPr>
          <w:rFonts w:ascii="Arial" w:hAnsi="Arial" w:cs="Arial"/>
        </w:rPr>
        <w:t xml:space="preserve">to include </w:t>
      </w:r>
      <w:r w:rsidR="00FA490F">
        <w:rPr>
          <w:rFonts w:ascii="Arial" w:hAnsi="Arial" w:cs="Arial"/>
        </w:rPr>
        <w:t xml:space="preserve">diagnostics, outpatient visits and daycare. </w:t>
      </w:r>
      <w:r>
        <w:rPr>
          <w:rFonts w:ascii="Arial" w:hAnsi="Arial" w:cs="Arial"/>
        </w:rPr>
        <w:t xml:space="preserve">On the other hand, the </w:t>
      </w:r>
      <w:r w:rsidR="0067243C">
        <w:rPr>
          <w:rFonts w:ascii="Arial" w:hAnsi="Arial" w:cs="Arial"/>
        </w:rPr>
        <w:t xml:space="preserve">state budget funds services including primary care, maternity, child health, infectious diseases, cancer and mental health. </w:t>
      </w:r>
      <w:r w:rsidR="00581C3F">
        <w:rPr>
          <w:rFonts w:ascii="Arial" w:hAnsi="Arial" w:cs="Arial"/>
        </w:rPr>
        <w:t>This</w:t>
      </w:r>
      <w:r w:rsidR="0067243C" w:rsidRPr="00096DEC">
        <w:rPr>
          <w:rFonts w:ascii="Arial" w:hAnsi="Arial" w:cs="Arial"/>
        </w:rPr>
        <w:t xml:space="preserve"> fragmented package</w:t>
      </w:r>
      <w:r w:rsidR="0067243C">
        <w:rPr>
          <w:rFonts w:ascii="Arial" w:hAnsi="Arial" w:cs="Arial"/>
        </w:rPr>
        <w:t xml:space="preserve"> of services by state budget and health insurance</w:t>
      </w:r>
      <w:r w:rsidR="0067243C" w:rsidRPr="00096DEC">
        <w:rPr>
          <w:rFonts w:ascii="Arial" w:hAnsi="Arial" w:cs="Arial"/>
        </w:rPr>
        <w:t xml:space="preserve"> subsequently fragmented </w:t>
      </w:r>
      <w:r w:rsidR="0067243C">
        <w:rPr>
          <w:rFonts w:ascii="Arial" w:hAnsi="Arial" w:cs="Arial"/>
        </w:rPr>
        <w:t xml:space="preserve">the </w:t>
      </w:r>
      <w:r w:rsidR="0067243C" w:rsidRPr="00096DEC">
        <w:rPr>
          <w:rFonts w:ascii="Arial" w:hAnsi="Arial" w:cs="Arial"/>
        </w:rPr>
        <w:t xml:space="preserve">payment system </w:t>
      </w:r>
      <w:r w:rsidR="0067243C">
        <w:rPr>
          <w:rFonts w:ascii="Arial" w:hAnsi="Arial" w:cs="Arial"/>
        </w:rPr>
        <w:t xml:space="preserve">for health care providers. </w:t>
      </w:r>
    </w:p>
    <w:p w14:paraId="0881084C" w14:textId="77777777" w:rsidR="00581C3F" w:rsidRDefault="00581C3F" w:rsidP="00B03E0E">
      <w:pPr>
        <w:jc w:val="both"/>
        <w:rPr>
          <w:rFonts w:ascii="Arial" w:hAnsi="Arial" w:cs="Arial"/>
        </w:rPr>
      </w:pPr>
    </w:p>
    <w:p w14:paraId="5927FE56" w14:textId="1A0BBED2" w:rsidR="000642EB" w:rsidRDefault="000642EB" w:rsidP="000642EB">
      <w:pPr>
        <w:jc w:val="both"/>
        <w:rPr>
          <w:rFonts w:ascii="Arial" w:hAnsi="Arial" w:cs="Arial"/>
        </w:rPr>
      </w:pPr>
      <w:r w:rsidRPr="00096DEC">
        <w:rPr>
          <w:rFonts w:ascii="Arial" w:hAnsi="Arial" w:cs="Arial"/>
        </w:rPr>
        <w:t xml:space="preserve">Since 2007, hospitals are </w:t>
      </w:r>
      <w:r>
        <w:rPr>
          <w:rFonts w:ascii="Arial" w:hAnsi="Arial" w:cs="Arial"/>
        </w:rPr>
        <w:t>funded by</w:t>
      </w:r>
      <w:r w:rsidRPr="00096DEC">
        <w:rPr>
          <w:rFonts w:ascii="Arial" w:hAnsi="Arial" w:cs="Arial"/>
        </w:rPr>
        <w:t xml:space="preserve"> DRG system with </w:t>
      </w:r>
      <w:r>
        <w:rPr>
          <w:rFonts w:ascii="Arial" w:hAnsi="Arial" w:cs="Arial"/>
        </w:rPr>
        <w:t xml:space="preserve">115 </w:t>
      </w:r>
      <w:r w:rsidRPr="00096DEC">
        <w:rPr>
          <w:rFonts w:ascii="Arial" w:hAnsi="Arial" w:cs="Arial"/>
        </w:rPr>
        <w:t xml:space="preserve">DRG </w:t>
      </w:r>
      <w:r>
        <w:rPr>
          <w:rFonts w:ascii="Arial" w:hAnsi="Arial" w:cs="Arial"/>
        </w:rPr>
        <w:t>groups</w:t>
      </w:r>
      <w:r w:rsidRPr="00096DEC">
        <w:rPr>
          <w:rFonts w:ascii="Arial" w:hAnsi="Arial" w:cs="Arial"/>
        </w:rPr>
        <w:t>. However, in reality, their funding is decided using the previous year’s spending as baseline</w:t>
      </w:r>
      <w:r>
        <w:rPr>
          <w:rFonts w:ascii="Arial" w:hAnsi="Arial" w:cs="Arial"/>
        </w:rPr>
        <w:t xml:space="preserve"> and</w:t>
      </w:r>
      <w:r w:rsidRPr="00096DEC">
        <w:rPr>
          <w:rFonts w:ascii="Arial" w:hAnsi="Arial" w:cs="Arial"/>
        </w:rPr>
        <w:t xml:space="preserve"> adjusted by a percentage increase</w:t>
      </w:r>
      <w:r>
        <w:rPr>
          <w:rFonts w:ascii="Arial" w:hAnsi="Arial" w:cs="Arial"/>
          <w:lang w:eastAsia="ko-KR"/>
        </w:rPr>
        <w:t>,</w:t>
      </w:r>
      <w:r w:rsidRPr="00096DEC">
        <w:rPr>
          <w:rFonts w:ascii="Arial" w:hAnsi="Arial" w:cs="Arial"/>
        </w:rPr>
        <w:t xml:space="preserve"> which is then classified or divided into </w:t>
      </w:r>
      <w:r>
        <w:rPr>
          <w:rFonts w:ascii="Arial" w:hAnsi="Arial" w:cs="Arial"/>
        </w:rPr>
        <w:t>115</w:t>
      </w:r>
      <w:r w:rsidRPr="00096DEC">
        <w:rPr>
          <w:rFonts w:ascii="Arial" w:hAnsi="Arial" w:cs="Arial"/>
        </w:rPr>
        <w:t xml:space="preserve"> DRG cases to define the respective contributions of the </w:t>
      </w:r>
      <w:r>
        <w:rPr>
          <w:rFonts w:ascii="Arial" w:hAnsi="Arial" w:cs="Arial"/>
        </w:rPr>
        <w:t>government budget</w:t>
      </w:r>
      <w:r w:rsidRPr="00096DEC">
        <w:rPr>
          <w:rFonts w:ascii="Arial" w:hAnsi="Arial" w:cs="Arial"/>
        </w:rPr>
        <w:t xml:space="preserve"> and health insurance fund. </w:t>
      </w:r>
      <w:r>
        <w:rPr>
          <w:rFonts w:ascii="Arial" w:hAnsi="Arial" w:cs="Arial"/>
        </w:rPr>
        <w:t xml:space="preserve">The state budget </w:t>
      </w:r>
      <w:r w:rsidR="00005716">
        <w:rPr>
          <w:rFonts w:ascii="Arial" w:hAnsi="Arial" w:cs="Arial"/>
        </w:rPr>
        <w:t xml:space="preserve">share of </w:t>
      </w:r>
      <w:r w:rsidR="00BA3778">
        <w:rPr>
          <w:rFonts w:ascii="Arial" w:hAnsi="Arial" w:cs="Arial"/>
        </w:rPr>
        <w:t xml:space="preserve">the </w:t>
      </w:r>
      <w:r w:rsidR="00005716">
        <w:rPr>
          <w:rFonts w:ascii="Arial" w:hAnsi="Arial" w:cs="Arial"/>
        </w:rPr>
        <w:t>funding to hospitals is</w:t>
      </w:r>
      <w:r>
        <w:rPr>
          <w:rFonts w:ascii="Arial" w:hAnsi="Arial" w:cs="Arial"/>
        </w:rPr>
        <w:t xml:space="preserve"> paid </w:t>
      </w:r>
      <w:r w:rsidR="00BA3778">
        <w:rPr>
          <w:rFonts w:ascii="Arial" w:hAnsi="Arial" w:cs="Arial"/>
        </w:rPr>
        <w:t xml:space="preserve">or transferred </w:t>
      </w:r>
      <w:r>
        <w:rPr>
          <w:rFonts w:ascii="Arial" w:hAnsi="Arial" w:cs="Arial"/>
        </w:rPr>
        <w:t>by line item expenses.</w:t>
      </w:r>
    </w:p>
    <w:p w14:paraId="6E5501F4" w14:textId="77777777" w:rsidR="000642EB" w:rsidRDefault="000642EB" w:rsidP="00001237">
      <w:pPr>
        <w:autoSpaceDE w:val="0"/>
        <w:autoSpaceDN w:val="0"/>
        <w:adjustRightInd w:val="0"/>
        <w:jc w:val="both"/>
        <w:rPr>
          <w:rFonts w:ascii="Arial" w:hAnsi="Arial" w:cs="Arial"/>
          <w:bCs/>
          <w:iCs/>
        </w:rPr>
      </w:pPr>
    </w:p>
    <w:p w14:paraId="4E38F03D" w14:textId="6D884AA9" w:rsidR="00001237" w:rsidRDefault="000642EB" w:rsidP="00001237">
      <w:pPr>
        <w:autoSpaceDE w:val="0"/>
        <w:autoSpaceDN w:val="0"/>
        <w:adjustRightInd w:val="0"/>
        <w:jc w:val="both"/>
        <w:rPr>
          <w:rFonts w:ascii="Arial" w:hAnsi="Arial" w:cs="Arial"/>
        </w:rPr>
      </w:pPr>
      <w:r>
        <w:rPr>
          <w:rFonts w:ascii="Arial" w:hAnsi="Arial" w:cs="Arial"/>
          <w:bCs/>
          <w:iCs/>
        </w:rPr>
        <w:t>Since 2000s, F</w:t>
      </w:r>
      <w:r w:rsidR="00B33947">
        <w:rPr>
          <w:rFonts w:ascii="Arial" w:hAnsi="Arial" w:cs="Arial"/>
          <w:bCs/>
          <w:iCs/>
        </w:rPr>
        <w:t xml:space="preserve">amily group practices are paid on the basis of capitation payment. This method is evolving to suit the Mongolian context </w:t>
      </w:r>
      <w:r w:rsidR="00001237">
        <w:rPr>
          <w:rFonts w:ascii="Arial" w:hAnsi="Arial" w:cs="Arial"/>
          <w:bCs/>
          <w:iCs/>
        </w:rPr>
        <w:t>in terms of determining catchment population and their health risks as well as condit</w:t>
      </w:r>
      <w:r w:rsidR="00DD4275">
        <w:rPr>
          <w:rFonts w:ascii="Arial" w:hAnsi="Arial" w:cs="Arial"/>
          <w:bCs/>
          <w:iCs/>
        </w:rPr>
        <w:t xml:space="preserve">ions where facilities operate. </w:t>
      </w:r>
      <w:r w:rsidR="00001237" w:rsidRPr="003B736C">
        <w:rPr>
          <w:rFonts w:ascii="Arial" w:hAnsi="Arial" w:cs="Arial"/>
        </w:rPr>
        <w:t>The original FGP payment model had</w:t>
      </w:r>
      <w:r w:rsidR="00001237">
        <w:rPr>
          <w:rFonts w:ascii="Arial" w:hAnsi="Arial" w:cs="Arial"/>
        </w:rPr>
        <w:t xml:space="preserve"> weightings for</w:t>
      </w:r>
      <w:r w:rsidR="00001237" w:rsidRPr="003B736C">
        <w:rPr>
          <w:rFonts w:ascii="Arial" w:hAnsi="Arial" w:cs="Arial"/>
        </w:rPr>
        <w:t xml:space="preserve"> 10 different types of clients, classified by five age groups and poor</w:t>
      </w:r>
      <w:r w:rsidR="00001237">
        <w:rPr>
          <w:rFonts w:ascii="Arial" w:hAnsi="Arial" w:cs="Arial"/>
          <w:lang w:eastAsia="ko-KR"/>
        </w:rPr>
        <w:t>/</w:t>
      </w:r>
      <w:r w:rsidR="00001237" w:rsidRPr="003B736C">
        <w:rPr>
          <w:rFonts w:ascii="Arial" w:hAnsi="Arial" w:cs="Arial"/>
        </w:rPr>
        <w:t xml:space="preserve">non-poor. In 2006, it was </w:t>
      </w:r>
      <w:r w:rsidR="00001237">
        <w:rPr>
          <w:rFonts w:ascii="Arial" w:hAnsi="Arial" w:cs="Arial"/>
        </w:rPr>
        <w:t>deci</w:t>
      </w:r>
      <w:r w:rsidR="00001237" w:rsidRPr="003B736C">
        <w:rPr>
          <w:rFonts w:ascii="Arial" w:hAnsi="Arial" w:cs="Arial"/>
        </w:rPr>
        <w:t xml:space="preserve">ded that </w:t>
      </w:r>
      <w:r w:rsidR="00001237">
        <w:rPr>
          <w:rFonts w:ascii="Arial" w:hAnsi="Arial" w:cs="Arial"/>
        </w:rPr>
        <w:t xml:space="preserve">the </w:t>
      </w:r>
      <w:r w:rsidR="00001237" w:rsidRPr="003B736C">
        <w:rPr>
          <w:rFonts w:ascii="Arial" w:hAnsi="Arial" w:cs="Arial"/>
        </w:rPr>
        <w:t>determination of po</w:t>
      </w:r>
      <w:r w:rsidR="00001237">
        <w:rPr>
          <w:rFonts w:ascii="Arial" w:hAnsi="Arial" w:cs="Arial"/>
          <w:lang w:eastAsia="ko-KR"/>
        </w:rPr>
        <w:t>verty</w:t>
      </w:r>
      <w:r w:rsidR="00001237" w:rsidRPr="003B736C">
        <w:rPr>
          <w:rFonts w:ascii="Arial" w:hAnsi="Arial" w:cs="Arial"/>
        </w:rPr>
        <w:t xml:space="preserve"> classes was </w:t>
      </w:r>
      <w:r w:rsidR="00BA3778">
        <w:rPr>
          <w:rFonts w:ascii="Arial" w:hAnsi="Arial" w:cs="Arial"/>
        </w:rPr>
        <w:t>in</w:t>
      </w:r>
      <w:r w:rsidR="00001237">
        <w:rPr>
          <w:rFonts w:ascii="Arial" w:hAnsi="Arial" w:cs="Arial"/>
        </w:rPr>
        <w:t>effective</w:t>
      </w:r>
      <w:r w:rsidR="00001237" w:rsidRPr="003B736C">
        <w:rPr>
          <w:rFonts w:ascii="Arial" w:hAnsi="Arial" w:cs="Arial"/>
        </w:rPr>
        <w:t>, and from 2007 the socioeconomic adjustment was made according to place</w:t>
      </w:r>
      <w:r w:rsidR="00AD5F6B">
        <w:rPr>
          <w:rFonts w:ascii="Arial" w:hAnsi="Arial" w:cs="Arial"/>
        </w:rPr>
        <w:t>s</w:t>
      </w:r>
      <w:r w:rsidR="00001237">
        <w:rPr>
          <w:rFonts w:ascii="Arial" w:hAnsi="Arial" w:cs="Arial"/>
        </w:rPr>
        <w:t xml:space="preserve"> of residence</w:t>
      </w:r>
      <w:r w:rsidR="00001237" w:rsidRPr="003B736C">
        <w:rPr>
          <w:rFonts w:ascii="Arial" w:hAnsi="Arial" w:cs="Arial"/>
        </w:rPr>
        <w:t xml:space="preserve">: </w:t>
      </w:r>
      <w:proofErr w:type="spellStart"/>
      <w:r w:rsidR="00001237" w:rsidRPr="003B736C">
        <w:rPr>
          <w:rFonts w:ascii="Arial" w:hAnsi="Arial" w:cs="Arial"/>
        </w:rPr>
        <w:t>ger</w:t>
      </w:r>
      <w:proofErr w:type="spellEnd"/>
      <w:r w:rsidR="00001237" w:rsidRPr="003B736C">
        <w:rPr>
          <w:rFonts w:ascii="Arial" w:hAnsi="Arial" w:cs="Arial"/>
        </w:rPr>
        <w:t xml:space="preserve"> district or apartment district. It was changed in 2008 and revised again in December 2010. </w:t>
      </w:r>
      <w:r w:rsidR="00DD4275">
        <w:rPr>
          <w:rFonts w:ascii="Arial" w:hAnsi="Arial" w:cs="Arial"/>
        </w:rPr>
        <w:t>As of 2012</w:t>
      </w:r>
      <w:r w:rsidR="00001237" w:rsidRPr="003B736C">
        <w:rPr>
          <w:rFonts w:ascii="Arial" w:hAnsi="Arial" w:cs="Arial"/>
        </w:rPr>
        <w:t>, the FGP risk</w:t>
      </w:r>
      <w:r w:rsidR="00001237">
        <w:rPr>
          <w:rFonts w:ascii="Arial" w:hAnsi="Arial" w:cs="Arial"/>
        </w:rPr>
        <w:t>-</w:t>
      </w:r>
      <w:r w:rsidR="00001237" w:rsidRPr="003B736C">
        <w:rPr>
          <w:rFonts w:ascii="Arial" w:hAnsi="Arial" w:cs="Arial"/>
        </w:rPr>
        <w:t xml:space="preserve">adjusted capitation model with ten categories is set at </w:t>
      </w:r>
      <w:r w:rsidR="00001237">
        <w:rPr>
          <w:rFonts w:ascii="Arial" w:hAnsi="Arial" w:cs="Arial"/>
        </w:rPr>
        <w:t>7</w:t>
      </w:r>
      <w:r w:rsidR="00001237" w:rsidRPr="003B736C">
        <w:rPr>
          <w:rFonts w:ascii="Arial" w:hAnsi="Arial" w:cs="Arial"/>
        </w:rPr>
        <w:t xml:space="preserve"> </w:t>
      </w:r>
      <w:r w:rsidR="00001237">
        <w:rPr>
          <w:rFonts w:ascii="Arial" w:hAnsi="Arial" w:cs="Arial"/>
        </w:rPr>
        <w:t xml:space="preserve">USD </w:t>
      </w:r>
      <w:r w:rsidR="00001237" w:rsidRPr="003B736C">
        <w:rPr>
          <w:rFonts w:ascii="Arial" w:hAnsi="Arial" w:cs="Arial"/>
        </w:rPr>
        <w:t xml:space="preserve">for </w:t>
      </w:r>
      <w:r w:rsidR="00001237">
        <w:rPr>
          <w:rFonts w:ascii="Arial" w:hAnsi="Arial" w:cs="Arial"/>
        </w:rPr>
        <w:t xml:space="preserve">a </w:t>
      </w:r>
      <w:r w:rsidR="00001237" w:rsidRPr="003B736C">
        <w:rPr>
          <w:rFonts w:ascii="Arial" w:hAnsi="Arial" w:cs="Arial"/>
        </w:rPr>
        <w:t xml:space="preserve">person in </w:t>
      </w:r>
      <w:r w:rsidR="00001237">
        <w:rPr>
          <w:rFonts w:ascii="Arial" w:hAnsi="Arial" w:cs="Arial"/>
        </w:rPr>
        <w:t xml:space="preserve">a </w:t>
      </w:r>
      <w:proofErr w:type="spellStart"/>
      <w:r w:rsidR="00001237" w:rsidRPr="003B736C">
        <w:rPr>
          <w:rFonts w:ascii="Arial" w:hAnsi="Arial" w:cs="Arial"/>
        </w:rPr>
        <w:t>ger</w:t>
      </w:r>
      <w:proofErr w:type="spellEnd"/>
      <w:r w:rsidR="00001237" w:rsidRPr="003B736C">
        <w:rPr>
          <w:rFonts w:ascii="Arial" w:hAnsi="Arial" w:cs="Arial"/>
        </w:rPr>
        <w:t xml:space="preserve"> district </w:t>
      </w:r>
      <w:r w:rsidR="00001237" w:rsidRPr="00490FFA">
        <w:rPr>
          <w:rFonts w:ascii="Arial" w:hAnsi="Arial" w:cs="Arial"/>
        </w:rPr>
        <w:t>and 6</w:t>
      </w:r>
      <w:r w:rsidR="00001237">
        <w:rPr>
          <w:rFonts w:ascii="Arial" w:hAnsi="Arial" w:cs="Arial"/>
        </w:rPr>
        <w:t xml:space="preserve"> USD </w:t>
      </w:r>
      <w:r w:rsidR="00001237" w:rsidRPr="003B736C">
        <w:rPr>
          <w:rFonts w:ascii="Arial" w:hAnsi="Arial" w:cs="Arial"/>
        </w:rPr>
        <w:t xml:space="preserve">per capita in </w:t>
      </w:r>
      <w:r w:rsidR="00001237">
        <w:rPr>
          <w:rFonts w:ascii="Arial" w:hAnsi="Arial" w:cs="Arial"/>
        </w:rPr>
        <w:t xml:space="preserve">an apartment </w:t>
      </w:r>
      <w:r w:rsidR="00001237" w:rsidRPr="003B736C">
        <w:rPr>
          <w:rFonts w:ascii="Arial" w:hAnsi="Arial" w:cs="Arial"/>
        </w:rPr>
        <w:t xml:space="preserve">district. </w:t>
      </w:r>
    </w:p>
    <w:p w14:paraId="79654513" w14:textId="77777777" w:rsidR="0067243C" w:rsidRDefault="0067243C" w:rsidP="0067243C">
      <w:pPr>
        <w:jc w:val="both"/>
        <w:rPr>
          <w:rFonts w:ascii="Arial" w:hAnsi="Arial" w:cs="Arial"/>
        </w:rPr>
      </w:pPr>
    </w:p>
    <w:p w14:paraId="3D17DFD7" w14:textId="360830FB" w:rsidR="000642EB" w:rsidRDefault="0067243C" w:rsidP="000642EB">
      <w:pPr>
        <w:autoSpaceDE w:val="0"/>
        <w:autoSpaceDN w:val="0"/>
        <w:adjustRightInd w:val="0"/>
        <w:jc w:val="both"/>
        <w:rPr>
          <w:rFonts w:ascii="Arial" w:hAnsi="Arial" w:cs="Arial"/>
        </w:rPr>
      </w:pPr>
      <w:r>
        <w:rPr>
          <w:rFonts w:ascii="Arial" w:hAnsi="Arial" w:cs="Arial"/>
        </w:rPr>
        <w:t xml:space="preserve">User charges have not been regulated in Mongolia for sometime. However, in 2006, the </w:t>
      </w:r>
      <w:proofErr w:type="spellStart"/>
      <w:r>
        <w:rPr>
          <w:rFonts w:ascii="Arial" w:hAnsi="Arial" w:cs="Arial"/>
        </w:rPr>
        <w:t>MoH</w:t>
      </w:r>
      <w:proofErr w:type="spellEnd"/>
      <w:r>
        <w:rPr>
          <w:rFonts w:ascii="Arial" w:hAnsi="Arial" w:cs="Arial"/>
        </w:rPr>
        <w:t xml:space="preserve"> approved </w:t>
      </w:r>
      <w:r w:rsidR="00DF792C">
        <w:rPr>
          <w:rFonts w:ascii="Arial" w:hAnsi="Arial" w:cs="Arial"/>
        </w:rPr>
        <w:t>the</w:t>
      </w:r>
      <w:r>
        <w:rPr>
          <w:rFonts w:ascii="Arial" w:hAnsi="Arial" w:cs="Arial"/>
        </w:rPr>
        <w:t xml:space="preserve"> list of services where user charges can be applied</w:t>
      </w:r>
      <w:r w:rsidR="00DF792C">
        <w:rPr>
          <w:rFonts w:ascii="Arial" w:hAnsi="Arial" w:cs="Arial"/>
        </w:rPr>
        <w:t xml:space="preserve"> at government health facilities</w:t>
      </w:r>
      <w:r>
        <w:rPr>
          <w:rFonts w:ascii="Arial" w:hAnsi="Arial" w:cs="Arial"/>
        </w:rPr>
        <w:t xml:space="preserve">. Hospital managers are free to set prices for these services in consultation with the </w:t>
      </w:r>
      <w:proofErr w:type="spellStart"/>
      <w:r>
        <w:rPr>
          <w:rFonts w:ascii="Arial" w:hAnsi="Arial" w:cs="Arial"/>
        </w:rPr>
        <w:t>MoH</w:t>
      </w:r>
      <w:proofErr w:type="spellEnd"/>
      <w:r>
        <w:rPr>
          <w:rFonts w:ascii="Arial" w:hAnsi="Arial" w:cs="Arial"/>
        </w:rPr>
        <w:t xml:space="preserve">. This policy is seen as </w:t>
      </w:r>
      <w:r w:rsidR="00BA3778">
        <w:rPr>
          <w:rFonts w:ascii="Arial" w:hAnsi="Arial" w:cs="Arial"/>
        </w:rPr>
        <w:t xml:space="preserve">a </w:t>
      </w:r>
      <w:r>
        <w:rPr>
          <w:rFonts w:ascii="Arial" w:hAnsi="Arial" w:cs="Arial"/>
        </w:rPr>
        <w:t xml:space="preserve">way to monitor and decrease informal </w:t>
      </w:r>
      <w:r w:rsidR="000642EB">
        <w:rPr>
          <w:rFonts w:ascii="Arial" w:hAnsi="Arial" w:cs="Arial"/>
        </w:rPr>
        <w:t>payment, which</w:t>
      </w:r>
      <w:r>
        <w:rPr>
          <w:rFonts w:ascii="Arial" w:hAnsi="Arial" w:cs="Arial"/>
        </w:rPr>
        <w:t xml:space="preserve"> makes a big share of out</w:t>
      </w:r>
      <w:r w:rsidR="008E6C03">
        <w:rPr>
          <w:rFonts w:ascii="Arial" w:hAnsi="Arial" w:cs="Arial"/>
        </w:rPr>
        <w:t xml:space="preserve"> of pocket health payments</w:t>
      </w:r>
      <w:r w:rsidR="0070661B">
        <w:rPr>
          <w:rStyle w:val="FootnoteReference"/>
          <w:rFonts w:ascii="Arial" w:hAnsi="Arial" w:cs="Arial"/>
        </w:rPr>
        <w:footnoteReference w:id="3"/>
      </w:r>
      <w:r w:rsidR="008E6C03">
        <w:rPr>
          <w:rFonts w:ascii="Arial" w:hAnsi="Arial" w:cs="Arial"/>
        </w:rPr>
        <w:t>. The</w:t>
      </w:r>
      <w:r>
        <w:rPr>
          <w:rFonts w:ascii="Arial" w:hAnsi="Arial" w:cs="Arial"/>
        </w:rPr>
        <w:t xml:space="preserve"> list </w:t>
      </w:r>
      <w:r w:rsidR="00DF792C">
        <w:rPr>
          <w:rFonts w:ascii="Arial" w:hAnsi="Arial" w:cs="Arial"/>
        </w:rPr>
        <w:t>of user charged</w:t>
      </w:r>
      <w:r w:rsidR="008E6C03">
        <w:rPr>
          <w:rFonts w:ascii="Arial" w:hAnsi="Arial" w:cs="Arial"/>
        </w:rPr>
        <w:t xml:space="preserve"> services </w:t>
      </w:r>
      <w:r w:rsidR="00DF792C">
        <w:rPr>
          <w:rFonts w:ascii="Arial" w:hAnsi="Arial" w:cs="Arial"/>
        </w:rPr>
        <w:t>was</w:t>
      </w:r>
      <w:r>
        <w:rPr>
          <w:rFonts w:ascii="Arial" w:hAnsi="Arial" w:cs="Arial"/>
        </w:rPr>
        <w:t xml:space="preserve"> revised </w:t>
      </w:r>
      <w:r w:rsidR="000B2E81">
        <w:rPr>
          <w:rFonts w:ascii="Arial" w:hAnsi="Arial" w:cs="Arial"/>
        </w:rPr>
        <w:t xml:space="preserve">and expanded </w:t>
      </w:r>
      <w:r>
        <w:rPr>
          <w:rFonts w:ascii="Arial" w:hAnsi="Arial" w:cs="Arial"/>
        </w:rPr>
        <w:t xml:space="preserve">in 2014. </w:t>
      </w:r>
    </w:p>
    <w:p w14:paraId="57F31159" w14:textId="77777777" w:rsidR="000642EB" w:rsidRDefault="000642EB" w:rsidP="000642EB">
      <w:pPr>
        <w:autoSpaceDE w:val="0"/>
        <w:autoSpaceDN w:val="0"/>
        <w:adjustRightInd w:val="0"/>
        <w:jc w:val="both"/>
        <w:rPr>
          <w:rFonts w:ascii="Arial" w:hAnsi="Arial" w:cs="Arial"/>
        </w:rPr>
      </w:pPr>
    </w:p>
    <w:p w14:paraId="22ED5FCC" w14:textId="384C89AB" w:rsidR="000642EB" w:rsidRDefault="000642EB" w:rsidP="000642EB">
      <w:pPr>
        <w:autoSpaceDE w:val="0"/>
        <w:autoSpaceDN w:val="0"/>
        <w:adjustRightInd w:val="0"/>
        <w:jc w:val="both"/>
        <w:rPr>
          <w:rFonts w:ascii="Arial" w:hAnsi="Arial" w:cs="Arial"/>
        </w:rPr>
      </w:pPr>
      <w:r>
        <w:rPr>
          <w:rFonts w:ascii="Arial" w:hAnsi="Arial" w:cs="Arial"/>
        </w:rPr>
        <w:t xml:space="preserve">In 2015, after </w:t>
      </w:r>
      <w:r w:rsidR="00BA3778">
        <w:rPr>
          <w:rFonts w:ascii="Arial" w:hAnsi="Arial" w:cs="Arial"/>
        </w:rPr>
        <w:t>more than</w:t>
      </w:r>
      <w:r>
        <w:rPr>
          <w:rFonts w:ascii="Arial" w:hAnsi="Arial" w:cs="Arial"/>
        </w:rPr>
        <w:t xml:space="preserve"> six years of debates at technical and political levels, </w:t>
      </w:r>
      <w:r w:rsidR="00BA3778">
        <w:rPr>
          <w:rFonts w:ascii="Arial" w:hAnsi="Arial" w:cs="Arial"/>
        </w:rPr>
        <w:t xml:space="preserve">the </w:t>
      </w:r>
      <w:r>
        <w:rPr>
          <w:rFonts w:ascii="Arial" w:hAnsi="Arial" w:cs="Arial"/>
        </w:rPr>
        <w:t xml:space="preserve">Mongolian parliament finally made a decision to move to a </w:t>
      </w:r>
      <w:r>
        <w:rPr>
          <w:rFonts w:ascii="Arial" w:eastAsiaTheme="minorEastAsia" w:hAnsi="Arial" w:cs="Arial" w:hint="eastAsia"/>
          <w:lang w:eastAsia="ko-KR"/>
        </w:rPr>
        <w:t>pooled</w:t>
      </w:r>
      <w:r>
        <w:rPr>
          <w:rFonts w:ascii="Arial" w:hAnsi="Arial" w:cs="Arial"/>
        </w:rPr>
        <w:t xml:space="preserve"> purchaser of </w:t>
      </w:r>
      <w:r>
        <w:rPr>
          <w:rFonts w:ascii="Arial" w:hAnsi="Arial" w:cs="Arial"/>
        </w:rPr>
        <w:lastRenderedPageBreak/>
        <w:t xml:space="preserve">health services under the social insurance scheme. The new law on </w:t>
      </w:r>
      <w:r w:rsidR="00BA3778">
        <w:rPr>
          <w:rFonts w:ascii="Arial" w:hAnsi="Arial" w:cs="Arial"/>
        </w:rPr>
        <w:t xml:space="preserve">health insurance established a separate </w:t>
      </w:r>
      <w:r>
        <w:rPr>
          <w:rFonts w:ascii="Arial" w:hAnsi="Arial" w:cs="Arial"/>
        </w:rPr>
        <w:t xml:space="preserve">social health insurance institution as </w:t>
      </w:r>
      <w:r w:rsidR="000B2E81">
        <w:rPr>
          <w:rFonts w:ascii="Arial" w:hAnsi="Arial" w:cs="Arial"/>
        </w:rPr>
        <w:t xml:space="preserve">the </w:t>
      </w:r>
      <w:proofErr w:type="gramStart"/>
      <w:r w:rsidR="000B2E81">
        <w:rPr>
          <w:rFonts w:ascii="Arial" w:hAnsi="Arial" w:cs="Arial"/>
        </w:rPr>
        <w:t xml:space="preserve">government </w:t>
      </w:r>
      <w:r>
        <w:rPr>
          <w:rFonts w:ascii="Arial" w:hAnsi="Arial" w:cs="Arial"/>
        </w:rPr>
        <w:t>implementing</w:t>
      </w:r>
      <w:proofErr w:type="gramEnd"/>
      <w:r>
        <w:rPr>
          <w:rFonts w:ascii="Arial" w:hAnsi="Arial" w:cs="Arial"/>
        </w:rPr>
        <w:t xml:space="preserve"> agency attached to the Ministry of Population Development and Social Protection. In 2012, the Government promulgated the long-term development strategy for social health insurance. This strategy defines objectives for benefits, contribution, coverage, and institutional development as well as role of private health insurance.</w:t>
      </w:r>
    </w:p>
    <w:p w14:paraId="0780CE22" w14:textId="77777777" w:rsidR="0067243C" w:rsidRDefault="0067243C" w:rsidP="00C011B2">
      <w:pPr>
        <w:jc w:val="both"/>
        <w:rPr>
          <w:rFonts w:ascii="Arial" w:hAnsi="Arial" w:cs="Arial"/>
        </w:rPr>
      </w:pPr>
    </w:p>
    <w:p w14:paraId="7370AA97" w14:textId="254FC603" w:rsidR="00C011B2" w:rsidRDefault="00C011B2" w:rsidP="00C011B2">
      <w:pPr>
        <w:jc w:val="both"/>
        <w:rPr>
          <w:rFonts w:ascii="Arial" w:hAnsi="Arial" w:cs="Arial"/>
          <w:lang w:val="en-GB"/>
        </w:rPr>
      </w:pPr>
      <w:r>
        <w:rPr>
          <w:rFonts w:ascii="Arial" w:hAnsi="Arial" w:cs="Arial"/>
        </w:rPr>
        <w:t xml:space="preserve">The </w:t>
      </w:r>
      <w:r w:rsidRPr="00862D33">
        <w:rPr>
          <w:rFonts w:ascii="Arial" w:hAnsi="Arial" w:cs="Arial"/>
          <w:lang w:val="en-GB"/>
        </w:rPr>
        <w:t>Integrated budget law</w:t>
      </w:r>
      <w:r>
        <w:rPr>
          <w:rFonts w:ascii="Arial" w:hAnsi="Arial" w:cs="Arial"/>
          <w:lang w:val="en-GB"/>
        </w:rPr>
        <w:t xml:space="preserve"> (2012)</w:t>
      </w:r>
      <w:r w:rsidR="00BA3778">
        <w:rPr>
          <w:rFonts w:ascii="Arial" w:hAnsi="Arial" w:cs="Arial"/>
          <w:lang w:val="en-GB"/>
        </w:rPr>
        <w:t xml:space="preserve"> embedded reforms in public finance system, </w:t>
      </w:r>
      <w:r w:rsidRPr="00862D33">
        <w:rPr>
          <w:rFonts w:ascii="Arial" w:hAnsi="Arial" w:cs="Arial"/>
          <w:lang w:val="en-GB"/>
        </w:rPr>
        <w:t xml:space="preserve">strengthened the decentralization process in Mongolia by enabling local government administration to have power over allocation of budgets for every primary health care facility in their constituency as central government gives them special purpose transfer for primary health education services. </w:t>
      </w:r>
      <w:r>
        <w:rPr>
          <w:rFonts w:ascii="Arial" w:hAnsi="Arial" w:cs="Arial"/>
          <w:lang w:val="en-GB"/>
        </w:rPr>
        <w:t xml:space="preserve">The </w:t>
      </w:r>
      <w:r w:rsidR="00BA3778">
        <w:rPr>
          <w:rFonts w:ascii="Arial" w:hAnsi="Arial" w:cs="Arial"/>
          <w:lang w:val="en-GB"/>
        </w:rPr>
        <w:t>law</w:t>
      </w:r>
      <w:r>
        <w:rPr>
          <w:rFonts w:ascii="Arial" w:hAnsi="Arial" w:cs="Arial"/>
          <w:lang w:val="en-GB"/>
        </w:rPr>
        <w:t xml:space="preserve"> also enabled more flexibility </w:t>
      </w:r>
      <w:r w:rsidR="00E513DE">
        <w:rPr>
          <w:rFonts w:ascii="Arial" w:hAnsi="Arial" w:cs="Arial"/>
          <w:lang w:val="en-GB"/>
        </w:rPr>
        <w:t>in spending of</w:t>
      </w:r>
      <w:r>
        <w:rPr>
          <w:rFonts w:ascii="Arial" w:hAnsi="Arial" w:cs="Arial"/>
          <w:lang w:val="en-GB"/>
        </w:rPr>
        <w:t xml:space="preserve"> </w:t>
      </w:r>
      <w:r w:rsidR="00173DB0">
        <w:rPr>
          <w:rFonts w:ascii="Arial" w:hAnsi="Arial" w:cs="Arial"/>
          <w:lang w:val="en-GB"/>
        </w:rPr>
        <w:t xml:space="preserve">the </w:t>
      </w:r>
      <w:r>
        <w:rPr>
          <w:rFonts w:ascii="Arial" w:hAnsi="Arial" w:cs="Arial"/>
          <w:lang w:val="en-GB"/>
        </w:rPr>
        <w:t xml:space="preserve">line item budgets and </w:t>
      </w:r>
      <w:r w:rsidR="00173DB0">
        <w:rPr>
          <w:rFonts w:ascii="Arial" w:hAnsi="Arial" w:cs="Arial"/>
          <w:lang w:val="en-GB"/>
        </w:rPr>
        <w:t xml:space="preserve">gave more </w:t>
      </w:r>
      <w:r>
        <w:rPr>
          <w:rFonts w:ascii="Arial" w:hAnsi="Arial" w:cs="Arial"/>
          <w:lang w:val="en-GB"/>
        </w:rPr>
        <w:t xml:space="preserve">power </w:t>
      </w:r>
      <w:r w:rsidR="00173DB0">
        <w:rPr>
          <w:rFonts w:ascii="Arial" w:hAnsi="Arial" w:cs="Arial"/>
          <w:lang w:val="en-GB"/>
        </w:rPr>
        <w:t>to health care managers to shift</w:t>
      </w:r>
      <w:r>
        <w:rPr>
          <w:rFonts w:ascii="Arial" w:hAnsi="Arial" w:cs="Arial"/>
          <w:lang w:val="en-GB"/>
        </w:rPr>
        <w:t xml:space="preserve"> </w:t>
      </w:r>
      <w:r w:rsidR="00173DB0">
        <w:rPr>
          <w:rFonts w:ascii="Arial" w:hAnsi="Arial" w:cs="Arial"/>
          <w:lang w:val="en-GB"/>
        </w:rPr>
        <w:t xml:space="preserve">expenses </w:t>
      </w:r>
      <w:r>
        <w:rPr>
          <w:rFonts w:ascii="Arial" w:hAnsi="Arial" w:cs="Arial"/>
          <w:lang w:val="en-GB"/>
        </w:rPr>
        <w:t xml:space="preserve">between </w:t>
      </w:r>
      <w:r w:rsidR="00E513DE">
        <w:rPr>
          <w:rFonts w:ascii="Arial" w:hAnsi="Arial" w:cs="Arial"/>
          <w:lang w:val="en-GB"/>
        </w:rPr>
        <w:t xml:space="preserve">previously defined </w:t>
      </w:r>
      <w:r>
        <w:rPr>
          <w:rFonts w:ascii="Arial" w:hAnsi="Arial" w:cs="Arial"/>
          <w:lang w:val="en-GB"/>
        </w:rPr>
        <w:t xml:space="preserve">line items. </w:t>
      </w:r>
    </w:p>
    <w:p w14:paraId="579BA582" w14:textId="77777777" w:rsidR="00E513DE" w:rsidRDefault="00E513DE" w:rsidP="00C011B2">
      <w:pPr>
        <w:jc w:val="both"/>
        <w:rPr>
          <w:rFonts w:ascii="Arial" w:hAnsi="Arial" w:cs="Arial"/>
          <w:lang w:val="en-GB"/>
        </w:rPr>
      </w:pPr>
    </w:p>
    <w:p w14:paraId="2AAD90D7" w14:textId="482D32DD" w:rsidR="00A50AA9" w:rsidRPr="00447BB0" w:rsidRDefault="00A50AA9" w:rsidP="00447BB0">
      <w:pPr>
        <w:pStyle w:val="Heading3"/>
        <w:rPr>
          <w:lang w:val="en-GB"/>
        </w:rPr>
      </w:pPr>
      <w:bookmarkStart w:id="7" w:name="_Toc305764302"/>
      <w:r>
        <w:rPr>
          <w:lang w:val="en-GB"/>
        </w:rPr>
        <w:t>Medicine</w:t>
      </w:r>
      <w:bookmarkEnd w:id="7"/>
    </w:p>
    <w:p w14:paraId="5F9A5A86" w14:textId="77777777" w:rsidR="00A50AA9" w:rsidRDefault="00A50AA9" w:rsidP="00A844C9">
      <w:pPr>
        <w:rPr>
          <w:lang w:val="en-GB"/>
        </w:rPr>
      </w:pPr>
    </w:p>
    <w:p w14:paraId="3F8FBF64" w14:textId="025A8CA6" w:rsidR="00EB4F57" w:rsidRDefault="00EB4F57" w:rsidP="00EB4F57">
      <w:pPr>
        <w:jc w:val="both"/>
        <w:rPr>
          <w:rFonts w:ascii="Arial" w:hAnsi="Arial" w:cs="Arial"/>
        </w:rPr>
      </w:pPr>
      <w:r>
        <w:rPr>
          <w:rFonts w:ascii="Arial" w:hAnsi="Arial" w:cs="Arial"/>
        </w:rPr>
        <w:t>Pharmaceutical services are provided through 1200 or mor</w:t>
      </w:r>
      <w:r w:rsidR="00F56FD9">
        <w:rPr>
          <w:rFonts w:ascii="Arial" w:hAnsi="Arial" w:cs="Arial"/>
        </w:rPr>
        <w:t>e private pharmacies</w:t>
      </w:r>
      <w:r w:rsidR="00E513DE">
        <w:rPr>
          <w:rFonts w:ascii="Arial" w:hAnsi="Arial" w:cs="Arial"/>
        </w:rPr>
        <w:t xml:space="preserve"> in Mongolia</w:t>
      </w:r>
      <w:r w:rsidR="006C5065">
        <w:rPr>
          <w:rFonts w:ascii="Arial" w:hAnsi="Arial" w:cs="Arial"/>
        </w:rPr>
        <w:t xml:space="preserve">. </w:t>
      </w:r>
      <w:r w:rsidR="00FC79E4">
        <w:rPr>
          <w:rFonts w:ascii="Arial" w:hAnsi="Arial" w:cs="Arial"/>
        </w:rPr>
        <w:t xml:space="preserve">All pharmacy outlets </w:t>
      </w:r>
      <w:r w:rsidR="00F56FD9">
        <w:rPr>
          <w:rFonts w:ascii="Arial" w:hAnsi="Arial" w:cs="Arial"/>
        </w:rPr>
        <w:t>are private</w:t>
      </w:r>
      <w:r w:rsidR="00491767">
        <w:rPr>
          <w:rFonts w:ascii="Arial" w:hAnsi="Arial" w:cs="Arial"/>
        </w:rPr>
        <w:t>ly owned</w:t>
      </w:r>
      <w:r w:rsidR="00F56FD9">
        <w:rPr>
          <w:rFonts w:ascii="Arial" w:hAnsi="Arial" w:cs="Arial"/>
        </w:rPr>
        <w:t xml:space="preserve"> and the Government maintains only inpatient pharmacy departments in public hospitals. There </w:t>
      </w:r>
      <w:r w:rsidR="00AD5F6B">
        <w:rPr>
          <w:rFonts w:ascii="Arial" w:hAnsi="Arial" w:cs="Arial"/>
        </w:rPr>
        <w:t>are excessive numbers</w:t>
      </w:r>
      <w:r w:rsidR="00F56FD9">
        <w:rPr>
          <w:rFonts w:ascii="Arial" w:hAnsi="Arial" w:cs="Arial"/>
        </w:rPr>
        <w:t xml:space="preserve"> of pharmacies especially in urban settings leading to </w:t>
      </w:r>
      <w:r w:rsidR="00491767">
        <w:rPr>
          <w:rFonts w:ascii="Arial" w:hAnsi="Arial" w:cs="Arial"/>
        </w:rPr>
        <w:t xml:space="preserve">unregulated </w:t>
      </w:r>
      <w:r w:rsidR="00F56FD9">
        <w:rPr>
          <w:rFonts w:ascii="Arial" w:hAnsi="Arial" w:cs="Arial"/>
        </w:rPr>
        <w:t xml:space="preserve">use of self-medication practice among </w:t>
      </w:r>
      <w:r w:rsidR="0070661B">
        <w:rPr>
          <w:rFonts w:ascii="Arial" w:hAnsi="Arial" w:cs="Arial"/>
        </w:rPr>
        <w:t xml:space="preserve">the </w:t>
      </w:r>
      <w:r w:rsidR="00F56FD9">
        <w:rPr>
          <w:rFonts w:ascii="Arial" w:hAnsi="Arial" w:cs="Arial"/>
        </w:rPr>
        <w:t xml:space="preserve">population. Mongolia has </w:t>
      </w:r>
      <w:r w:rsidR="0070661B">
        <w:rPr>
          <w:rFonts w:ascii="Arial" w:hAnsi="Arial" w:cs="Arial"/>
        </w:rPr>
        <w:t xml:space="preserve">a </w:t>
      </w:r>
      <w:r w:rsidR="00F56FD9">
        <w:rPr>
          <w:rFonts w:ascii="Arial" w:hAnsi="Arial" w:cs="Arial"/>
        </w:rPr>
        <w:t xml:space="preserve">National Policy on Medicine and approved </w:t>
      </w:r>
      <w:r w:rsidRPr="00A844C9">
        <w:rPr>
          <w:rFonts w:ascii="Arial" w:hAnsi="Arial" w:cs="Arial"/>
        </w:rPr>
        <w:t xml:space="preserve">the second State policy on medicine </w:t>
      </w:r>
      <w:r w:rsidR="0070661B">
        <w:rPr>
          <w:rFonts w:ascii="Arial" w:hAnsi="Arial" w:cs="Arial"/>
        </w:rPr>
        <w:t xml:space="preserve">that </w:t>
      </w:r>
      <w:r w:rsidRPr="00A844C9">
        <w:rPr>
          <w:rFonts w:ascii="Arial" w:hAnsi="Arial" w:cs="Arial"/>
        </w:rPr>
        <w:t xml:space="preserve">has been promulgated by the Parliament </w:t>
      </w:r>
      <w:r w:rsidR="000C6C78">
        <w:rPr>
          <w:rFonts w:ascii="Arial" w:hAnsi="Arial" w:cs="Arial"/>
        </w:rPr>
        <w:t>in 2014. The p</w:t>
      </w:r>
      <w:r w:rsidR="00F56FD9">
        <w:rPr>
          <w:rFonts w:ascii="Arial" w:hAnsi="Arial" w:cs="Arial"/>
        </w:rPr>
        <w:t xml:space="preserve">olicy </w:t>
      </w:r>
      <w:r w:rsidRPr="00A844C9">
        <w:rPr>
          <w:rFonts w:ascii="Arial" w:hAnsi="Arial" w:cs="Arial"/>
        </w:rPr>
        <w:t>set</w:t>
      </w:r>
      <w:r w:rsidR="00F56FD9">
        <w:rPr>
          <w:rFonts w:ascii="Arial" w:hAnsi="Arial" w:cs="Arial"/>
        </w:rPr>
        <w:t>s</w:t>
      </w:r>
      <w:r w:rsidRPr="00A844C9">
        <w:rPr>
          <w:rFonts w:ascii="Arial" w:hAnsi="Arial" w:cs="Arial"/>
        </w:rPr>
        <w:t xml:space="preserve"> strategies to ensure safe, good quality medicines at affordable prices. It emphasizes centralized procurement system of medicine for government facilities, prioritization of public resources to needy and vulnerable and promoting use of generic drugs.</w:t>
      </w:r>
    </w:p>
    <w:p w14:paraId="08AE2AB6" w14:textId="77777777" w:rsidR="00F56FD9" w:rsidRPr="00A844C9" w:rsidRDefault="00F56FD9" w:rsidP="00EB4F57">
      <w:pPr>
        <w:jc w:val="both"/>
        <w:rPr>
          <w:rFonts w:ascii="Arial" w:hAnsi="Arial" w:cs="Arial"/>
        </w:rPr>
      </w:pPr>
    </w:p>
    <w:p w14:paraId="1CA93141" w14:textId="2EC9E3AD" w:rsidR="00BE1A53" w:rsidRPr="00A844C9" w:rsidRDefault="00BE1A53" w:rsidP="00A844C9">
      <w:pPr>
        <w:jc w:val="both"/>
        <w:rPr>
          <w:rFonts w:ascii="Arial" w:hAnsi="Arial" w:cs="Arial"/>
        </w:rPr>
      </w:pPr>
      <w:r w:rsidRPr="00A844C9">
        <w:rPr>
          <w:rFonts w:ascii="Arial" w:hAnsi="Arial" w:cs="Arial"/>
        </w:rPr>
        <w:t>Essential drugs of 13</w:t>
      </w:r>
      <w:r w:rsidR="00E513DE">
        <w:rPr>
          <w:rFonts w:ascii="Arial" w:hAnsi="Arial" w:cs="Arial"/>
        </w:rPr>
        <w:t>4</w:t>
      </w:r>
      <w:r w:rsidRPr="00A844C9">
        <w:rPr>
          <w:rFonts w:ascii="Arial" w:hAnsi="Arial" w:cs="Arial"/>
        </w:rPr>
        <w:t xml:space="preserve"> generic </w:t>
      </w:r>
      <w:r w:rsidR="00E513DE">
        <w:rPr>
          <w:rFonts w:ascii="Arial" w:hAnsi="Arial" w:cs="Arial"/>
        </w:rPr>
        <w:t xml:space="preserve">and 339 brand </w:t>
      </w:r>
      <w:r w:rsidRPr="00A844C9">
        <w:rPr>
          <w:rFonts w:ascii="Arial" w:hAnsi="Arial" w:cs="Arial"/>
        </w:rPr>
        <w:t>names are reimbursable by health insurance for selected pharmacies at a discounted rate (28.6%-93% of reference prices are reimbursed), but only when prescribed by primary health care providers. In addition, drugs to treat government budget</w:t>
      </w:r>
      <w:r w:rsidRPr="00A844C9">
        <w:rPr>
          <w:rFonts w:ascii="Arial" w:hAnsi="Arial" w:cs="Arial"/>
          <w:lang w:eastAsia="ko-KR"/>
        </w:rPr>
        <w:t>-</w:t>
      </w:r>
      <w:r w:rsidRPr="00A844C9">
        <w:rPr>
          <w:rFonts w:ascii="Arial" w:hAnsi="Arial" w:cs="Arial"/>
        </w:rPr>
        <w:t xml:space="preserve">funded services </w:t>
      </w:r>
      <w:r w:rsidR="00C73714">
        <w:rPr>
          <w:rFonts w:ascii="Arial" w:hAnsi="Arial" w:cs="Arial"/>
        </w:rPr>
        <w:t xml:space="preserve">such as diabetes, TB and cancer </w:t>
      </w:r>
      <w:r w:rsidRPr="00A844C9">
        <w:rPr>
          <w:rFonts w:ascii="Arial" w:hAnsi="Arial" w:cs="Arial"/>
        </w:rPr>
        <w:t>are provided by line item expenses within approved budgets. However, both hospitals and patients complain that government funding does not cover such expenses and thus patients face</w:t>
      </w:r>
      <w:r w:rsidR="00E513DE">
        <w:rPr>
          <w:rFonts w:ascii="Arial" w:hAnsi="Arial" w:cs="Arial"/>
        </w:rPr>
        <w:t xml:space="preserve"> out of pocket</w:t>
      </w:r>
      <w:r w:rsidRPr="00A844C9">
        <w:rPr>
          <w:rFonts w:ascii="Arial" w:hAnsi="Arial" w:cs="Arial"/>
        </w:rPr>
        <w:t xml:space="preserve"> payments. These have been largely to do with the lack of an effective purchasing mechanism, because the reimbursement rates are followed only for SHI services but not for government budget funded services. The new health insurance law (2015), that enhances institutional capacity of social insurance as a purchaser, expands the benefits to cover medicines prescribed by </w:t>
      </w:r>
      <w:r w:rsidR="00EB4F57">
        <w:rPr>
          <w:rFonts w:ascii="Arial" w:hAnsi="Arial" w:cs="Arial"/>
        </w:rPr>
        <w:t xml:space="preserve">medical doctors in </w:t>
      </w:r>
      <w:r w:rsidRPr="00A844C9">
        <w:rPr>
          <w:rFonts w:ascii="Arial" w:hAnsi="Arial" w:cs="Arial"/>
        </w:rPr>
        <w:t xml:space="preserve">secondary hospitals. </w:t>
      </w:r>
    </w:p>
    <w:p w14:paraId="21D359BD" w14:textId="77777777" w:rsidR="00C011B2" w:rsidRDefault="00C011B2" w:rsidP="00A844C9">
      <w:pPr>
        <w:rPr>
          <w:lang w:val="en-GB"/>
        </w:rPr>
      </w:pPr>
    </w:p>
    <w:p w14:paraId="44267A4E" w14:textId="77777777" w:rsidR="00C011B2" w:rsidRDefault="00C011B2" w:rsidP="00A844C9">
      <w:pPr>
        <w:pStyle w:val="Heading3"/>
        <w:spacing w:before="0"/>
      </w:pPr>
      <w:bookmarkStart w:id="8" w:name="_Toc305764303"/>
      <w:r>
        <w:lastRenderedPageBreak/>
        <w:t>Information system</w:t>
      </w:r>
      <w:bookmarkEnd w:id="8"/>
    </w:p>
    <w:p w14:paraId="132EE997" w14:textId="77777777" w:rsidR="00C011B2" w:rsidRDefault="00C011B2" w:rsidP="00D34C53">
      <w:pPr>
        <w:autoSpaceDE w:val="0"/>
        <w:autoSpaceDN w:val="0"/>
        <w:adjustRightInd w:val="0"/>
        <w:jc w:val="both"/>
        <w:rPr>
          <w:rFonts w:ascii="Arial" w:hAnsi="Arial" w:cs="Arial"/>
        </w:rPr>
      </w:pPr>
    </w:p>
    <w:p w14:paraId="4F295E9D" w14:textId="77777777" w:rsidR="00E513DE" w:rsidRDefault="00CD27B6" w:rsidP="00E513DE">
      <w:pPr>
        <w:jc w:val="both"/>
        <w:rPr>
          <w:lang w:val="en-GB"/>
        </w:rPr>
      </w:pPr>
      <w:r w:rsidRPr="00A844C9">
        <w:rPr>
          <w:rFonts w:ascii="Arial" w:hAnsi="Arial" w:cs="Arial"/>
        </w:rPr>
        <w:t>Since 2005, Mongolian health sector has been making efforts to implement the health management information system strategy. Ministry of Health uses Health-info software for collecting, integrating and processing the routine health statistics. Most tertiary and secondary hospitals use Hospital information systems, however hospitals have to keep paper records as</w:t>
      </w:r>
      <w:r w:rsidRPr="00A844C9">
        <w:rPr>
          <w:rFonts w:ascii="Arial" w:hAnsi="Arial" w:cs="Arial"/>
          <w:lang w:eastAsia="ko-KR"/>
        </w:rPr>
        <w:t xml:space="preserve"> the</w:t>
      </w:r>
      <w:r w:rsidRPr="00A844C9">
        <w:rPr>
          <w:rFonts w:ascii="Arial" w:hAnsi="Arial" w:cs="Arial"/>
        </w:rPr>
        <w:t xml:space="preserve"> legal framework for electronic record keeping has not been fully instituted and regulated effectively. For example, linkage to social health insurance is still stumbling, as there is lack of electronic exchange of information between health care provider</w:t>
      </w:r>
      <w:r w:rsidR="009275B1">
        <w:rPr>
          <w:rFonts w:ascii="Arial" w:hAnsi="Arial" w:cs="Arial"/>
        </w:rPr>
        <w:t>s and health insurance. Use of information technology (I</w:t>
      </w:r>
      <w:r w:rsidRPr="00A844C9">
        <w:rPr>
          <w:rFonts w:ascii="Arial" w:hAnsi="Arial" w:cs="Arial"/>
        </w:rPr>
        <w:t>T</w:t>
      </w:r>
      <w:r w:rsidR="009275B1">
        <w:rPr>
          <w:rFonts w:ascii="Arial" w:hAnsi="Arial" w:cs="Arial"/>
        </w:rPr>
        <w:t>)</w:t>
      </w:r>
      <w:r w:rsidRPr="00A844C9">
        <w:rPr>
          <w:rFonts w:ascii="Arial" w:hAnsi="Arial" w:cs="Arial"/>
        </w:rPr>
        <w:t xml:space="preserve"> at the primary care level is limited to basic word-processing and the use of spreadsheets. Information on ICT in private sector is limited though newly established private health care providers use the latest developments of hospital information system.  </w:t>
      </w:r>
    </w:p>
    <w:p w14:paraId="3340D422" w14:textId="77777777" w:rsidR="00E513DE" w:rsidRDefault="00E513DE" w:rsidP="00E513DE">
      <w:pPr>
        <w:jc w:val="both"/>
        <w:rPr>
          <w:lang w:val="en-GB"/>
        </w:rPr>
      </w:pPr>
    </w:p>
    <w:p w14:paraId="5916FE35" w14:textId="77777777" w:rsidR="00E513DE" w:rsidRDefault="00E513DE" w:rsidP="00E513DE">
      <w:pPr>
        <w:jc w:val="both"/>
        <w:rPr>
          <w:lang w:val="en-GB"/>
        </w:rPr>
      </w:pPr>
    </w:p>
    <w:p w14:paraId="1AC2C17D" w14:textId="011F926B" w:rsidR="00B919C7" w:rsidRPr="00E513DE" w:rsidRDefault="00F6574A" w:rsidP="007A1B5C">
      <w:pPr>
        <w:pStyle w:val="Heading2"/>
        <w:spacing w:before="0"/>
        <w:rPr>
          <w:rFonts w:ascii="Arial" w:hAnsi="Arial" w:cs="Arial"/>
        </w:rPr>
      </w:pPr>
      <w:bookmarkStart w:id="9" w:name="_Toc305764304"/>
      <w:r>
        <w:rPr>
          <w:lang w:val="en-GB"/>
        </w:rPr>
        <w:t>Data description</w:t>
      </w:r>
      <w:bookmarkEnd w:id="9"/>
      <w:r>
        <w:rPr>
          <w:lang w:val="en-GB"/>
        </w:rPr>
        <w:t xml:space="preserve"> </w:t>
      </w:r>
    </w:p>
    <w:p w14:paraId="3C859EEB" w14:textId="77777777" w:rsidR="000511AD" w:rsidRPr="000511AD" w:rsidRDefault="000511AD" w:rsidP="000511AD"/>
    <w:p w14:paraId="6D2E7449" w14:textId="04496EA4" w:rsidR="00BD6149" w:rsidRPr="00CD043F" w:rsidRDefault="002512CA" w:rsidP="00BD6149">
      <w:pPr>
        <w:jc w:val="both"/>
        <w:rPr>
          <w:rFonts w:ascii="Arial" w:hAnsi="Arial" w:cs="Arial"/>
        </w:rPr>
      </w:pPr>
      <w:r>
        <w:rPr>
          <w:rFonts w:ascii="Arial" w:hAnsi="Arial" w:cs="Arial"/>
        </w:rPr>
        <w:t xml:space="preserve">We used the </w:t>
      </w:r>
      <w:r w:rsidRPr="00634D82">
        <w:rPr>
          <w:rFonts w:ascii="Arial" w:hAnsi="Arial" w:cs="Arial"/>
        </w:rPr>
        <w:t xml:space="preserve">data </w:t>
      </w:r>
      <w:r>
        <w:rPr>
          <w:rFonts w:ascii="Arial" w:hAnsi="Arial" w:cs="Arial"/>
        </w:rPr>
        <w:t xml:space="preserve">sets </w:t>
      </w:r>
      <w:r w:rsidR="00447BB0">
        <w:rPr>
          <w:rFonts w:ascii="Arial" w:hAnsi="Arial" w:cs="Arial"/>
        </w:rPr>
        <w:t xml:space="preserve">of </w:t>
      </w:r>
      <w:r w:rsidRPr="00634D82">
        <w:rPr>
          <w:rFonts w:ascii="Arial" w:hAnsi="Arial" w:cs="Arial"/>
        </w:rPr>
        <w:t>Household Socio-Economic Survey</w:t>
      </w:r>
      <w:r>
        <w:rPr>
          <w:rFonts w:ascii="Arial" w:hAnsi="Arial" w:cs="Arial"/>
        </w:rPr>
        <w:t>s</w:t>
      </w:r>
      <w:r w:rsidRPr="00634D82">
        <w:rPr>
          <w:rFonts w:ascii="Arial" w:hAnsi="Arial" w:cs="Arial"/>
        </w:rPr>
        <w:t xml:space="preserve"> (HSES)</w:t>
      </w:r>
      <w:r>
        <w:rPr>
          <w:rFonts w:ascii="Arial" w:hAnsi="Arial" w:cs="Arial"/>
        </w:rPr>
        <w:t xml:space="preserve"> for 2010-2012 to analyze</w:t>
      </w:r>
      <w:r w:rsidR="00264DEC">
        <w:rPr>
          <w:rFonts w:ascii="Arial" w:hAnsi="Arial" w:cs="Arial"/>
        </w:rPr>
        <w:t xml:space="preserve"> </w:t>
      </w:r>
      <w:r>
        <w:rPr>
          <w:rFonts w:ascii="Arial" w:hAnsi="Arial" w:cs="Arial"/>
        </w:rPr>
        <w:t>the</w:t>
      </w:r>
      <w:r w:rsidR="00264DEC">
        <w:rPr>
          <w:rFonts w:ascii="Arial" w:hAnsi="Arial" w:cs="Arial"/>
        </w:rPr>
        <w:t xml:space="preserve"> catastrophic </w:t>
      </w:r>
      <w:r w:rsidR="00374A8B">
        <w:rPr>
          <w:rFonts w:ascii="Arial" w:hAnsi="Arial" w:cs="Arial"/>
        </w:rPr>
        <w:t xml:space="preserve">and impoverishing </w:t>
      </w:r>
      <w:r w:rsidR="00264DEC">
        <w:rPr>
          <w:rFonts w:ascii="Arial" w:hAnsi="Arial" w:cs="Arial"/>
        </w:rPr>
        <w:t xml:space="preserve">health payments and benefit and incidence of public </w:t>
      </w:r>
      <w:r w:rsidR="00E513DE">
        <w:rPr>
          <w:rFonts w:ascii="Arial" w:hAnsi="Arial" w:cs="Arial"/>
        </w:rPr>
        <w:t>subsidy for health</w:t>
      </w:r>
      <w:r w:rsidR="00264DEC">
        <w:rPr>
          <w:rFonts w:ascii="Arial" w:hAnsi="Arial" w:cs="Arial"/>
        </w:rPr>
        <w:t xml:space="preserve"> </w:t>
      </w:r>
      <w:r>
        <w:rPr>
          <w:rFonts w:ascii="Arial" w:hAnsi="Arial" w:cs="Arial"/>
        </w:rPr>
        <w:t>in Mongolia</w:t>
      </w:r>
      <w:r w:rsidR="000511AD" w:rsidRPr="00634D82">
        <w:rPr>
          <w:rFonts w:ascii="Arial" w:hAnsi="Arial" w:cs="Arial"/>
        </w:rPr>
        <w:t xml:space="preserve">. This is a nationally representative survey whose main objective is to evaluate and monitor the income and expenditure </w:t>
      </w:r>
      <w:r w:rsidR="00E513DE">
        <w:rPr>
          <w:rFonts w:ascii="Arial" w:hAnsi="Arial" w:cs="Arial"/>
        </w:rPr>
        <w:t xml:space="preserve">profiles </w:t>
      </w:r>
      <w:r w:rsidR="000511AD" w:rsidRPr="00634D82">
        <w:rPr>
          <w:rFonts w:ascii="Arial" w:hAnsi="Arial" w:cs="Arial"/>
        </w:rPr>
        <w:t>of households</w:t>
      </w:r>
      <w:r>
        <w:rPr>
          <w:rFonts w:ascii="Arial" w:hAnsi="Arial" w:cs="Arial"/>
        </w:rPr>
        <w:t xml:space="preserve"> and </w:t>
      </w:r>
      <w:r w:rsidR="00E513DE">
        <w:rPr>
          <w:rFonts w:ascii="Arial" w:hAnsi="Arial" w:cs="Arial"/>
        </w:rPr>
        <w:t xml:space="preserve">the </w:t>
      </w:r>
      <w:r>
        <w:rPr>
          <w:rFonts w:ascii="Arial" w:hAnsi="Arial" w:cs="Arial"/>
        </w:rPr>
        <w:t>population poverty</w:t>
      </w:r>
      <w:r w:rsidR="000511AD" w:rsidRPr="00634D82">
        <w:rPr>
          <w:rFonts w:ascii="Arial" w:hAnsi="Arial" w:cs="Arial"/>
        </w:rPr>
        <w:t xml:space="preserve">. The HSES is a permanent survey carried out by the National Statistics Office </w:t>
      </w:r>
      <w:r w:rsidR="00E513DE">
        <w:rPr>
          <w:rFonts w:ascii="Arial" w:hAnsi="Arial" w:cs="Arial"/>
        </w:rPr>
        <w:t xml:space="preserve">(NSO) </w:t>
      </w:r>
      <w:r w:rsidR="000511AD" w:rsidRPr="00634D82">
        <w:rPr>
          <w:rFonts w:ascii="Arial" w:hAnsi="Arial" w:cs="Arial"/>
        </w:rPr>
        <w:t xml:space="preserve">every year. </w:t>
      </w:r>
      <w:r>
        <w:rPr>
          <w:rFonts w:ascii="Arial" w:hAnsi="Arial" w:cs="Arial"/>
        </w:rPr>
        <w:t xml:space="preserve">There has been </w:t>
      </w:r>
      <w:r w:rsidR="00CD043F">
        <w:rPr>
          <w:rFonts w:ascii="Arial" w:hAnsi="Arial" w:cs="Arial"/>
        </w:rPr>
        <w:t>detailed or summarized versions of the study depending on the scale of analysis</w:t>
      </w:r>
      <w:r>
        <w:rPr>
          <w:rFonts w:ascii="Arial" w:hAnsi="Arial" w:cs="Arial"/>
        </w:rPr>
        <w:t>.</w:t>
      </w:r>
      <w:r w:rsidR="00CD043F">
        <w:rPr>
          <w:rFonts w:ascii="Arial" w:hAnsi="Arial" w:cs="Arial"/>
        </w:rPr>
        <w:t xml:space="preserve"> The detailed version of HSES is conducted every three year</w:t>
      </w:r>
      <w:r w:rsidR="00173DB0">
        <w:rPr>
          <w:rFonts w:ascii="Arial" w:hAnsi="Arial" w:cs="Arial"/>
        </w:rPr>
        <w:t>s</w:t>
      </w:r>
      <w:r w:rsidR="00CD043F">
        <w:rPr>
          <w:rFonts w:ascii="Arial" w:hAnsi="Arial" w:cs="Arial"/>
        </w:rPr>
        <w:t xml:space="preserve">. </w:t>
      </w:r>
      <w:r w:rsidR="000C6C78">
        <w:rPr>
          <w:rFonts w:ascii="Arial" w:hAnsi="Arial" w:cs="Arial"/>
        </w:rPr>
        <w:t>The detailed HSES was organized in 2012 as for</w:t>
      </w:r>
      <w:r w:rsidR="00CD043F">
        <w:rPr>
          <w:rFonts w:ascii="Arial" w:hAnsi="Arial" w:cs="Arial"/>
        </w:rPr>
        <w:t xml:space="preserve"> years covered in this analysis.  In 2012, 15 modules were studied through HSES. </w:t>
      </w:r>
    </w:p>
    <w:p w14:paraId="2A300956" w14:textId="77777777" w:rsidR="00372EAD" w:rsidRDefault="00372EAD" w:rsidP="00BD6149">
      <w:pPr>
        <w:jc w:val="both"/>
        <w:rPr>
          <w:rFonts w:ascii="Arial" w:eastAsiaTheme="minorEastAsia" w:hAnsi="Arial" w:cs="Arial"/>
          <w:color w:val="000000"/>
          <w:sz w:val="22"/>
          <w:szCs w:val="22"/>
        </w:rPr>
      </w:pPr>
    </w:p>
    <w:p w14:paraId="0FE2E29D" w14:textId="272366B3" w:rsidR="00BD090A" w:rsidRDefault="00BD090A" w:rsidP="00BD090A">
      <w:pPr>
        <w:jc w:val="both"/>
        <w:rPr>
          <w:rFonts w:ascii="Arial" w:hAnsi="Arial" w:cs="Arial"/>
        </w:rPr>
      </w:pPr>
      <w:r w:rsidRPr="00634D82">
        <w:rPr>
          <w:rFonts w:ascii="Arial" w:hAnsi="Arial" w:cs="Arial"/>
        </w:rPr>
        <w:t>The sampl</w:t>
      </w:r>
      <w:r>
        <w:rPr>
          <w:rFonts w:ascii="Arial" w:hAnsi="Arial" w:cs="Arial"/>
        </w:rPr>
        <w:t xml:space="preserve">e size </w:t>
      </w:r>
      <w:r w:rsidR="009275B1">
        <w:rPr>
          <w:rFonts w:ascii="Arial" w:hAnsi="Arial" w:cs="Arial"/>
        </w:rPr>
        <w:t>has been</w:t>
      </w:r>
      <w:r>
        <w:rPr>
          <w:rFonts w:ascii="Arial" w:hAnsi="Arial" w:cs="Arial"/>
        </w:rPr>
        <w:t xml:space="preserve"> </w:t>
      </w:r>
      <w:r w:rsidRPr="00634D82">
        <w:rPr>
          <w:rFonts w:ascii="Arial" w:hAnsi="Arial" w:cs="Arial"/>
        </w:rPr>
        <w:t xml:space="preserve">11232 households </w:t>
      </w:r>
      <w:r>
        <w:rPr>
          <w:rFonts w:ascii="Arial" w:hAnsi="Arial" w:cs="Arial"/>
        </w:rPr>
        <w:t xml:space="preserve">that nationally representative and sampled </w:t>
      </w:r>
      <w:r w:rsidRPr="00634D82">
        <w:rPr>
          <w:rFonts w:ascii="Arial" w:hAnsi="Arial" w:cs="Arial"/>
        </w:rPr>
        <w:t xml:space="preserve">through stratified sampling approach. </w:t>
      </w:r>
      <w:r w:rsidR="006411B5" w:rsidRPr="00634D82">
        <w:rPr>
          <w:rFonts w:ascii="Arial" w:hAnsi="Arial" w:cs="Arial"/>
        </w:rPr>
        <w:t xml:space="preserve">The design of the survey recognizes three explicit strata: Ulaanbaatar, </w:t>
      </w:r>
      <w:proofErr w:type="spellStart"/>
      <w:r w:rsidR="006411B5" w:rsidRPr="00634D82">
        <w:rPr>
          <w:rFonts w:ascii="Arial" w:hAnsi="Arial" w:cs="Arial"/>
        </w:rPr>
        <w:t>aimag</w:t>
      </w:r>
      <w:proofErr w:type="spellEnd"/>
      <w:r w:rsidR="006411B5" w:rsidRPr="00634D82">
        <w:rPr>
          <w:rFonts w:ascii="Arial" w:hAnsi="Arial" w:cs="Arial"/>
        </w:rPr>
        <w:t xml:space="preserve"> centers, and rural areas and small towns. In addition, </w:t>
      </w:r>
      <w:proofErr w:type="gramStart"/>
      <w:r w:rsidR="006411B5" w:rsidRPr="00634D82">
        <w:rPr>
          <w:rFonts w:ascii="Arial" w:hAnsi="Arial" w:cs="Arial"/>
        </w:rPr>
        <w:t xml:space="preserve">the sample was implicitly allocated by districts and </w:t>
      </w:r>
      <w:proofErr w:type="spellStart"/>
      <w:r w:rsidR="006411B5" w:rsidRPr="00634D82">
        <w:rPr>
          <w:rFonts w:ascii="Arial" w:hAnsi="Arial" w:cs="Arial"/>
        </w:rPr>
        <w:t>khoroos</w:t>
      </w:r>
      <w:proofErr w:type="spellEnd"/>
      <w:r w:rsidR="006411B5" w:rsidRPr="00634D82">
        <w:rPr>
          <w:rFonts w:ascii="Arial" w:hAnsi="Arial" w:cs="Arial"/>
        </w:rPr>
        <w:t xml:space="preserve"> in Ulaanbaatar, and</w:t>
      </w:r>
      <w:proofErr w:type="gramEnd"/>
      <w:r w:rsidR="006411B5" w:rsidRPr="00634D82">
        <w:rPr>
          <w:rFonts w:ascii="Arial" w:hAnsi="Arial" w:cs="Arial"/>
        </w:rPr>
        <w:t xml:space="preserve"> by </w:t>
      </w:r>
      <w:proofErr w:type="spellStart"/>
      <w:r w:rsidR="006411B5" w:rsidRPr="00634D82">
        <w:rPr>
          <w:rFonts w:ascii="Arial" w:hAnsi="Arial" w:cs="Arial"/>
        </w:rPr>
        <w:t>aimags</w:t>
      </w:r>
      <w:proofErr w:type="spellEnd"/>
      <w:r w:rsidR="006411B5" w:rsidRPr="00634D82">
        <w:rPr>
          <w:rFonts w:ascii="Arial" w:hAnsi="Arial" w:cs="Arial"/>
        </w:rPr>
        <w:t xml:space="preserve"> in rural areas. Each </w:t>
      </w:r>
      <w:proofErr w:type="spellStart"/>
      <w:r w:rsidR="006411B5" w:rsidRPr="00634D82">
        <w:rPr>
          <w:rFonts w:ascii="Arial" w:hAnsi="Arial" w:cs="Arial"/>
        </w:rPr>
        <w:t>aimag</w:t>
      </w:r>
      <w:proofErr w:type="spellEnd"/>
      <w:r w:rsidR="006411B5" w:rsidRPr="00634D82">
        <w:rPr>
          <w:rFonts w:ascii="Arial" w:hAnsi="Arial" w:cs="Arial"/>
        </w:rPr>
        <w:t xml:space="preserve"> center was an explicit sub-stratum. </w:t>
      </w:r>
      <w:r w:rsidR="006411B5">
        <w:rPr>
          <w:rFonts w:ascii="Arial" w:hAnsi="Arial" w:cs="Arial"/>
        </w:rPr>
        <w:t xml:space="preserve">This design technique has been </w:t>
      </w:r>
      <w:r w:rsidR="006A3E68">
        <w:rPr>
          <w:rFonts w:ascii="Arial" w:hAnsi="Arial" w:cs="Arial"/>
        </w:rPr>
        <w:t>maintained for all 3 years.</w:t>
      </w:r>
      <w:r w:rsidR="000C6C78">
        <w:rPr>
          <w:rFonts w:ascii="Arial" w:hAnsi="Arial" w:cs="Arial"/>
        </w:rPr>
        <w:t xml:space="preserve"> </w:t>
      </w:r>
      <w:r>
        <w:rPr>
          <w:rFonts w:ascii="Arial" w:hAnsi="Arial" w:cs="Arial"/>
        </w:rPr>
        <w:t xml:space="preserve">However for 2012, </w:t>
      </w:r>
      <w:r w:rsidR="00842625">
        <w:rPr>
          <w:rFonts w:ascii="Arial" w:hAnsi="Arial" w:cs="Arial"/>
        </w:rPr>
        <w:t xml:space="preserve">in order to estimate poverty level at </w:t>
      </w:r>
      <w:proofErr w:type="spellStart"/>
      <w:r w:rsidR="00842625">
        <w:rPr>
          <w:rFonts w:ascii="Arial" w:hAnsi="Arial" w:cs="Arial"/>
        </w:rPr>
        <w:t>aimag</w:t>
      </w:r>
      <w:proofErr w:type="spellEnd"/>
      <w:r w:rsidR="00842625">
        <w:rPr>
          <w:rFonts w:ascii="Arial" w:hAnsi="Arial" w:cs="Arial"/>
        </w:rPr>
        <w:t xml:space="preserve"> level</w:t>
      </w:r>
      <w:r w:rsidR="00E513DE">
        <w:rPr>
          <w:rFonts w:ascii="Arial" w:hAnsi="Arial" w:cs="Arial"/>
        </w:rPr>
        <w:t>,</w:t>
      </w:r>
      <w:r w:rsidR="00842625">
        <w:rPr>
          <w:rFonts w:ascii="Arial" w:hAnsi="Arial" w:cs="Arial"/>
        </w:rPr>
        <w:t xml:space="preserve"> sample sizes in 5 </w:t>
      </w:r>
      <w:proofErr w:type="spellStart"/>
      <w:r w:rsidR="00842625">
        <w:rPr>
          <w:rFonts w:ascii="Arial" w:hAnsi="Arial" w:cs="Arial"/>
        </w:rPr>
        <w:t>aimags</w:t>
      </w:r>
      <w:proofErr w:type="spellEnd"/>
      <w:r w:rsidR="00842625">
        <w:rPr>
          <w:rFonts w:ascii="Arial" w:hAnsi="Arial" w:cs="Arial"/>
        </w:rPr>
        <w:t xml:space="preserve"> have been increased. Thus the sample size was 12840 households in 2012</w:t>
      </w:r>
      <w:r w:rsidR="00E513DE">
        <w:rPr>
          <w:rFonts w:ascii="Arial" w:hAnsi="Arial" w:cs="Arial"/>
        </w:rPr>
        <w:t xml:space="preserve"> instead of 11232</w:t>
      </w:r>
      <w:r w:rsidR="00842625">
        <w:rPr>
          <w:rFonts w:ascii="Arial" w:hAnsi="Arial" w:cs="Arial"/>
        </w:rPr>
        <w:t xml:space="preserve">. </w:t>
      </w:r>
    </w:p>
    <w:p w14:paraId="0E1C679F" w14:textId="77777777" w:rsidR="00842625" w:rsidRDefault="00842625" w:rsidP="00404E99">
      <w:pPr>
        <w:jc w:val="both"/>
        <w:rPr>
          <w:rFonts w:ascii="Microsoft Sans Serif" w:eastAsiaTheme="minorEastAsia" w:hAnsi="Microsoft Sans Serif" w:cs="Microsoft Sans Serif"/>
          <w:sz w:val="22"/>
          <w:szCs w:val="26"/>
        </w:rPr>
      </w:pPr>
    </w:p>
    <w:p w14:paraId="72BFF648" w14:textId="77777777" w:rsidR="00752D33" w:rsidRPr="008E5094" w:rsidRDefault="00752D33" w:rsidP="00752D33">
      <w:pPr>
        <w:jc w:val="both"/>
        <w:rPr>
          <w:rFonts w:ascii="Arial" w:hAnsi="Arial" w:cs="Arial"/>
        </w:rPr>
      </w:pPr>
      <w:r w:rsidRPr="00634D82">
        <w:rPr>
          <w:rFonts w:ascii="Arial" w:hAnsi="Arial" w:cs="Arial"/>
        </w:rPr>
        <w:t>The selection strategy</w:t>
      </w:r>
      <w:r>
        <w:rPr>
          <w:rFonts w:ascii="Arial" w:hAnsi="Arial" w:cs="Arial"/>
        </w:rPr>
        <w:t xml:space="preserve"> was different in each stratum: </w:t>
      </w:r>
      <w:r w:rsidRPr="00634D82">
        <w:rPr>
          <w:rFonts w:ascii="Arial" w:hAnsi="Arial" w:cs="Arial"/>
        </w:rPr>
        <w:t xml:space="preserve">a two-stage process in urban areas and a three-stage process in rural areas. </w:t>
      </w:r>
      <w:r w:rsidR="004C68FB">
        <w:rPr>
          <w:rFonts w:ascii="Arial" w:hAnsi="Arial" w:cs="Arial"/>
        </w:rPr>
        <w:t>The primary sampling unit</w:t>
      </w:r>
      <w:r w:rsidR="008E5094">
        <w:rPr>
          <w:rFonts w:ascii="Arial" w:hAnsi="Arial" w:cs="Arial"/>
        </w:rPr>
        <w:t xml:space="preserve"> (PSU)</w:t>
      </w:r>
      <w:r w:rsidR="004C68FB">
        <w:rPr>
          <w:rFonts w:ascii="Arial" w:hAnsi="Arial" w:cs="Arial"/>
        </w:rPr>
        <w:t xml:space="preserve"> </w:t>
      </w:r>
      <w:r w:rsidR="008E5094">
        <w:rPr>
          <w:rFonts w:ascii="Arial" w:hAnsi="Arial" w:cs="Arial"/>
        </w:rPr>
        <w:t>is</w:t>
      </w:r>
      <w:r w:rsidR="004C68FB">
        <w:rPr>
          <w:rFonts w:ascii="Arial" w:hAnsi="Arial" w:cs="Arial"/>
        </w:rPr>
        <w:t xml:space="preserve"> </w:t>
      </w:r>
      <w:r w:rsidR="00176C8C">
        <w:rPr>
          <w:rFonts w:ascii="Arial" w:hAnsi="Arial" w:cs="Arial"/>
        </w:rPr>
        <w:t xml:space="preserve">the location </w:t>
      </w:r>
      <w:r w:rsidR="008E5094">
        <w:rPr>
          <w:rFonts w:ascii="Arial" w:hAnsi="Arial" w:cs="Arial"/>
        </w:rPr>
        <w:t xml:space="preserve">or unit </w:t>
      </w:r>
      <w:r w:rsidR="00176C8C">
        <w:rPr>
          <w:rFonts w:ascii="Arial" w:hAnsi="Arial" w:cs="Arial"/>
        </w:rPr>
        <w:t xml:space="preserve">counted by 1 </w:t>
      </w:r>
      <w:r w:rsidR="000476F1" w:rsidRPr="00FD4069">
        <w:rPr>
          <w:rFonts w:ascii="Arial" w:hAnsi="Arial" w:cs="Arial"/>
        </w:rPr>
        <w:t xml:space="preserve">enumerator in Ulaanbaatar and </w:t>
      </w:r>
      <w:proofErr w:type="spellStart"/>
      <w:r w:rsidR="000476F1" w:rsidRPr="00FD4069">
        <w:rPr>
          <w:rFonts w:ascii="Arial" w:hAnsi="Arial" w:cs="Arial"/>
        </w:rPr>
        <w:t>aimag</w:t>
      </w:r>
      <w:proofErr w:type="spellEnd"/>
      <w:r w:rsidR="000476F1" w:rsidRPr="00FD4069">
        <w:rPr>
          <w:rFonts w:ascii="Arial" w:hAnsi="Arial" w:cs="Arial"/>
        </w:rPr>
        <w:t xml:space="preserve"> center</w:t>
      </w:r>
      <w:r w:rsidR="008E5094" w:rsidRPr="00FD4069">
        <w:rPr>
          <w:rFonts w:ascii="Arial" w:hAnsi="Arial" w:cs="Arial"/>
        </w:rPr>
        <w:t xml:space="preserve"> and </w:t>
      </w:r>
      <w:proofErr w:type="spellStart"/>
      <w:r w:rsidR="008E5094" w:rsidRPr="00FD4069">
        <w:rPr>
          <w:rFonts w:ascii="Arial" w:hAnsi="Arial" w:cs="Arial"/>
        </w:rPr>
        <w:t>bagh</w:t>
      </w:r>
      <w:proofErr w:type="spellEnd"/>
      <w:r w:rsidR="008E5094" w:rsidRPr="00FD4069">
        <w:rPr>
          <w:rFonts w:ascii="Arial" w:hAnsi="Arial" w:cs="Arial"/>
        </w:rPr>
        <w:t xml:space="preserve"> in rural area. </w:t>
      </w:r>
      <w:r w:rsidRPr="00634D82">
        <w:rPr>
          <w:rFonts w:ascii="Arial" w:hAnsi="Arial" w:cs="Arial"/>
        </w:rPr>
        <w:t xml:space="preserve">In Ulaanbaatar, first 360 </w:t>
      </w:r>
      <w:proofErr w:type="spellStart"/>
      <w:r w:rsidRPr="00634D82">
        <w:rPr>
          <w:rFonts w:ascii="Arial" w:hAnsi="Arial" w:cs="Arial"/>
        </w:rPr>
        <w:t>khesegs</w:t>
      </w:r>
      <w:proofErr w:type="spellEnd"/>
      <w:r w:rsidRPr="00634D82">
        <w:rPr>
          <w:rFonts w:ascii="Arial" w:hAnsi="Arial" w:cs="Arial"/>
        </w:rPr>
        <w:t xml:space="preserve"> were selected, and then 10 households in each </w:t>
      </w:r>
      <w:proofErr w:type="spellStart"/>
      <w:r w:rsidRPr="00634D82">
        <w:rPr>
          <w:rFonts w:ascii="Arial" w:hAnsi="Arial" w:cs="Arial"/>
        </w:rPr>
        <w:t>kheseg</w:t>
      </w:r>
      <w:proofErr w:type="spellEnd"/>
      <w:r w:rsidRPr="00634D82">
        <w:rPr>
          <w:rFonts w:ascii="Arial" w:hAnsi="Arial" w:cs="Arial"/>
        </w:rPr>
        <w:t xml:space="preserve">. In </w:t>
      </w:r>
      <w:proofErr w:type="spellStart"/>
      <w:r w:rsidRPr="00634D82">
        <w:rPr>
          <w:rFonts w:ascii="Arial" w:hAnsi="Arial" w:cs="Arial"/>
        </w:rPr>
        <w:t>aimag</w:t>
      </w:r>
      <w:proofErr w:type="spellEnd"/>
      <w:r w:rsidRPr="00634D82">
        <w:rPr>
          <w:rFonts w:ascii="Arial" w:hAnsi="Arial" w:cs="Arial"/>
        </w:rPr>
        <w:t xml:space="preserve"> centers, first 12 or 24 </w:t>
      </w:r>
      <w:r w:rsidR="008E5094">
        <w:rPr>
          <w:rFonts w:ascii="Arial" w:hAnsi="Arial" w:cs="Arial"/>
        </w:rPr>
        <w:t>PSUs</w:t>
      </w:r>
      <w:r w:rsidRPr="00634D82">
        <w:rPr>
          <w:rFonts w:ascii="Arial" w:hAnsi="Arial" w:cs="Arial"/>
        </w:rPr>
        <w:t xml:space="preserve"> were selected, an</w:t>
      </w:r>
      <w:r w:rsidR="008E5094">
        <w:rPr>
          <w:rFonts w:ascii="Arial" w:hAnsi="Arial" w:cs="Arial"/>
        </w:rPr>
        <w:t>d then 10 households in each unit</w:t>
      </w:r>
      <w:r w:rsidRPr="00634D82">
        <w:rPr>
          <w:rFonts w:ascii="Arial" w:hAnsi="Arial" w:cs="Arial"/>
        </w:rPr>
        <w:t xml:space="preserve">. </w:t>
      </w:r>
      <w:r w:rsidR="008E5094">
        <w:rPr>
          <w:rFonts w:ascii="Arial" w:hAnsi="Arial" w:cs="Arial"/>
        </w:rPr>
        <w:t xml:space="preserve">Since second quarter of 2012, however 84 PSUs were added. </w:t>
      </w:r>
      <w:r w:rsidRPr="00634D82">
        <w:rPr>
          <w:rFonts w:ascii="Arial" w:hAnsi="Arial" w:cs="Arial"/>
        </w:rPr>
        <w:t xml:space="preserve">In rural areas, first 52 </w:t>
      </w:r>
      <w:proofErr w:type="spellStart"/>
      <w:r w:rsidRPr="00634D82">
        <w:rPr>
          <w:rFonts w:ascii="Arial" w:hAnsi="Arial" w:cs="Arial"/>
        </w:rPr>
        <w:t>soums</w:t>
      </w:r>
      <w:proofErr w:type="spellEnd"/>
      <w:r w:rsidRPr="00634D82">
        <w:rPr>
          <w:rFonts w:ascii="Arial" w:hAnsi="Arial" w:cs="Arial"/>
        </w:rPr>
        <w:t xml:space="preserve"> were </w:t>
      </w:r>
      <w:r w:rsidRPr="00634D82">
        <w:rPr>
          <w:rFonts w:ascii="Arial" w:hAnsi="Arial" w:cs="Arial"/>
        </w:rPr>
        <w:lastRenderedPageBreak/>
        <w:t xml:space="preserve">selected, then 12 </w:t>
      </w:r>
      <w:proofErr w:type="spellStart"/>
      <w:r w:rsidRPr="00634D82">
        <w:rPr>
          <w:rFonts w:ascii="Arial" w:hAnsi="Arial" w:cs="Arial"/>
        </w:rPr>
        <w:t>baghs</w:t>
      </w:r>
      <w:proofErr w:type="spellEnd"/>
      <w:r w:rsidRPr="00634D82">
        <w:rPr>
          <w:rFonts w:ascii="Arial" w:hAnsi="Arial" w:cs="Arial"/>
        </w:rPr>
        <w:t xml:space="preserve"> in each </w:t>
      </w:r>
      <w:proofErr w:type="spellStart"/>
      <w:r w:rsidRPr="00634D82">
        <w:rPr>
          <w:rFonts w:ascii="Arial" w:hAnsi="Arial" w:cs="Arial"/>
        </w:rPr>
        <w:t>soum</w:t>
      </w:r>
      <w:proofErr w:type="spellEnd"/>
      <w:r w:rsidRPr="00634D82">
        <w:rPr>
          <w:rFonts w:ascii="Arial" w:hAnsi="Arial" w:cs="Arial"/>
        </w:rPr>
        <w:t xml:space="preserve"> and finally 8 households in each bag. </w:t>
      </w:r>
      <w:r w:rsidR="000A6FCD">
        <w:rPr>
          <w:rFonts w:ascii="Arial" w:hAnsi="Arial" w:cs="Arial"/>
        </w:rPr>
        <w:t>Again, 96 PSUs were added from 2</w:t>
      </w:r>
      <w:r w:rsidR="000A6FCD" w:rsidRPr="000A6FCD">
        <w:rPr>
          <w:rFonts w:ascii="Arial" w:hAnsi="Arial" w:cs="Arial"/>
          <w:vertAlign w:val="superscript"/>
        </w:rPr>
        <w:t>nd</w:t>
      </w:r>
      <w:r w:rsidR="000A6FCD">
        <w:rPr>
          <w:rFonts w:ascii="Arial" w:hAnsi="Arial" w:cs="Arial"/>
        </w:rPr>
        <w:t xml:space="preserve"> quarter of 2012. </w:t>
      </w:r>
      <w:r w:rsidRPr="00634D82">
        <w:rPr>
          <w:rFonts w:ascii="Arial" w:hAnsi="Arial" w:cs="Arial"/>
        </w:rPr>
        <w:t>All 1248 primary sampling units or clusters (</w:t>
      </w:r>
      <w:proofErr w:type="spellStart"/>
      <w:r w:rsidRPr="00634D82">
        <w:rPr>
          <w:rFonts w:ascii="Arial" w:hAnsi="Arial" w:cs="Arial"/>
        </w:rPr>
        <w:t>khesegs</w:t>
      </w:r>
      <w:proofErr w:type="spellEnd"/>
      <w:r w:rsidRPr="00634D82">
        <w:rPr>
          <w:rFonts w:ascii="Arial" w:hAnsi="Arial" w:cs="Arial"/>
        </w:rPr>
        <w:t xml:space="preserve">, bags or </w:t>
      </w:r>
      <w:proofErr w:type="spellStart"/>
      <w:r w:rsidRPr="00634D82">
        <w:rPr>
          <w:rFonts w:ascii="Arial" w:hAnsi="Arial" w:cs="Arial"/>
        </w:rPr>
        <w:t>soums</w:t>
      </w:r>
      <w:proofErr w:type="spellEnd"/>
      <w:r w:rsidRPr="00634D82">
        <w:rPr>
          <w:rFonts w:ascii="Arial" w:hAnsi="Arial" w:cs="Arial"/>
        </w:rPr>
        <w:t xml:space="preserve">) were selected with probability proportional to size and were randomly </w:t>
      </w:r>
      <w:r w:rsidR="000A6FCD">
        <w:rPr>
          <w:rFonts w:ascii="Arial" w:hAnsi="Arial" w:cs="Arial"/>
        </w:rPr>
        <w:t xml:space="preserve">selected and 180 PSUs in addition. </w:t>
      </w:r>
      <w:r w:rsidRPr="00634D82">
        <w:rPr>
          <w:rFonts w:ascii="Arial" w:hAnsi="Arial" w:cs="Arial"/>
        </w:rPr>
        <w:t>Thus the survey visited a random sub-sample of 104 clusters each month</w:t>
      </w:r>
      <w:r w:rsidR="000A6FCD">
        <w:rPr>
          <w:rFonts w:ascii="Arial" w:hAnsi="Arial" w:cs="Arial"/>
        </w:rPr>
        <w:t xml:space="preserve"> and throughout 12 </w:t>
      </w:r>
      <w:r w:rsidR="00BE344F">
        <w:rPr>
          <w:rFonts w:ascii="Arial" w:hAnsi="Arial" w:cs="Arial"/>
        </w:rPr>
        <w:t>months</w:t>
      </w:r>
      <w:r w:rsidRPr="00634D82">
        <w:rPr>
          <w:rFonts w:ascii="Arial" w:hAnsi="Arial" w:cs="Arial"/>
        </w:rPr>
        <w:t>.</w:t>
      </w:r>
      <w:r>
        <w:rPr>
          <w:rFonts w:ascii="Arial" w:hAnsi="Arial" w:cs="Arial"/>
        </w:rPr>
        <w:t xml:space="preserve"> I</w:t>
      </w:r>
      <w:r w:rsidRPr="00634D82">
        <w:rPr>
          <w:rFonts w:ascii="Arial" w:hAnsi="Arial" w:cs="Arial"/>
        </w:rPr>
        <w:t>n order to obtain representative statistics for each str</w:t>
      </w:r>
      <w:r>
        <w:rPr>
          <w:rFonts w:ascii="Arial" w:hAnsi="Arial" w:cs="Arial"/>
        </w:rPr>
        <w:t xml:space="preserve">atum and for the whole country </w:t>
      </w:r>
      <w:r w:rsidRPr="00634D82">
        <w:rPr>
          <w:rFonts w:ascii="Arial" w:hAnsi="Arial" w:cs="Arial"/>
        </w:rPr>
        <w:t xml:space="preserve">sampling weights </w:t>
      </w:r>
      <w:r>
        <w:rPr>
          <w:rFonts w:ascii="Arial" w:hAnsi="Arial" w:cs="Arial"/>
        </w:rPr>
        <w:t xml:space="preserve">were </w:t>
      </w:r>
      <w:r w:rsidRPr="00634D82">
        <w:rPr>
          <w:rFonts w:ascii="Arial" w:hAnsi="Arial" w:cs="Arial"/>
        </w:rPr>
        <w:t>use</w:t>
      </w:r>
      <w:r>
        <w:rPr>
          <w:rFonts w:ascii="Arial" w:hAnsi="Arial" w:cs="Arial"/>
        </w:rPr>
        <w:t>d</w:t>
      </w:r>
      <w:r w:rsidRPr="00634D82">
        <w:rPr>
          <w:rFonts w:ascii="Arial" w:hAnsi="Arial" w:cs="Arial"/>
        </w:rPr>
        <w:t>. These weights are applied to each household and correspond to the inverse of the probability of selection, calculated taking into account the sampling strategy.</w:t>
      </w:r>
    </w:p>
    <w:p w14:paraId="495818D9" w14:textId="77777777" w:rsidR="00BD6149" w:rsidRPr="00634D82" w:rsidRDefault="00BD6149" w:rsidP="00BD6149">
      <w:pPr>
        <w:jc w:val="both"/>
        <w:rPr>
          <w:rFonts w:ascii="Arial" w:hAnsi="Arial" w:cs="Arial"/>
        </w:rPr>
      </w:pPr>
    </w:p>
    <w:p w14:paraId="53BE1DDD" w14:textId="4851C165" w:rsidR="00BD6149" w:rsidRDefault="00BD6149" w:rsidP="00BD6149">
      <w:pPr>
        <w:jc w:val="both"/>
        <w:rPr>
          <w:rFonts w:ascii="Arial" w:hAnsi="Arial" w:cs="Arial"/>
        </w:rPr>
      </w:pPr>
      <w:r w:rsidRPr="00634D82">
        <w:rPr>
          <w:rFonts w:ascii="Arial" w:hAnsi="Arial" w:cs="Arial"/>
        </w:rPr>
        <w:t xml:space="preserve">The sample of </w:t>
      </w:r>
      <w:r w:rsidR="00A92750" w:rsidRPr="00404E99">
        <w:rPr>
          <w:rFonts w:ascii="Microsoft Sans Serif" w:eastAsiaTheme="minorEastAsia" w:hAnsi="Microsoft Sans Serif" w:cs="Microsoft Sans Serif"/>
          <w:sz w:val="22"/>
          <w:szCs w:val="26"/>
        </w:rPr>
        <w:t>12840</w:t>
      </w:r>
      <w:r w:rsidRPr="00634D82">
        <w:rPr>
          <w:rFonts w:ascii="Arial" w:hAnsi="Arial" w:cs="Arial"/>
        </w:rPr>
        <w:t xml:space="preserve"> </w:t>
      </w:r>
      <w:r w:rsidR="00E513DE">
        <w:rPr>
          <w:rFonts w:ascii="Arial" w:hAnsi="Arial" w:cs="Arial"/>
        </w:rPr>
        <w:t xml:space="preserve">(2012) </w:t>
      </w:r>
      <w:r w:rsidRPr="00634D82">
        <w:rPr>
          <w:rFonts w:ascii="Arial" w:hAnsi="Arial" w:cs="Arial"/>
        </w:rPr>
        <w:t xml:space="preserve">was allocated as follows: 3600 in Ulaanbaatar, </w:t>
      </w:r>
      <w:r w:rsidR="00A92750">
        <w:rPr>
          <w:rFonts w:ascii="Arial" w:hAnsi="Arial" w:cs="Arial"/>
        </w:rPr>
        <w:t>3480</w:t>
      </w:r>
      <w:r w:rsidRPr="00634D82">
        <w:rPr>
          <w:rFonts w:ascii="Arial" w:hAnsi="Arial" w:cs="Arial"/>
        </w:rPr>
        <w:t xml:space="preserve"> in </w:t>
      </w:r>
      <w:proofErr w:type="spellStart"/>
      <w:r w:rsidRPr="00634D82">
        <w:rPr>
          <w:rFonts w:ascii="Arial" w:hAnsi="Arial" w:cs="Arial"/>
        </w:rPr>
        <w:t>aimag</w:t>
      </w:r>
      <w:proofErr w:type="spellEnd"/>
      <w:r w:rsidRPr="00634D82">
        <w:rPr>
          <w:rFonts w:ascii="Arial" w:hAnsi="Arial" w:cs="Arial"/>
        </w:rPr>
        <w:t xml:space="preserve"> centers, and </w:t>
      </w:r>
      <w:r w:rsidR="00A92750">
        <w:rPr>
          <w:rFonts w:ascii="Arial" w:hAnsi="Arial" w:cs="Arial"/>
        </w:rPr>
        <w:t>5760</w:t>
      </w:r>
      <w:r w:rsidRPr="00634D82">
        <w:rPr>
          <w:rFonts w:ascii="Arial" w:hAnsi="Arial" w:cs="Arial"/>
        </w:rPr>
        <w:t xml:space="preserve"> in rural areas and small towns. However, the actual used for this report is slightly lower: 357</w:t>
      </w:r>
      <w:r w:rsidR="00A92750">
        <w:rPr>
          <w:rFonts w:ascii="Arial" w:hAnsi="Arial" w:cs="Arial"/>
        </w:rPr>
        <w:t>8</w:t>
      </w:r>
      <w:r w:rsidRPr="00634D82">
        <w:rPr>
          <w:rFonts w:ascii="Arial" w:hAnsi="Arial" w:cs="Arial"/>
        </w:rPr>
        <w:t xml:space="preserve"> households in Ulaanbaatar, </w:t>
      </w:r>
      <w:r w:rsidR="00A92750">
        <w:rPr>
          <w:rFonts w:ascii="Arial" w:hAnsi="Arial" w:cs="Arial"/>
        </w:rPr>
        <w:t>3473</w:t>
      </w:r>
      <w:r w:rsidRPr="00634D82">
        <w:rPr>
          <w:rFonts w:ascii="Arial" w:hAnsi="Arial" w:cs="Arial"/>
        </w:rPr>
        <w:t xml:space="preserve"> in </w:t>
      </w:r>
      <w:proofErr w:type="spellStart"/>
      <w:r w:rsidRPr="00634D82">
        <w:rPr>
          <w:rFonts w:ascii="Arial" w:hAnsi="Arial" w:cs="Arial"/>
        </w:rPr>
        <w:t>aimag</w:t>
      </w:r>
      <w:proofErr w:type="spellEnd"/>
      <w:r w:rsidRPr="00634D82">
        <w:rPr>
          <w:rFonts w:ascii="Arial" w:hAnsi="Arial" w:cs="Arial"/>
        </w:rPr>
        <w:t xml:space="preserve"> centers, and </w:t>
      </w:r>
      <w:r w:rsidR="00A92750">
        <w:rPr>
          <w:rFonts w:ascii="Arial" w:hAnsi="Arial" w:cs="Arial"/>
        </w:rPr>
        <w:t>5760</w:t>
      </w:r>
      <w:r w:rsidRPr="00634D82">
        <w:rPr>
          <w:rFonts w:ascii="Arial" w:hAnsi="Arial" w:cs="Arial"/>
        </w:rPr>
        <w:t xml:space="preserve"> in rural areas and small towns. The difference corresponds to </w:t>
      </w:r>
      <w:r w:rsidR="00A92750">
        <w:rPr>
          <w:rFonts w:ascii="Arial" w:hAnsi="Arial" w:cs="Arial"/>
        </w:rPr>
        <w:t>29</w:t>
      </w:r>
      <w:r w:rsidRPr="00634D82">
        <w:rPr>
          <w:rFonts w:ascii="Arial" w:hAnsi="Arial" w:cs="Arial"/>
        </w:rPr>
        <w:t xml:space="preserve"> households that were excluded because they did not have complete information. </w:t>
      </w:r>
    </w:p>
    <w:p w14:paraId="3C04AEE1" w14:textId="77777777" w:rsidR="007A1B5C" w:rsidRPr="00634D82" w:rsidRDefault="007A1B5C" w:rsidP="00BD6149">
      <w:pPr>
        <w:jc w:val="both"/>
        <w:rPr>
          <w:rFonts w:ascii="Arial" w:hAnsi="Arial" w:cs="Arial"/>
        </w:rPr>
      </w:pPr>
    </w:p>
    <w:p w14:paraId="3F8C89BE" w14:textId="77777777" w:rsidR="002512CA" w:rsidRDefault="006B3D01" w:rsidP="002512CA">
      <w:pPr>
        <w:pStyle w:val="Heading2"/>
        <w:rPr>
          <w:lang w:val="en-GB"/>
        </w:rPr>
      </w:pPr>
      <w:bookmarkStart w:id="10" w:name="_Toc305764305"/>
      <w:r>
        <w:rPr>
          <w:lang w:val="en-GB"/>
        </w:rPr>
        <w:t>R</w:t>
      </w:r>
      <w:r w:rsidR="00A92750">
        <w:rPr>
          <w:lang w:val="en-GB"/>
        </w:rPr>
        <w:t>ecall period</w:t>
      </w:r>
      <w:r w:rsidR="002512CA">
        <w:rPr>
          <w:lang w:val="en-GB"/>
        </w:rPr>
        <w:t>s</w:t>
      </w:r>
      <w:bookmarkEnd w:id="10"/>
      <w:r w:rsidR="002512CA">
        <w:rPr>
          <w:lang w:val="en-GB"/>
        </w:rPr>
        <w:t xml:space="preserve"> </w:t>
      </w:r>
    </w:p>
    <w:p w14:paraId="0D8D0B6E" w14:textId="77777777" w:rsidR="00C571CE" w:rsidRDefault="00C571CE" w:rsidP="00C571CE"/>
    <w:p w14:paraId="76FC206C" w14:textId="68E4D047" w:rsidR="00C571CE" w:rsidRPr="00C76DE1" w:rsidRDefault="00A92750" w:rsidP="00C76DE1">
      <w:pPr>
        <w:jc w:val="both"/>
        <w:rPr>
          <w:rFonts w:ascii="Arial" w:hAnsi="Arial"/>
        </w:rPr>
      </w:pPr>
      <w:r w:rsidRPr="00C76DE1">
        <w:rPr>
          <w:rFonts w:ascii="Arial" w:hAnsi="Arial"/>
        </w:rPr>
        <w:t xml:space="preserve">In order to ensure </w:t>
      </w:r>
      <w:r w:rsidR="00B13373">
        <w:rPr>
          <w:rFonts w:ascii="Arial" w:hAnsi="Arial"/>
        </w:rPr>
        <w:t>comparability over time</w:t>
      </w:r>
      <w:r w:rsidR="00C571CE" w:rsidRPr="00C76DE1">
        <w:rPr>
          <w:rFonts w:ascii="Arial" w:hAnsi="Arial"/>
        </w:rPr>
        <w:t xml:space="preserve"> </w:t>
      </w:r>
      <w:r w:rsidR="00B13373">
        <w:rPr>
          <w:rFonts w:ascii="Arial" w:hAnsi="Arial"/>
        </w:rPr>
        <w:t>HSES uses same recall periods in all three years</w:t>
      </w:r>
      <w:r w:rsidR="00C571CE" w:rsidRPr="00C76DE1">
        <w:rPr>
          <w:rFonts w:ascii="Arial" w:hAnsi="Arial"/>
        </w:rPr>
        <w:t xml:space="preserve">. </w:t>
      </w:r>
    </w:p>
    <w:p w14:paraId="4174C88B" w14:textId="77777777" w:rsidR="002512CA" w:rsidRDefault="002512CA" w:rsidP="000511AD">
      <w:pPr>
        <w:jc w:val="both"/>
        <w:rPr>
          <w:rFonts w:ascii="Arial" w:hAnsi="Arial" w:cs="Arial"/>
        </w:rPr>
      </w:pPr>
    </w:p>
    <w:p w14:paraId="383E5955" w14:textId="77777777" w:rsidR="0043458D" w:rsidRPr="0043458D" w:rsidRDefault="0043458D" w:rsidP="0043458D">
      <w:pPr>
        <w:pStyle w:val="Caption"/>
        <w:rPr>
          <w:rFonts w:ascii="Arial" w:hAnsi="Arial" w:cs="Arial"/>
          <w:b w:val="0"/>
          <w:sz w:val="22"/>
        </w:rPr>
      </w:pPr>
      <w:bookmarkStart w:id="11" w:name="_Toc310170085"/>
      <w:r w:rsidRPr="0043458D">
        <w:rPr>
          <w:rFonts w:ascii="Arial" w:hAnsi="Arial" w:cs="Arial"/>
          <w:b w:val="0"/>
          <w:sz w:val="22"/>
        </w:rPr>
        <w:t xml:space="preserve">Table </w:t>
      </w:r>
      <w:r w:rsidR="00CB191B" w:rsidRPr="0043458D">
        <w:rPr>
          <w:rFonts w:ascii="Arial" w:hAnsi="Arial" w:cs="Arial"/>
          <w:b w:val="0"/>
          <w:sz w:val="22"/>
        </w:rPr>
        <w:fldChar w:fldCharType="begin"/>
      </w:r>
      <w:r w:rsidRPr="0043458D">
        <w:rPr>
          <w:rFonts w:ascii="Arial" w:hAnsi="Arial" w:cs="Arial"/>
          <w:b w:val="0"/>
          <w:sz w:val="22"/>
        </w:rPr>
        <w:instrText xml:space="preserve"> SEQ Table \* ARABIC </w:instrText>
      </w:r>
      <w:r w:rsidR="00CB191B" w:rsidRPr="0043458D">
        <w:rPr>
          <w:rFonts w:ascii="Arial" w:hAnsi="Arial" w:cs="Arial"/>
          <w:b w:val="0"/>
          <w:sz w:val="22"/>
        </w:rPr>
        <w:fldChar w:fldCharType="separate"/>
      </w:r>
      <w:r w:rsidR="00A11550">
        <w:rPr>
          <w:rFonts w:ascii="Arial" w:hAnsi="Arial" w:cs="Arial"/>
          <w:b w:val="0"/>
          <w:noProof/>
          <w:sz w:val="22"/>
        </w:rPr>
        <w:t>2</w:t>
      </w:r>
      <w:r w:rsidR="00CB191B" w:rsidRPr="0043458D">
        <w:rPr>
          <w:rFonts w:ascii="Arial" w:hAnsi="Arial" w:cs="Arial"/>
          <w:b w:val="0"/>
          <w:sz w:val="22"/>
        </w:rPr>
        <w:fldChar w:fldCharType="end"/>
      </w:r>
      <w:r w:rsidRPr="0043458D">
        <w:rPr>
          <w:rFonts w:ascii="Arial" w:hAnsi="Arial" w:cs="Arial"/>
          <w:b w:val="0"/>
          <w:sz w:val="22"/>
        </w:rPr>
        <w:t xml:space="preserve">: </w:t>
      </w:r>
      <w:bookmarkStart w:id="12" w:name="OLE_LINK1"/>
      <w:r w:rsidRPr="0043458D">
        <w:rPr>
          <w:rFonts w:ascii="Arial" w:hAnsi="Arial" w:cs="Arial"/>
          <w:b w:val="0"/>
          <w:sz w:val="22"/>
        </w:rPr>
        <w:t>Recall periods of key variables</w:t>
      </w:r>
      <w:bookmarkEnd w:id="11"/>
    </w:p>
    <w:tbl>
      <w:tblPr>
        <w:tblW w:w="9630" w:type="dxa"/>
        <w:tblInd w:w="108" w:type="dxa"/>
        <w:tblBorders>
          <w:top w:val="single" w:sz="4" w:space="0" w:color="auto"/>
          <w:bottom w:val="single" w:sz="4" w:space="0" w:color="auto"/>
        </w:tblBorders>
        <w:tblLook w:val="04A0" w:firstRow="1" w:lastRow="0" w:firstColumn="1" w:lastColumn="0" w:noHBand="0" w:noVBand="1"/>
      </w:tblPr>
      <w:tblGrid>
        <w:gridCol w:w="3060"/>
        <w:gridCol w:w="6570"/>
      </w:tblGrid>
      <w:tr w:rsidR="00C571CE" w:rsidRPr="00D955A6" w14:paraId="57A6A364" w14:textId="77777777" w:rsidTr="0043458D">
        <w:tc>
          <w:tcPr>
            <w:tcW w:w="3060" w:type="dxa"/>
            <w:tcBorders>
              <w:top w:val="single" w:sz="4" w:space="0" w:color="auto"/>
              <w:bottom w:val="single" w:sz="4" w:space="0" w:color="auto"/>
            </w:tcBorders>
          </w:tcPr>
          <w:p w14:paraId="4AF5EDBE" w14:textId="77777777" w:rsidR="00C571CE" w:rsidRPr="00A92750" w:rsidRDefault="00C571CE" w:rsidP="00C571CE">
            <w:pPr>
              <w:autoSpaceDE w:val="0"/>
              <w:autoSpaceDN w:val="0"/>
              <w:adjustRightInd w:val="0"/>
              <w:rPr>
                <w:rFonts w:ascii="Arial" w:hAnsi="Arial" w:cs="Arial"/>
                <w:b/>
              </w:rPr>
            </w:pPr>
            <w:r w:rsidRPr="00A92750">
              <w:rPr>
                <w:rFonts w:ascii="Arial" w:hAnsi="Arial" w:cs="Arial"/>
                <w:b/>
              </w:rPr>
              <w:t xml:space="preserve">Variables </w:t>
            </w:r>
          </w:p>
        </w:tc>
        <w:tc>
          <w:tcPr>
            <w:tcW w:w="6570" w:type="dxa"/>
            <w:tcBorders>
              <w:top w:val="single" w:sz="4" w:space="0" w:color="auto"/>
              <w:bottom w:val="single" w:sz="4" w:space="0" w:color="auto"/>
            </w:tcBorders>
          </w:tcPr>
          <w:p w14:paraId="57AE6006" w14:textId="2D171C3F" w:rsidR="00C571CE" w:rsidRPr="00A92750" w:rsidRDefault="00C571CE" w:rsidP="00C571CE">
            <w:pPr>
              <w:autoSpaceDE w:val="0"/>
              <w:autoSpaceDN w:val="0"/>
              <w:adjustRightInd w:val="0"/>
              <w:rPr>
                <w:rFonts w:ascii="Arial" w:hAnsi="Arial" w:cs="Arial"/>
                <w:b/>
              </w:rPr>
            </w:pPr>
            <w:r w:rsidRPr="00A92750">
              <w:rPr>
                <w:rFonts w:ascii="Arial" w:hAnsi="Arial" w:cs="Arial"/>
                <w:b/>
              </w:rPr>
              <w:t>Recall period</w:t>
            </w:r>
            <w:r w:rsidR="00B13373">
              <w:rPr>
                <w:rFonts w:ascii="Arial" w:hAnsi="Arial" w:cs="Arial"/>
                <w:b/>
              </w:rPr>
              <w:t>s</w:t>
            </w:r>
          </w:p>
        </w:tc>
      </w:tr>
      <w:tr w:rsidR="00C571CE" w:rsidRPr="00D955A6" w14:paraId="5F24D162" w14:textId="77777777" w:rsidTr="0043458D">
        <w:tc>
          <w:tcPr>
            <w:tcW w:w="3060" w:type="dxa"/>
            <w:tcBorders>
              <w:top w:val="single" w:sz="4" w:space="0" w:color="auto"/>
            </w:tcBorders>
          </w:tcPr>
          <w:p w14:paraId="2ED70BAC" w14:textId="77777777" w:rsidR="00C571CE" w:rsidRPr="00A92750" w:rsidRDefault="00C571CE" w:rsidP="00C571CE">
            <w:pPr>
              <w:autoSpaceDE w:val="0"/>
              <w:autoSpaceDN w:val="0"/>
              <w:adjustRightInd w:val="0"/>
              <w:rPr>
                <w:rFonts w:ascii="Arial" w:hAnsi="Arial" w:cs="Arial"/>
              </w:rPr>
            </w:pPr>
            <w:proofErr w:type="gramStart"/>
            <w:r w:rsidRPr="00A92750">
              <w:rPr>
                <w:rFonts w:ascii="Arial" w:hAnsi="Arial" w:cs="Arial"/>
              </w:rPr>
              <w:t>food</w:t>
            </w:r>
            <w:proofErr w:type="gramEnd"/>
          </w:p>
        </w:tc>
        <w:tc>
          <w:tcPr>
            <w:tcW w:w="6570" w:type="dxa"/>
            <w:tcBorders>
              <w:top w:val="single" w:sz="4" w:space="0" w:color="auto"/>
            </w:tcBorders>
          </w:tcPr>
          <w:p w14:paraId="6DFB5CD2" w14:textId="38317CBD" w:rsidR="00C571CE" w:rsidRPr="0026201A" w:rsidRDefault="00C571CE" w:rsidP="00C571CE">
            <w:pPr>
              <w:autoSpaceDE w:val="0"/>
              <w:autoSpaceDN w:val="0"/>
              <w:adjustRightInd w:val="0"/>
              <w:rPr>
                <w:rFonts w:ascii="Arial" w:hAnsi="Arial" w:cs="Arial"/>
                <w:color w:val="212121"/>
                <w:spacing w:val="2"/>
              </w:rPr>
            </w:pPr>
            <w:r w:rsidRPr="00A92750">
              <w:rPr>
                <w:rFonts w:ascii="Arial" w:hAnsi="Arial" w:cs="Arial"/>
                <w:color w:val="212121"/>
                <w:spacing w:val="4"/>
              </w:rPr>
              <w:t xml:space="preserve">In the capital and in </w:t>
            </w:r>
            <w:proofErr w:type="spellStart"/>
            <w:r w:rsidRPr="00A92750">
              <w:rPr>
                <w:rFonts w:ascii="Arial" w:hAnsi="Arial" w:cs="Arial"/>
                <w:color w:val="212121"/>
                <w:spacing w:val="4"/>
              </w:rPr>
              <w:t>aimag</w:t>
            </w:r>
            <w:proofErr w:type="spellEnd"/>
            <w:r w:rsidRPr="00A92750">
              <w:rPr>
                <w:rFonts w:ascii="Arial" w:hAnsi="Arial" w:cs="Arial"/>
                <w:color w:val="212121"/>
                <w:spacing w:val="4"/>
              </w:rPr>
              <w:t xml:space="preserve"> centers, information </w:t>
            </w:r>
            <w:r w:rsidRPr="00A92750">
              <w:rPr>
                <w:rFonts w:ascii="Arial" w:hAnsi="Arial" w:cs="Arial"/>
                <w:color w:val="212121"/>
              </w:rPr>
              <w:t>is captured through a diary, which is compiled by an enum</w:t>
            </w:r>
            <w:r w:rsidR="00B13373">
              <w:rPr>
                <w:rFonts w:ascii="Arial" w:hAnsi="Arial" w:cs="Arial"/>
                <w:color w:val="212121"/>
              </w:rPr>
              <w:t xml:space="preserve">erator every ten days or </w:t>
            </w:r>
            <w:r w:rsidRPr="00A92750">
              <w:rPr>
                <w:rFonts w:ascii="Arial" w:hAnsi="Arial" w:cs="Arial"/>
                <w:color w:val="212121"/>
              </w:rPr>
              <w:t xml:space="preserve">three times during </w:t>
            </w:r>
            <w:r w:rsidRPr="00A92750">
              <w:rPr>
                <w:rFonts w:ascii="Arial" w:hAnsi="Arial" w:cs="Arial"/>
                <w:color w:val="212121"/>
                <w:spacing w:val="2"/>
              </w:rPr>
              <w:t>a month.</w:t>
            </w:r>
            <w:r w:rsidR="0026201A">
              <w:rPr>
                <w:rFonts w:ascii="Arial" w:hAnsi="Arial" w:cs="Arial"/>
                <w:color w:val="212121"/>
                <w:spacing w:val="2"/>
              </w:rPr>
              <w:t xml:space="preserve"> </w:t>
            </w:r>
            <w:r w:rsidRPr="00A92750">
              <w:rPr>
                <w:rFonts w:ascii="Arial" w:hAnsi="Arial" w:cs="Arial"/>
                <w:color w:val="212121"/>
                <w:spacing w:val="2"/>
              </w:rPr>
              <w:t xml:space="preserve">In </w:t>
            </w:r>
            <w:proofErr w:type="spellStart"/>
            <w:r w:rsidRPr="00A92750">
              <w:rPr>
                <w:rFonts w:ascii="Arial" w:hAnsi="Arial" w:cs="Arial"/>
                <w:color w:val="212121"/>
                <w:spacing w:val="2"/>
              </w:rPr>
              <w:t>soum</w:t>
            </w:r>
            <w:proofErr w:type="spellEnd"/>
            <w:r w:rsidRPr="00A92750">
              <w:rPr>
                <w:rFonts w:ascii="Arial" w:hAnsi="Arial" w:cs="Arial"/>
                <w:color w:val="212121"/>
                <w:spacing w:val="2"/>
              </w:rPr>
              <w:t xml:space="preserve"> centers and in the country</w:t>
            </w:r>
            <w:r w:rsidRPr="00A92750">
              <w:rPr>
                <w:rFonts w:ascii="Arial" w:hAnsi="Arial" w:cs="Arial"/>
                <w:color w:val="212121"/>
                <w:spacing w:val="2"/>
              </w:rPr>
              <w:softHyphen/>
            </w:r>
            <w:r w:rsidRPr="00A92750">
              <w:rPr>
                <w:rFonts w:ascii="Arial" w:hAnsi="Arial" w:cs="Arial"/>
                <w:color w:val="212121"/>
                <w:spacing w:val="-1"/>
              </w:rPr>
              <w:t>side, a recall period for the last week is employed.</w:t>
            </w:r>
          </w:p>
        </w:tc>
      </w:tr>
      <w:tr w:rsidR="00C571CE" w:rsidRPr="00D955A6" w14:paraId="773E3E5A" w14:textId="77777777" w:rsidTr="0043458D">
        <w:tc>
          <w:tcPr>
            <w:tcW w:w="3060" w:type="dxa"/>
          </w:tcPr>
          <w:p w14:paraId="2281886D" w14:textId="77777777" w:rsidR="00C571CE" w:rsidRPr="00A92750" w:rsidRDefault="00C571CE" w:rsidP="00C571CE">
            <w:pPr>
              <w:autoSpaceDE w:val="0"/>
              <w:autoSpaceDN w:val="0"/>
              <w:adjustRightInd w:val="0"/>
              <w:rPr>
                <w:rFonts w:ascii="Arial" w:hAnsi="Arial" w:cs="Arial"/>
              </w:rPr>
            </w:pPr>
            <w:proofErr w:type="gramStart"/>
            <w:r w:rsidRPr="00A92750">
              <w:rPr>
                <w:rFonts w:ascii="Arial" w:hAnsi="Arial" w:cs="Arial"/>
              </w:rPr>
              <w:t>non</w:t>
            </w:r>
            <w:proofErr w:type="gramEnd"/>
            <w:r w:rsidRPr="00A92750">
              <w:rPr>
                <w:rFonts w:ascii="Arial" w:hAnsi="Arial" w:cs="Arial"/>
              </w:rPr>
              <w:t>-durable goods</w:t>
            </w:r>
          </w:p>
        </w:tc>
        <w:tc>
          <w:tcPr>
            <w:tcW w:w="6570" w:type="dxa"/>
          </w:tcPr>
          <w:p w14:paraId="5E5B7FAF" w14:textId="77777777" w:rsidR="00C571CE" w:rsidRPr="00A92750" w:rsidRDefault="00C571CE" w:rsidP="00C571CE">
            <w:pPr>
              <w:autoSpaceDE w:val="0"/>
              <w:autoSpaceDN w:val="0"/>
              <w:adjustRightInd w:val="0"/>
              <w:rPr>
                <w:rFonts w:ascii="Arial" w:hAnsi="Arial" w:cs="Arial"/>
              </w:rPr>
            </w:pPr>
            <w:r w:rsidRPr="00A92750">
              <w:rPr>
                <w:rFonts w:ascii="Arial" w:hAnsi="Arial" w:cs="Arial"/>
              </w:rPr>
              <w:t>Last month</w:t>
            </w:r>
          </w:p>
        </w:tc>
      </w:tr>
      <w:tr w:rsidR="00C571CE" w:rsidRPr="00D955A6" w14:paraId="73DE5129" w14:textId="77777777" w:rsidTr="0043458D">
        <w:tc>
          <w:tcPr>
            <w:tcW w:w="3060" w:type="dxa"/>
          </w:tcPr>
          <w:p w14:paraId="29EB0479" w14:textId="77777777" w:rsidR="00C571CE" w:rsidRPr="00A92750" w:rsidRDefault="00C571CE" w:rsidP="00C571CE">
            <w:pPr>
              <w:autoSpaceDE w:val="0"/>
              <w:autoSpaceDN w:val="0"/>
              <w:adjustRightInd w:val="0"/>
              <w:rPr>
                <w:rFonts w:ascii="Arial" w:hAnsi="Arial" w:cs="Arial"/>
              </w:rPr>
            </w:pPr>
            <w:proofErr w:type="gramStart"/>
            <w:r w:rsidRPr="00A92750">
              <w:rPr>
                <w:rFonts w:ascii="Arial" w:hAnsi="Arial" w:cs="Arial"/>
              </w:rPr>
              <w:t>durable</w:t>
            </w:r>
            <w:proofErr w:type="gramEnd"/>
            <w:r w:rsidRPr="00A92750">
              <w:rPr>
                <w:rFonts w:ascii="Arial" w:hAnsi="Arial" w:cs="Arial"/>
              </w:rPr>
              <w:t xml:space="preserve"> goods</w:t>
            </w:r>
          </w:p>
        </w:tc>
        <w:tc>
          <w:tcPr>
            <w:tcW w:w="6570" w:type="dxa"/>
          </w:tcPr>
          <w:p w14:paraId="38176083" w14:textId="77777777" w:rsidR="00C571CE" w:rsidRPr="00A92750" w:rsidRDefault="00C571CE" w:rsidP="00C571CE">
            <w:pPr>
              <w:autoSpaceDE w:val="0"/>
              <w:autoSpaceDN w:val="0"/>
              <w:adjustRightInd w:val="0"/>
              <w:rPr>
                <w:rFonts w:ascii="Arial" w:hAnsi="Arial" w:cs="Arial"/>
              </w:rPr>
            </w:pPr>
            <w:r w:rsidRPr="00A92750">
              <w:rPr>
                <w:rFonts w:ascii="Arial" w:hAnsi="Arial" w:cs="Arial"/>
              </w:rPr>
              <w:t>Last 12 months</w:t>
            </w:r>
          </w:p>
        </w:tc>
      </w:tr>
      <w:tr w:rsidR="00C571CE" w:rsidRPr="00D955A6" w14:paraId="10C8E8D8" w14:textId="77777777" w:rsidTr="0043458D">
        <w:tc>
          <w:tcPr>
            <w:tcW w:w="3060" w:type="dxa"/>
          </w:tcPr>
          <w:p w14:paraId="32DC8E5A" w14:textId="77777777" w:rsidR="00C571CE" w:rsidRPr="00A92750" w:rsidRDefault="00C571CE" w:rsidP="00C571CE">
            <w:pPr>
              <w:autoSpaceDE w:val="0"/>
              <w:autoSpaceDN w:val="0"/>
              <w:adjustRightInd w:val="0"/>
              <w:rPr>
                <w:rFonts w:ascii="Arial" w:hAnsi="Arial" w:cs="Arial"/>
              </w:rPr>
            </w:pPr>
            <w:r w:rsidRPr="00A92750">
              <w:rPr>
                <w:rFonts w:ascii="Arial" w:hAnsi="Arial" w:cs="Arial"/>
              </w:rPr>
              <w:t>Out-of-pocket health payments:</w:t>
            </w:r>
          </w:p>
        </w:tc>
        <w:tc>
          <w:tcPr>
            <w:tcW w:w="6570" w:type="dxa"/>
          </w:tcPr>
          <w:p w14:paraId="524DE14B" w14:textId="77777777" w:rsidR="00C571CE" w:rsidRPr="00A92750" w:rsidRDefault="00C571CE" w:rsidP="00C571CE">
            <w:pPr>
              <w:autoSpaceDE w:val="0"/>
              <w:autoSpaceDN w:val="0"/>
              <w:adjustRightInd w:val="0"/>
              <w:rPr>
                <w:rFonts w:ascii="Arial" w:hAnsi="Arial" w:cs="Arial"/>
              </w:rPr>
            </w:pPr>
          </w:p>
        </w:tc>
      </w:tr>
      <w:tr w:rsidR="00C571CE" w:rsidRPr="00D955A6" w14:paraId="777F5831" w14:textId="77777777" w:rsidTr="0043458D">
        <w:tc>
          <w:tcPr>
            <w:tcW w:w="3060" w:type="dxa"/>
          </w:tcPr>
          <w:p w14:paraId="06995DD8" w14:textId="77777777" w:rsidR="00C571CE" w:rsidRPr="00A92750" w:rsidRDefault="00C571CE" w:rsidP="00C571CE">
            <w:pPr>
              <w:autoSpaceDE w:val="0"/>
              <w:autoSpaceDN w:val="0"/>
              <w:adjustRightInd w:val="0"/>
              <w:ind w:left="720"/>
              <w:rPr>
                <w:rFonts w:ascii="Arial" w:hAnsi="Arial" w:cs="Arial"/>
              </w:rPr>
            </w:pPr>
            <w:r w:rsidRPr="00A92750">
              <w:rPr>
                <w:rFonts w:ascii="Arial" w:hAnsi="Arial" w:cs="Arial"/>
              </w:rPr>
              <w:t>Outpatient care</w:t>
            </w:r>
          </w:p>
        </w:tc>
        <w:tc>
          <w:tcPr>
            <w:tcW w:w="6570" w:type="dxa"/>
          </w:tcPr>
          <w:p w14:paraId="44B1E3DC" w14:textId="77777777" w:rsidR="00C571CE" w:rsidRPr="00A92750" w:rsidRDefault="00C571CE" w:rsidP="00C571CE">
            <w:pPr>
              <w:autoSpaceDE w:val="0"/>
              <w:autoSpaceDN w:val="0"/>
              <w:adjustRightInd w:val="0"/>
              <w:rPr>
                <w:rFonts w:ascii="Arial" w:hAnsi="Arial" w:cs="Arial"/>
              </w:rPr>
            </w:pPr>
            <w:r w:rsidRPr="00A92750">
              <w:rPr>
                <w:rFonts w:ascii="Arial" w:hAnsi="Arial" w:cs="Arial"/>
              </w:rPr>
              <w:t>Last 1 month</w:t>
            </w:r>
          </w:p>
        </w:tc>
      </w:tr>
      <w:tr w:rsidR="00C571CE" w:rsidRPr="00D955A6" w14:paraId="60A38940" w14:textId="77777777" w:rsidTr="0043458D">
        <w:tc>
          <w:tcPr>
            <w:tcW w:w="3060" w:type="dxa"/>
          </w:tcPr>
          <w:p w14:paraId="6B6757DE" w14:textId="77777777" w:rsidR="00C571CE" w:rsidRPr="00A92750" w:rsidRDefault="00C571CE" w:rsidP="00C571CE">
            <w:pPr>
              <w:autoSpaceDE w:val="0"/>
              <w:autoSpaceDN w:val="0"/>
              <w:adjustRightInd w:val="0"/>
              <w:ind w:left="720"/>
              <w:rPr>
                <w:rFonts w:ascii="Arial" w:hAnsi="Arial" w:cs="Arial"/>
              </w:rPr>
            </w:pPr>
            <w:r w:rsidRPr="00A92750">
              <w:rPr>
                <w:rFonts w:ascii="Arial" w:hAnsi="Arial" w:cs="Arial"/>
              </w:rPr>
              <w:t xml:space="preserve">Medicine </w:t>
            </w:r>
          </w:p>
        </w:tc>
        <w:tc>
          <w:tcPr>
            <w:tcW w:w="6570" w:type="dxa"/>
          </w:tcPr>
          <w:p w14:paraId="76A2DA74" w14:textId="77777777" w:rsidR="00C571CE" w:rsidRPr="00A92750" w:rsidRDefault="00C571CE" w:rsidP="00C571CE">
            <w:pPr>
              <w:autoSpaceDE w:val="0"/>
              <w:autoSpaceDN w:val="0"/>
              <w:adjustRightInd w:val="0"/>
              <w:rPr>
                <w:rFonts w:ascii="Arial" w:hAnsi="Arial" w:cs="Arial"/>
              </w:rPr>
            </w:pPr>
            <w:r w:rsidRPr="00A92750">
              <w:rPr>
                <w:rFonts w:ascii="Arial" w:hAnsi="Arial" w:cs="Arial"/>
              </w:rPr>
              <w:t>Last 1 month</w:t>
            </w:r>
          </w:p>
        </w:tc>
      </w:tr>
      <w:tr w:rsidR="00C571CE" w:rsidRPr="00D955A6" w14:paraId="6FF3ED59" w14:textId="77777777" w:rsidTr="0043458D">
        <w:tc>
          <w:tcPr>
            <w:tcW w:w="3060" w:type="dxa"/>
          </w:tcPr>
          <w:p w14:paraId="7CD558DA" w14:textId="77777777" w:rsidR="00C571CE" w:rsidRPr="00A92750" w:rsidRDefault="00C571CE" w:rsidP="00C571CE">
            <w:pPr>
              <w:autoSpaceDE w:val="0"/>
              <w:autoSpaceDN w:val="0"/>
              <w:adjustRightInd w:val="0"/>
              <w:ind w:left="720"/>
              <w:rPr>
                <w:rFonts w:ascii="Arial" w:hAnsi="Arial" w:cs="Arial"/>
              </w:rPr>
            </w:pPr>
            <w:r w:rsidRPr="00A92750">
              <w:rPr>
                <w:rFonts w:ascii="Arial" w:hAnsi="Arial" w:cs="Arial"/>
              </w:rPr>
              <w:t>Inpatient care</w:t>
            </w:r>
          </w:p>
        </w:tc>
        <w:tc>
          <w:tcPr>
            <w:tcW w:w="6570" w:type="dxa"/>
          </w:tcPr>
          <w:p w14:paraId="1FBEA606" w14:textId="158C0514" w:rsidR="00C571CE" w:rsidRPr="00A92750" w:rsidRDefault="00C571CE" w:rsidP="00C571CE">
            <w:pPr>
              <w:autoSpaceDE w:val="0"/>
              <w:autoSpaceDN w:val="0"/>
              <w:adjustRightInd w:val="0"/>
              <w:rPr>
                <w:rFonts w:ascii="Arial" w:hAnsi="Arial" w:cs="Arial"/>
              </w:rPr>
            </w:pPr>
            <w:r w:rsidRPr="00A92750">
              <w:rPr>
                <w:rFonts w:ascii="Arial" w:hAnsi="Arial" w:cs="Arial"/>
              </w:rPr>
              <w:t>Last 12 month</w:t>
            </w:r>
            <w:r w:rsidR="00C642C6">
              <w:rPr>
                <w:rFonts w:ascii="Arial" w:hAnsi="Arial" w:cs="Arial"/>
              </w:rPr>
              <w:t>s</w:t>
            </w:r>
          </w:p>
        </w:tc>
      </w:tr>
      <w:tr w:rsidR="002A2D43" w:rsidRPr="00D955A6" w14:paraId="5D11911B" w14:textId="77777777" w:rsidTr="0043458D">
        <w:tc>
          <w:tcPr>
            <w:tcW w:w="3060" w:type="dxa"/>
          </w:tcPr>
          <w:p w14:paraId="7BE55FDF" w14:textId="77777777" w:rsidR="002A2D43" w:rsidRPr="00A92750" w:rsidRDefault="002A2D43" w:rsidP="00C571CE">
            <w:pPr>
              <w:autoSpaceDE w:val="0"/>
              <w:autoSpaceDN w:val="0"/>
              <w:adjustRightInd w:val="0"/>
              <w:ind w:left="720"/>
              <w:rPr>
                <w:rFonts w:ascii="Arial" w:hAnsi="Arial" w:cs="Arial"/>
              </w:rPr>
            </w:pPr>
            <w:r>
              <w:rPr>
                <w:rFonts w:ascii="Arial" w:hAnsi="Arial" w:cs="Arial"/>
              </w:rPr>
              <w:t>Ancillary services</w:t>
            </w:r>
          </w:p>
        </w:tc>
        <w:tc>
          <w:tcPr>
            <w:tcW w:w="6570" w:type="dxa"/>
          </w:tcPr>
          <w:p w14:paraId="299BE79F" w14:textId="77777777" w:rsidR="002A2D43" w:rsidRPr="00A92750" w:rsidRDefault="002A2D43" w:rsidP="00C571CE">
            <w:pPr>
              <w:autoSpaceDE w:val="0"/>
              <w:autoSpaceDN w:val="0"/>
              <w:adjustRightInd w:val="0"/>
              <w:rPr>
                <w:rFonts w:ascii="Arial" w:hAnsi="Arial" w:cs="Arial"/>
              </w:rPr>
            </w:pPr>
            <w:r w:rsidRPr="00C7199E">
              <w:rPr>
                <w:rFonts w:ascii="Arial" w:hAnsi="Arial" w:cs="Arial"/>
              </w:rPr>
              <w:t>Last 1 month</w:t>
            </w:r>
          </w:p>
        </w:tc>
      </w:tr>
      <w:tr w:rsidR="002A2D43" w:rsidRPr="00D955A6" w14:paraId="1BDC3255" w14:textId="77777777" w:rsidTr="0043458D">
        <w:tc>
          <w:tcPr>
            <w:tcW w:w="3060" w:type="dxa"/>
          </w:tcPr>
          <w:p w14:paraId="05F8AA8E" w14:textId="77777777" w:rsidR="002A2D43" w:rsidRPr="00A92750" w:rsidRDefault="002A2D43" w:rsidP="00C571CE">
            <w:pPr>
              <w:autoSpaceDE w:val="0"/>
              <w:autoSpaceDN w:val="0"/>
              <w:adjustRightInd w:val="0"/>
              <w:ind w:left="720"/>
              <w:rPr>
                <w:rFonts w:ascii="Arial" w:hAnsi="Arial" w:cs="Arial"/>
              </w:rPr>
            </w:pPr>
            <w:r>
              <w:rPr>
                <w:rFonts w:ascii="Arial" w:hAnsi="Arial" w:cs="Arial"/>
              </w:rPr>
              <w:t>Dental services</w:t>
            </w:r>
          </w:p>
        </w:tc>
        <w:tc>
          <w:tcPr>
            <w:tcW w:w="6570" w:type="dxa"/>
          </w:tcPr>
          <w:p w14:paraId="2FB3B2B9" w14:textId="77777777" w:rsidR="002A2D43" w:rsidRPr="00A92750" w:rsidRDefault="002A2D43" w:rsidP="00C571CE">
            <w:pPr>
              <w:autoSpaceDE w:val="0"/>
              <w:autoSpaceDN w:val="0"/>
              <w:adjustRightInd w:val="0"/>
              <w:rPr>
                <w:rFonts w:ascii="Arial" w:hAnsi="Arial" w:cs="Arial"/>
              </w:rPr>
            </w:pPr>
            <w:r w:rsidRPr="00C7199E">
              <w:rPr>
                <w:rFonts w:ascii="Arial" w:hAnsi="Arial" w:cs="Arial"/>
              </w:rPr>
              <w:t>Last 1 month</w:t>
            </w:r>
          </w:p>
        </w:tc>
      </w:tr>
      <w:bookmarkEnd w:id="12"/>
    </w:tbl>
    <w:p w14:paraId="6F2346CC" w14:textId="77777777" w:rsidR="000D0B06" w:rsidRDefault="000D0B06" w:rsidP="000D0B06">
      <w:pPr>
        <w:pStyle w:val="Heading2"/>
        <w:spacing w:before="0"/>
        <w:rPr>
          <w:lang w:val="en-GB"/>
        </w:rPr>
      </w:pPr>
    </w:p>
    <w:p w14:paraId="6983B986" w14:textId="77777777" w:rsidR="00C571CE" w:rsidRDefault="00DC1B85" w:rsidP="00C571CE">
      <w:pPr>
        <w:pStyle w:val="Heading2"/>
        <w:rPr>
          <w:lang w:val="en-GB"/>
        </w:rPr>
      </w:pPr>
      <w:bookmarkStart w:id="13" w:name="_Toc305764306"/>
      <w:r>
        <w:rPr>
          <w:lang w:val="en-GB"/>
        </w:rPr>
        <w:t>Construction of k</w:t>
      </w:r>
      <w:r w:rsidR="00C571CE">
        <w:rPr>
          <w:lang w:val="en-GB"/>
        </w:rPr>
        <w:t>ey variables</w:t>
      </w:r>
      <w:bookmarkEnd w:id="13"/>
    </w:p>
    <w:p w14:paraId="7D7130ED" w14:textId="77777777" w:rsidR="00C571CE" w:rsidRDefault="00C571CE" w:rsidP="00C571CE">
      <w:pPr>
        <w:jc w:val="both"/>
        <w:rPr>
          <w:rFonts w:ascii="Arial" w:hAnsi="Arial" w:cs="Arial"/>
        </w:rPr>
      </w:pPr>
    </w:p>
    <w:p w14:paraId="7A6EFFD6" w14:textId="77777777" w:rsidR="00BE14B4" w:rsidRDefault="00BE14B4" w:rsidP="00BE14B4">
      <w:pPr>
        <w:jc w:val="both"/>
        <w:rPr>
          <w:rFonts w:ascii="Arial" w:hAnsi="Arial" w:cs="Arial"/>
        </w:rPr>
      </w:pPr>
      <w:r>
        <w:rPr>
          <w:rFonts w:ascii="Arial" w:hAnsi="Arial" w:cs="Arial"/>
        </w:rPr>
        <w:t xml:space="preserve">The HSES </w:t>
      </w:r>
      <w:r w:rsidR="00C571CE" w:rsidRPr="00634D82">
        <w:rPr>
          <w:rFonts w:ascii="Arial" w:hAnsi="Arial" w:cs="Arial"/>
        </w:rPr>
        <w:t>contains 1</w:t>
      </w:r>
      <w:r>
        <w:rPr>
          <w:rFonts w:ascii="Arial" w:hAnsi="Arial" w:cs="Arial"/>
        </w:rPr>
        <w:t>5</w:t>
      </w:r>
      <w:r w:rsidR="00C571CE" w:rsidRPr="00634D82">
        <w:rPr>
          <w:rFonts w:ascii="Arial" w:hAnsi="Arial" w:cs="Arial"/>
        </w:rPr>
        <w:t xml:space="preserve"> major modules on different consumption and expenditure profiles and behavior of Mongolian households.</w:t>
      </w:r>
      <w:r>
        <w:rPr>
          <w:rFonts w:ascii="Arial" w:hAnsi="Arial" w:cs="Arial"/>
        </w:rPr>
        <w:t xml:space="preserve"> </w:t>
      </w:r>
      <w:r w:rsidR="00DC1B85" w:rsidRPr="00DC1B85">
        <w:rPr>
          <w:rFonts w:ascii="Arial" w:hAnsi="Arial" w:cs="Arial"/>
        </w:rPr>
        <w:t xml:space="preserve">Key variables to estimate </w:t>
      </w:r>
      <w:r w:rsidR="00DC1B85" w:rsidRPr="00DC1B85">
        <w:rPr>
          <w:rFonts w:ascii="Arial" w:hAnsi="Arial" w:cs="Arial"/>
        </w:rPr>
        <w:lastRenderedPageBreak/>
        <w:t>catastrophic health payments</w:t>
      </w:r>
      <w:r w:rsidR="002C1C1B">
        <w:rPr>
          <w:rFonts w:ascii="Arial" w:hAnsi="Arial" w:cs="Arial"/>
        </w:rPr>
        <w:t xml:space="preserve">, </w:t>
      </w:r>
      <w:r w:rsidR="00374A8B">
        <w:rPr>
          <w:rFonts w:ascii="Arial" w:hAnsi="Arial" w:cs="Arial"/>
        </w:rPr>
        <w:t>impoverishing health payments</w:t>
      </w:r>
      <w:r w:rsidR="00DC1B85" w:rsidRPr="00DC1B85">
        <w:rPr>
          <w:rFonts w:ascii="Arial" w:hAnsi="Arial" w:cs="Arial"/>
        </w:rPr>
        <w:t xml:space="preserve"> and benefit incidence </w:t>
      </w:r>
      <w:r w:rsidR="002C1C1B">
        <w:rPr>
          <w:rFonts w:ascii="Arial" w:hAnsi="Arial" w:cs="Arial"/>
        </w:rPr>
        <w:t xml:space="preserve">of public spending </w:t>
      </w:r>
      <w:r w:rsidR="00DC1B85" w:rsidRPr="00DC1B85">
        <w:rPr>
          <w:rFonts w:ascii="Arial" w:hAnsi="Arial" w:cs="Arial"/>
        </w:rPr>
        <w:t xml:space="preserve">are described below. </w:t>
      </w:r>
    </w:p>
    <w:p w14:paraId="0F59ABCE" w14:textId="77777777" w:rsidR="00BE14B4" w:rsidRDefault="00BE14B4" w:rsidP="00BE14B4">
      <w:pPr>
        <w:jc w:val="both"/>
        <w:rPr>
          <w:rFonts w:ascii="Arial" w:hAnsi="Arial" w:cs="Arial"/>
        </w:rPr>
      </w:pPr>
    </w:p>
    <w:p w14:paraId="7E20C96F" w14:textId="77777777" w:rsidR="00374A8B" w:rsidRPr="00BE344F" w:rsidRDefault="00374A8B" w:rsidP="00374A8B">
      <w:pPr>
        <w:pStyle w:val="ListParagraph"/>
        <w:numPr>
          <w:ilvl w:val="0"/>
          <w:numId w:val="11"/>
        </w:numPr>
        <w:jc w:val="both"/>
        <w:rPr>
          <w:rFonts w:ascii="Arial" w:hAnsi="Arial" w:cs="Calibri"/>
          <w:szCs w:val="22"/>
        </w:rPr>
      </w:pPr>
      <w:r w:rsidRPr="00BE344F">
        <w:rPr>
          <w:rFonts w:ascii="Arial" w:hAnsi="Arial" w:cs="Calibri"/>
          <w:szCs w:val="22"/>
        </w:rPr>
        <w:t xml:space="preserve">Total household consumption expenditures </w:t>
      </w:r>
    </w:p>
    <w:p w14:paraId="4ADCB217" w14:textId="77777777" w:rsidR="00374A8B" w:rsidRDefault="00374A8B" w:rsidP="00374A8B">
      <w:pPr>
        <w:pStyle w:val="ListParagraph"/>
        <w:widowControl w:val="0"/>
        <w:numPr>
          <w:ilvl w:val="0"/>
          <w:numId w:val="11"/>
        </w:numPr>
        <w:autoSpaceDE w:val="0"/>
        <w:autoSpaceDN w:val="0"/>
        <w:adjustRightInd w:val="0"/>
        <w:rPr>
          <w:rFonts w:ascii="Arial" w:eastAsiaTheme="minorEastAsia" w:hAnsi="Arial" w:cs="Calibri"/>
          <w:color w:val="000000"/>
          <w:szCs w:val="22"/>
        </w:rPr>
      </w:pPr>
      <w:r w:rsidRPr="00BE344F">
        <w:rPr>
          <w:rFonts w:ascii="Arial" w:eastAsiaTheme="minorEastAsia" w:hAnsi="Arial" w:cs="Calibri"/>
          <w:color w:val="000000"/>
          <w:szCs w:val="22"/>
        </w:rPr>
        <w:t xml:space="preserve">Total household food expenditures </w:t>
      </w:r>
    </w:p>
    <w:p w14:paraId="0FA9057C" w14:textId="77777777" w:rsidR="00374A8B" w:rsidRPr="00BE344F" w:rsidRDefault="00374A8B" w:rsidP="00374A8B">
      <w:pPr>
        <w:pStyle w:val="ListParagraph"/>
        <w:widowControl w:val="0"/>
        <w:numPr>
          <w:ilvl w:val="0"/>
          <w:numId w:val="11"/>
        </w:numPr>
        <w:autoSpaceDE w:val="0"/>
        <w:autoSpaceDN w:val="0"/>
        <w:adjustRightInd w:val="0"/>
        <w:rPr>
          <w:rFonts w:ascii="Arial" w:eastAsiaTheme="minorEastAsia" w:hAnsi="Arial" w:cs="Calibri"/>
          <w:color w:val="000000"/>
          <w:szCs w:val="22"/>
        </w:rPr>
      </w:pPr>
      <w:r>
        <w:rPr>
          <w:rFonts w:ascii="Arial" w:eastAsiaTheme="minorEastAsia" w:hAnsi="Arial" w:cs="Calibri"/>
          <w:color w:val="000000"/>
          <w:szCs w:val="22"/>
        </w:rPr>
        <w:t>Total household non-food expenditures</w:t>
      </w:r>
    </w:p>
    <w:p w14:paraId="62441374" w14:textId="77777777" w:rsidR="00374A8B" w:rsidRPr="00BE344F" w:rsidRDefault="00374A8B" w:rsidP="00374A8B">
      <w:pPr>
        <w:pStyle w:val="ListParagraph"/>
        <w:widowControl w:val="0"/>
        <w:numPr>
          <w:ilvl w:val="0"/>
          <w:numId w:val="11"/>
        </w:numPr>
        <w:autoSpaceDE w:val="0"/>
        <w:autoSpaceDN w:val="0"/>
        <w:adjustRightInd w:val="0"/>
        <w:rPr>
          <w:rFonts w:ascii="Arial" w:eastAsiaTheme="minorEastAsia" w:hAnsi="Arial" w:cs="Calibri"/>
          <w:color w:val="000000"/>
          <w:szCs w:val="22"/>
        </w:rPr>
      </w:pPr>
      <w:r w:rsidRPr="00BE344F">
        <w:rPr>
          <w:rFonts w:ascii="Arial" w:eastAsiaTheme="minorEastAsia" w:hAnsi="Arial" w:cs="Calibri"/>
          <w:color w:val="000000"/>
          <w:szCs w:val="22"/>
        </w:rPr>
        <w:t xml:space="preserve">Total household out-of-pocket expenditures </w:t>
      </w:r>
    </w:p>
    <w:p w14:paraId="68AB25D3" w14:textId="77777777" w:rsidR="00374A8B" w:rsidRDefault="00374A8B" w:rsidP="00374A8B">
      <w:pPr>
        <w:pStyle w:val="ListParagraph"/>
        <w:widowControl w:val="0"/>
        <w:numPr>
          <w:ilvl w:val="0"/>
          <w:numId w:val="11"/>
        </w:numPr>
        <w:autoSpaceDE w:val="0"/>
        <w:autoSpaceDN w:val="0"/>
        <w:adjustRightInd w:val="0"/>
        <w:rPr>
          <w:rFonts w:ascii="Arial" w:eastAsiaTheme="minorEastAsia" w:hAnsi="Arial" w:cs="Calibri"/>
          <w:color w:val="000000"/>
          <w:szCs w:val="22"/>
        </w:rPr>
      </w:pPr>
      <w:r w:rsidRPr="00E6793B">
        <w:rPr>
          <w:rFonts w:ascii="Arial" w:eastAsiaTheme="minorEastAsia" w:hAnsi="Arial" w:cs="Calibri"/>
          <w:color w:val="000000"/>
          <w:szCs w:val="22"/>
        </w:rPr>
        <w:t xml:space="preserve">Total government subsidy/spending to health sector </w:t>
      </w:r>
    </w:p>
    <w:p w14:paraId="08D703F2" w14:textId="77777777" w:rsidR="00E6793B" w:rsidRPr="00E6793B" w:rsidRDefault="00E6793B" w:rsidP="00BE344F">
      <w:pPr>
        <w:pStyle w:val="ListParagraph"/>
        <w:widowControl w:val="0"/>
        <w:numPr>
          <w:ilvl w:val="0"/>
          <w:numId w:val="11"/>
        </w:numPr>
        <w:autoSpaceDE w:val="0"/>
        <w:autoSpaceDN w:val="0"/>
        <w:adjustRightInd w:val="0"/>
        <w:rPr>
          <w:rFonts w:ascii="Arial" w:eastAsiaTheme="minorEastAsia" w:hAnsi="Arial" w:cs="Calibri"/>
          <w:color w:val="000000"/>
          <w:szCs w:val="22"/>
        </w:rPr>
      </w:pPr>
      <w:r w:rsidRPr="00E6793B">
        <w:rPr>
          <w:rFonts w:ascii="Arial" w:eastAsiaTheme="minorEastAsia" w:hAnsi="Arial" w:cs="Calibri"/>
          <w:color w:val="000000"/>
          <w:szCs w:val="22"/>
        </w:rPr>
        <w:t xml:space="preserve">Health services utilization </w:t>
      </w:r>
    </w:p>
    <w:p w14:paraId="3BBF0ACB" w14:textId="77777777" w:rsidR="007250F0" w:rsidRPr="00BE344F" w:rsidRDefault="00BE344F" w:rsidP="00BE344F">
      <w:pPr>
        <w:pStyle w:val="ListParagraph"/>
        <w:widowControl w:val="0"/>
        <w:numPr>
          <w:ilvl w:val="0"/>
          <w:numId w:val="11"/>
        </w:numPr>
        <w:autoSpaceDE w:val="0"/>
        <w:autoSpaceDN w:val="0"/>
        <w:adjustRightInd w:val="0"/>
        <w:rPr>
          <w:rFonts w:ascii="Arial" w:eastAsiaTheme="minorEastAsia" w:hAnsi="Arial" w:cs="Calibri"/>
          <w:color w:val="000000"/>
          <w:szCs w:val="22"/>
        </w:rPr>
      </w:pPr>
      <w:r w:rsidRPr="00E6793B">
        <w:rPr>
          <w:rFonts w:ascii="Arial" w:hAnsi="Arial" w:cs="Calibri"/>
          <w:szCs w:val="22"/>
        </w:rPr>
        <w:t>Socio economic variables including</w:t>
      </w:r>
      <w:r w:rsidRPr="00E6793B">
        <w:rPr>
          <w:rFonts w:ascii="Arial" w:eastAsiaTheme="minorEastAsia" w:hAnsi="Arial" w:cs="Calibri"/>
          <w:color w:val="000000"/>
          <w:szCs w:val="23"/>
        </w:rPr>
        <w:t xml:space="preserve"> </w:t>
      </w:r>
      <w:r w:rsidRPr="00E6793B">
        <w:rPr>
          <w:rFonts w:ascii="Arial" w:eastAsiaTheme="minorEastAsia" w:hAnsi="Arial"/>
          <w:color w:val="000000"/>
          <w:szCs w:val="23"/>
        </w:rPr>
        <w:t>age, sex, education, urban/rural location, household size,</w:t>
      </w:r>
      <w:r w:rsidRPr="00E6793B">
        <w:rPr>
          <w:rFonts w:ascii="Arial" w:eastAsiaTheme="minorEastAsia" w:hAnsi="Arial" w:cs="Calibri"/>
          <w:color w:val="000000"/>
          <w:szCs w:val="22"/>
        </w:rPr>
        <w:t xml:space="preserve"> </w:t>
      </w:r>
      <w:r w:rsidR="00E6793B" w:rsidRPr="00E6793B">
        <w:rPr>
          <w:rFonts w:ascii="Arial" w:eastAsiaTheme="minorEastAsia" w:hAnsi="Arial" w:cs="Calibri"/>
          <w:color w:val="000000"/>
          <w:szCs w:val="22"/>
        </w:rPr>
        <w:t>h</w:t>
      </w:r>
      <w:r w:rsidR="007250F0" w:rsidRPr="00E6793B">
        <w:rPr>
          <w:rFonts w:ascii="Arial" w:eastAsiaTheme="minorEastAsia" w:hAnsi="Arial" w:cs="Calibri"/>
          <w:color w:val="000000"/>
          <w:szCs w:val="22"/>
        </w:rPr>
        <w:t xml:space="preserve">ousehold sampling weight </w:t>
      </w:r>
    </w:p>
    <w:p w14:paraId="2B0DEA36" w14:textId="77777777" w:rsidR="00755EDE" w:rsidRDefault="00755EDE" w:rsidP="00DC1B85">
      <w:pPr>
        <w:autoSpaceDE w:val="0"/>
        <w:autoSpaceDN w:val="0"/>
        <w:adjustRightInd w:val="0"/>
        <w:rPr>
          <w:rFonts w:ascii="Arial" w:hAnsi="Arial" w:cs="Arial"/>
          <w:b/>
          <w:color w:val="000000"/>
        </w:rPr>
      </w:pPr>
    </w:p>
    <w:p w14:paraId="0CF79382" w14:textId="77777777" w:rsidR="000C6C78" w:rsidRDefault="000C6C78" w:rsidP="00DC1B85">
      <w:pPr>
        <w:autoSpaceDE w:val="0"/>
        <w:autoSpaceDN w:val="0"/>
        <w:adjustRightInd w:val="0"/>
        <w:rPr>
          <w:rFonts w:ascii="Arial" w:hAnsi="Arial" w:cs="Arial"/>
          <w:b/>
          <w:color w:val="000000"/>
        </w:rPr>
      </w:pPr>
    </w:p>
    <w:p w14:paraId="10E2AD3C" w14:textId="77777777" w:rsidR="00DC1B85" w:rsidRPr="00E6793B" w:rsidRDefault="00DC1B85" w:rsidP="00DC1B85">
      <w:pPr>
        <w:autoSpaceDE w:val="0"/>
        <w:autoSpaceDN w:val="0"/>
        <w:adjustRightInd w:val="0"/>
        <w:rPr>
          <w:rFonts w:ascii="Arial" w:hAnsi="Arial" w:cs="Arial"/>
          <w:b/>
          <w:color w:val="000000"/>
          <w:sz w:val="22"/>
          <w:szCs w:val="22"/>
        </w:rPr>
      </w:pPr>
      <w:r w:rsidRPr="00E6793B">
        <w:rPr>
          <w:rFonts w:ascii="Arial" w:hAnsi="Arial" w:cs="Arial"/>
          <w:b/>
          <w:color w:val="000000"/>
          <w:sz w:val="22"/>
          <w:szCs w:val="22"/>
        </w:rPr>
        <w:t xml:space="preserve">Consumption expenditure </w:t>
      </w:r>
    </w:p>
    <w:p w14:paraId="631C8374" w14:textId="77777777" w:rsidR="009548C2" w:rsidRDefault="009548C2" w:rsidP="00DC1B85">
      <w:pPr>
        <w:autoSpaceDE w:val="0"/>
        <w:autoSpaceDN w:val="0"/>
        <w:adjustRightInd w:val="0"/>
        <w:rPr>
          <w:rFonts w:ascii="Arial" w:hAnsi="Arial" w:cs="Arial"/>
          <w:b/>
          <w:color w:val="000000"/>
        </w:rPr>
      </w:pPr>
    </w:p>
    <w:p w14:paraId="57EBDCDE" w14:textId="77777777" w:rsidR="00DC1B85" w:rsidRPr="002C1C1B" w:rsidRDefault="002C1C1B" w:rsidP="002C1C1B">
      <w:pPr>
        <w:tabs>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jc w:val="both"/>
        <w:rPr>
          <w:rFonts w:ascii="Arial" w:hAnsi="Arial" w:cs="Arial"/>
          <w:color w:val="000000"/>
        </w:rPr>
      </w:pPr>
      <w:r>
        <w:rPr>
          <w:rFonts w:ascii="Arial" w:hAnsi="Arial" w:cs="Arial"/>
          <w:color w:val="000000"/>
        </w:rPr>
        <w:t xml:space="preserve">Consumption </w:t>
      </w:r>
      <w:r w:rsidR="00DC1B85" w:rsidRPr="002C1C1B">
        <w:rPr>
          <w:rFonts w:ascii="Arial" w:hAnsi="Arial" w:cs="Arial"/>
          <w:color w:val="000000"/>
        </w:rPr>
        <w:t>aggregate comprised of five main components: food</w:t>
      </w:r>
      <w:r w:rsidR="00C76DE1">
        <w:rPr>
          <w:rFonts w:ascii="Arial" w:hAnsi="Arial" w:cs="Arial"/>
          <w:color w:val="000000"/>
        </w:rPr>
        <w:t>, non-food, housing, durable goods</w:t>
      </w:r>
      <w:r w:rsidR="00DC1B85" w:rsidRPr="002C1C1B">
        <w:rPr>
          <w:rFonts w:ascii="Arial" w:hAnsi="Arial" w:cs="Arial"/>
          <w:color w:val="000000"/>
        </w:rPr>
        <w:t xml:space="preserve"> and energy. </w:t>
      </w:r>
    </w:p>
    <w:p w14:paraId="0E8527CA" w14:textId="77777777" w:rsidR="00580844" w:rsidRDefault="00580844" w:rsidP="00580844">
      <w:pPr>
        <w:rPr>
          <w:lang w:val="en-GB"/>
        </w:rPr>
      </w:pPr>
    </w:p>
    <w:p w14:paraId="25541C84" w14:textId="77777777" w:rsidR="00755EDE" w:rsidRDefault="00755EDE" w:rsidP="00755EDE">
      <w:pPr>
        <w:autoSpaceDE w:val="0"/>
        <w:autoSpaceDN w:val="0"/>
        <w:adjustRightInd w:val="0"/>
        <w:rPr>
          <w:rFonts w:ascii="Arial" w:hAnsi="Arial" w:cs="Arial"/>
          <w:b/>
          <w:color w:val="000000"/>
          <w:sz w:val="22"/>
          <w:szCs w:val="22"/>
        </w:rPr>
      </w:pPr>
      <w:r w:rsidRPr="00E6793B">
        <w:rPr>
          <w:rFonts w:ascii="Arial" w:hAnsi="Arial" w:cs="Arial"/>
          <w:b/>
          <w:color w:val="000000"/>
          <w:sz w:val="22"/>
          <w:szCs w:val="22"/>
        </w:rPr>
        <w:t xml:space="preserve">Food </w:t>
      </w:r>
    </w:p>
    <w:p w14:paraId="26D6CD45" w14:textId="77777777" w:rsidR="008203ED" w:rsidRPr="00E6793B" w:rsidRDefault="008203ED" w:rsidP="00755EDE">
      <w:pPr>
        <w:autoSpaceDE w:val="0"/>
        <w:autoSpaceDN w:val="0"/>
        <w:adjustRightInd w:val="0"/>
        <w:rPr>
          <w:rFonts w:ascii="Arial" w:hAnsi="Arial" w:cs="Arial"/>
          <w:b/>
          <w:color w:val="000000"/>
          <w:sz w:val="22"/>
          <w:szCs w:val="22"/>
        </w:rPr>
      </w:pPr>
    </w:p>
    <w:p w14:paraId="198D9753" w14:textId="77777777" w:rsidR="00755EDE" w:rsidRPr="006811DE" w:rsidRDefault="00755EDE" w:rsidP="00755EDE">
      <w:pPr>
        <w:autoSpaceDE w:val="0"/>
        <w:autoSpaceDN w:val="0"/>
        <w:adjustRightInd w:val="0"/>
        <w:jc w:val="both"/>
        <w:rPr>
          <w:rFonts w:ascii="Arial" w:hAnsi="Arial" w:cs="Arial"/>
          <w:bCs/>
          <w:iCs/>
        </w:rPr>
      </w:pPr>
      <w:proofErr w:type="gramStart"/>
      <w:r w:rsidRPr="006811DE">
        <w:rPr>
          <w:rFonts w:ascii="Arial" w:hAnsi="Arial" w:cs="Arial"/>
          <w:bCs/>
          <w:iCs/>
        </w:rPr>
        <w:t xml:space="preserve">The food </w:t>
      </w:r>
      <w:r w:rsidR="00C76DE1" w:rsidRPr="006811DE">
        <w:rPr>
          <w:rFonts w:ascii="Arial" w:hAnsi="Arial" w:cs="Arial"/>
          <w:bCs/>
          <w:iCs/>
        </w:rPr>
        <w:t>variable</w:t>
      </w:r>
      <w:r w:rsidRPr="006811DE">
        <w:rPr>
          <w:rFonts w:ascii="Arial" w:hAnsi="Arial" w:cs="Arial"/>
          <w:bCs/>
          <w:iCs/>
        </w:rPr>
        <w:t xml:space="preserve"> was </w:t>
      </w:r>
      <w:r w:rsidR="00C76DE1" w:rsidRPr="006811DE">
        <w:rPr>
          <w:rFonts w:ascii="Arial" w:hAnsi="Arial" w:cs="Arial"/>
          <w:bCs/>
          <w:iCs/>
        </w:rPr>
        <w:t>constructed by</w:t>
      </w:r>
      <w:r w:rsidRPr="006811DE">
        <w:rPr>
          <w:rFonts w:ascii="Arial" w:hAnsi="Arial" w:cs="Arial"/>
          <w:bCs/>
          <w:iCs/>
        </w:rPr>
        <w:t xml:space="preserve"> adding up all consumption per food item, previously normalized to uniform reference period, and then aggregating all</w:t>
      </w:r>
      <w:r w:rsidR="00CE2197" w:rsidRPr="006811DE">
        <w:rPr>
          <w:rFonts w:ascii="Arial" w:hAnsi="Arial" w:cs="Arial"/>
          <w:bCs/>
          <w:iCs/>
        </w:rPr>
        <w:t xml:space="preserve"> food items per household</w:t>
      </w:r>
      <w:proofErr w:type="gramEnd"/>
      <w:r w:rsidR="00CE2197" w:rsidRPr="006811DE">
        <w:rPr>
          <w:rFonts w:ascii="Arial" w:hAnsi="Arial" w:cs="Arial"/>
          <w:bCs/>
          <w:iCs/>
        </w:rPr>
        <w:t>. HSES</w:t>
      </w:r>
      <w:r w:rsidRPr="006811DE">
        <w:rPr>
          <w:rFonts w:ascii="Arial" w:hAnsi="Arial" w:cs="Arial"/>
          <w:bCs/>
          <w:iCs/>
        </w:rPr>
        <w:t xml:space="preserve"> records information on food consumption at the household level for </w:t>
      </w:r>
      <w:r w:rsidR="00CE2197" w:rsidRPr="006811DE">
        <w:rPr>
          <w:rFonts w:ascii="Arial" w:hAnsi="Arial" w:cs="Arial"/>
          <w:bCs/>
          <w:iCs/>
        </w:rPr>
        <w:t>122-</w:t>
      </w:r>
      <w:r w:rsidRPr="006811DE">
        <w:rPr>
          <w:rFonts w:ascii="Arial" w:hAnsi="Arial" w:cs="Arial"/>
          <w:bCs/>
          <w:iCs/>
        </w:rPr>
        <w:t>12</w:t>
      </w:r>
      <w:r w:rsidR="00ED7D39" w:rsidRPr="006811DE">
        <w:rPr>
          <w:rFonts w:ascii="Arial" w:hAnsi="Arial" w:cs="Arial"/>
          <w:bCs/>
          <w:iCs/>
        </w:rPr>
        <w:t>3</w:t>
      </w:r>
      <w:r w:rsidRPr="006811DE">
        <w:rPr>
          <w:rFonts w:ascii="Arial" w:hAnsi="Arial" w:cs="Arial"/>
          <w:bCs/>
          <w:iCs/>
        </w:rPr>
        <w:t xml:space="preserve"> items, organized in </w:t>
      </w:r>
      <w:r w:rsidR="00ED7D39" w:rsidRPr="006811DE">
        <w:rPr>
          <w:rFonts w:ascii="Arial" w:hAnsi="Arial" w:cs="Arial"/>
          <w:bCs/>
          <w:iCs/>
        </w:rPr>
        <w:t>12-</w:t>
      </w:r>
      <w:r w:rsidRPr="006811DE">
        <w:rPr>
          <w:rFonts w:ascii="Arial" w:hAnsi="Arial" w:cs="Arial"/>
          <w:bCs/>
          <w:iCs/>
        </w:rPr>
        <w:t xml:space="preserve">13 categories. The reference period is 1 month. A few general principles are applied in the construction of this component. First, all possible sources of consumption are included. This means that the food component comprises not only expenditures on purchases in the market or on meals eaten away from home but also food that was own produced and also received as a gift. Second, only food that was actually consumed, as opposed to total food purchases or total home-produced </w:t>
      </w:r>
      <w:r w:rsidR="00C76DE1" w:rsidRPr="006811DE">
        <w:rPr>
          <w:rFonts w:ascii="Arial" w:hAnsi="Arial" w:cs="Arial"/>
          <w:bCs/>
          <w:iCs/>
        </w:rPr>
        <w:t>food</w:t>
      </w:r>
      <w:r w:rsidRPr="006811DE">
        <w:rPr>
          <w:rFonts w:ascii="Arial" w:hAnsi="Arial" w:cs="Arial"/>
          <w:bCs/>
          <w:iCs/>
        </w:rPr>
        <w:t xml:space="preserve"> enters in the consumption aggregate. Third, non-purchased food items need to be valued and included. The HSES collects average prices for food purchases, whereas for all other sources only quantities are recorded. These average prices were used to estimate the mon</w:t>
      </w:r>
      <w:r w:rsidRPr="006811DE">
        <w:rPr>
          <w:rFonts w:ascii="Arial" w:hAnsi="Arial" w:cs="Arial"/>
          <w:bCs/>
          <w:iCs/>
        </w:rPr>
        <w:softHyphen/>
        <w:t xml:space="preserve">etary value of non-purchased items.  </w:t>
      </w:r>
    </w:p>
    <w:p w14:paraId="67F31B06" w14:textId="77777777" w:rsidR="00755EDE" w:rsidRDefault="00755EDE" w:rsidP="00755EDE">
      <w:pPr>
        <w:autoSpaceDE w:val="0"/>
        <w:autoSpaceDN w:val="0"/>
        <w:adjustRightInd w:val="0"/>
        <w:rPr>
          <w:rFonts w:ascii="Arial" w:hAnsi="Arial" w:cs="Arial"/>
          <w:b/>
          <w:color w:val="000000"/>
        </w:rPr>
      </w:pPr>
    </w:p>
    <w:p w14:paraId="7460A725" w14:textId="77777777" w:rsidR="00755EDE" w:rsidRDefault="00C76DE1" w:rsidP="00755EDE">
      <w:pPr>
        <w:autoSpaceDE w:val="0"/>
        <w:autoSpaceDN w:val="0"/>
        <w:adjustRightInd w:val="0"/>
        <w:rPr>
          <w:rFonts w:ascii="Arial" w:hAnsi="Arial" w:cs="Arial"/>
          <w:b/>
          <w:color w:val="000000"/>
          <w:sz w:val="22"/>
          <w:szCs w:val="22"/>
        </w:rPr>
      </w:pPr>
      <w:r w:rsidRPr="00E6793B">
        <w:rPr>
          <w:rFonts w:ascii="Arial" w:hAnsi="Arial" w:cs="Arial"/>
          <w:b/>
          <w:color w:val="000000"/>
          <w:sz w:val="22"/>
          <w:szCs w:val="22"/>
        </w:rPr>
        <w:t>Non-</w:t>
      </w:r>
      <w:r w:rsidR="00755EDE" w:rsidRPr="00E6793B">
        <w:rPr>
          <w:rFonts w:ascii="Arial" w:hAnsi="Arial" w:cs="Arial"/>
          <w:b/>
          <w:color w:val="000000"/>
          <w:sz w:val="22"/>
          <w:szCs w:val="22"/>
        </w:rPr>
        <w:t xml:space="preserve">food </w:t>
      </w:r>
    </w:p>
    <w:p w14:paraId="3AF91AD9" w14:textId="77777777" w:rsidR="008203ED" w:rsidRPr="00E6793B" w:rsidRDefault="008203ED" w:rsidP="00755EDE">
      <w:pPr>
        <w:autoSpaceDE w:val="0"/>
        <w:autoSpaceDN w:val="0"/>
        <w:adjustRightInd w:val="0"/>
        <w:rPr>
          <w:rFonts w:ascii="Arial" w:hAnsi="Arial" w:cs="Arial"/>
          <w:b/>
          <w:color w:val="000000"/>
          <w:sz w:val="22"/>
          <w:szCs w:val="22"/>
          <w:lang w:val="mn-MN"/>
        </w:rPr>
      </w:pPr>
    </w:p>
    <w:p w14:paraId="0187B999" w14:textId="77777777" w:rsidR="00755EDE" w:rsidRDefault="00755EDE" w:rsidP="008507A6">
      <w:pPr>
        <w:shd w:val="clear" w:color="auto" w:fill="FFFFFF"/>
        <w:ind w:right="38"/>
        <w:jc w:val="both"/>
      </w:pPr>
      <w:r>
        <w:rPr>
          <w:rFonts w:ascii="Arial" w:hAnsi="Arial" w:cs="Arial"/>
          <w:color w:val="212121"/>
          <w:spacing w:val="2"/>
        </w:rPr>
        <w:t xml:space="preserve">As in the case of food, non-food consumption </w:t>
      </w:r>
      <w:r>
        <w:rPr>
          <w:rFonts w:ascii="Arial" w:hAnsi="Arial" w:cs="Arial"/>
          <w:color w:val="212121"/>
          <w:spacing w:val="-1"/>
        </w:rPr>
        <w:t xml:space="preserve">is a simple and straightforward calculation. Again, </w:t>
      </w:r>
      <w:r>
        <w:rPr>
          <w:rFonts w:ascii="Arial" w:hAnsi="Arial" w:cs="Arial"/>
          <w:color w:val="212121"/>
        </w:rPr>
        <w:t xml:space="preserve">all possible sources of consumption </w:t>
      </w:r>
      <w:r w:rsidR="00F96879">
        <w:rPr>
          <w:rFonts w:ascii="Arial" w:hAnsi="Arial" w:cs="Arial"/>
          <w:color w:val="212121"/>
        </w:rPr>
        <w:t>is</w:t>
      </w:r>
      <w:r>
        <w:rPr>
          <w:rFonts w:ascii="Arial" w:hAnsi="Arial" w:cs="Arial"/>
          <w:color w:val="212121"/>
        </w:rPr>
        <w:t xml:space="preserve"> in</w:t>
      </w:r>
      <w:r>
        <w:rPr>
          <w:rFonts w:ascii="Arial" w:hAnsi="Arial" w:cs="Arial"/>
          <w:color w:val="212121"/>
        </w:rPr>
        <w:softHyphen/>
      </w:r>
      <w:r>
        <w:rPr>
          <w:rFonts w:ascii="Arial" w:hAnsi="Arial" w:cs="Arial"/>
          <w:color w:val="212121"/>
          <w:spacing w:val="1"/>
        </w:rPr>
        <w:t xml:space="preserve">cluded and normalized to a common reference period. Data on an extensive range of non-food </w:t>
      </w:r>
      <w:r>
        <w:rPr>
          <w:rFonts w:ascii="Arial" w:hAnsi="Arial" w:cs="Arial"/>
          <w:color w:val="212121"/>
        </w:rPr>
        <w:t>items are available, 371 items arranged in 38 dif</w:t>
      </w:r>
      <w:r>
        <w:rPr>
          <w:rFonts w:ascii="Arial" w:hAnsi="Arial" w:cs="Arial"/>
          <w:color w:val="212121"/>
        </w:rPr>
        <w:softHyphen/>
      </w:r>
      <w:r>
        <w:rPr>
          <w:rFonts w:ascii="Arial" w:hAnsi="Arial" w:cs="Arial"/>
          <w:color w:val="212121"/>
          <w:spacing w:val="2"/>
        </w:rPr>
        <w:t xml:space="preserve">ferent groups such as clothing and footwear for </w:t>
      </w:r>
      <w:r>
        <w:rPr>
          <w:rFonts w:ascii="Arial" w:hAnsi="Arial" w:cs="Arial"/>
          <w:color w:val="212121"/>
          <w:spacing w:val="-1"/>
        </w:rPr>
        <w:t xml:space="preserve">men, women and children, jewelry and souvenirs, </w:t>
      </w:r>
      <w:r>
        <w:rPr>
          <w:rFonts w:ascii="Arial" w:hAnsi="Arial" w:cs="Arial"/>
          <w:color w:val="212121"/>
          <w:spacing w:val="1"/>
        </w:rPr>
        <w:t xml:space="preserve">clothing materials, education, health, recreation, </w:t>
      </w:r>
      <w:r>
        <w:rPr>
          <w:rFonts w:ascii="Arial" w:hAnsi="Arial" w:cs="Arial"/>
          <w:color w:val="212121"/>
          <w:spacing w:val="-1"/>
        </w:rPr>
        <w:t>beauty and toilet articles and services, cultural ex</w:t>
      </w:r>
      <w:r>
        <w:rPr>
          <w:rFonts w:ascii="Arial" w:hAnsi="Arial" w:cs="Arial"/>
          <w:color w:val="212121"/>
          <w:spacing w:val="-1"/>
        </w:rPr>
        <w:softHyphen/>
      </w:r>
      <w:r>
        <w:rPr>
          <w:rFonts w:ascii="Arial" w:hAnsi="Arial" w:cs="Arial"/>
          <w:color w:val="212121"/>
          <w:spacing w:val="-2"/>
        </w:rPr>
        <w:t>penses, household goods</w:t>
      </w:r>
      <w:r w:rsidRPr="00041228">
        <w:rPr>
          <w:rFonts w:ascii="Arial" w:hAnsi="Arial" w:cs="Arial"/>
          <w:color w:val="212121"/>
          <w:spacing w:val="-2"/>
        </w:rPr>
        <w:t xml:space="preserve">, housing </w:t>
      </w:r>
      <w:r w:rsidRPr="00041228">
        <w:rPr>
          <w:rFonts w:ascii="Arial" w:hAnsi="Arial" w:cs="Arial"/>
          <w:color w:val="212121"/>
          <w:spacing w:val="1"/>
        </w:rPr>
        <w:t>expenditures,</w:t>
      </w:r>
      <w:r w:rsidRPr="00454DC8">
        <w:rPr>
          <w:rFonts w:ascii="Arial" w:hAnsi="Arial" w:cs="Arial"/>
          <w:color w:val="212121"/>
          <w:spacing w:val="1"/>
        </w:rPr>
        <w:t xml:space="preserve"> transportation, communication, in</w:t>
      </w:r>
      <w:r w:rsidRPr="00454DC8">
        <w:rPr>
          <w:rFonts w:ascii="Arial" w:hAnsi="Arial" w:cs="Arial"/>
          <w:color w:val="212121"/>
          <w:spacing w:val="1"/>
        </w:rPr>
        <w:softHyphen/>
      </w:r>
      <w:r w:rsidRPr="00454DC8">
        <w:rPr>
          <w:rFonts w:ascii="Arial" w:hAnsi="Arial" w:cs="Arial"/>
          <w:color w:val="212121"/>
          <w:spacing w:val="-3"/>
        </w:rPr>
        <w:t>surance and taxes.</w:t>
      </w:r>
      <w:r>
        <w:rPr>
          <w:rFonts w:ascii="Arial" w:hAnsi="Arial" w:cs="Arial"/>
          <w:color w:val="212121"/>
          <w:spacing w:val="-3"/>
        </w:rPr>
        <w:t xml:space="preserve"> </w:t>
      </w:r>
      <w:r w:rsidR="00C76DE1">
        <w:rPr>
          <w:rFonts w:ascii="Arial" w:hAnsi="Arial" w:cs="Arial"/>
          <w:color w:val="212121"/>
          <w:spacing w:val="2"/>
        </w:rPr>
        <w:t>With the exception of du</w:t>
      </w:r>
      <w:r>
        <w:rPr>
          <w:rFonts w:ascii="Arial" w:hAnsi="Arial" w:cs="Arial"/>
          <w:color w:val="212121"/>
          <w:spacing w:val="2"/>
        </w:rPr>
        <w:t xml:space="preserve">rable goods, housing and energy, which will be </w:t>
      </w:r>
      <w:r>
        <w:rPr>
          <w:rFonts w:ascii="Arial" w:hAnsi="Arial" w:cs="Arial"/>
          <w:color w:val="212121"/>
        </w:rPr>
        <w:t xml:space="preserve">dealt with later, this subsection </w:t>
      </w:r>
      <w:r w:rsidRPr="009275B1">
        <w:rPr>
          <w:rFonts w:ascii="Arial" w:hAnsi="Arial" w:cs="Arial"/>
          <w:color w:val="212121"/>
        </w:rPr>
        <w:t>covers the con</w:t>
      </w:r>
      <w:r w:rsidRPr="009275B1">
        <w:rPr>
          <w:rFonts w:ascii="Arial" w:hAnsi="Arial" w:cs="Arial"/>
          <w:color w:val="212121"/>
        </w:rPr>
        <w:softHyphen/>
      </w:r>
      <w:r w:rsidRPr="009275B1">
        <w:rPr>
          <w:rFonts w:ascii="Arial" w:hAnsi="Arial" w:cs="Arial"/>
          <w:color w:val="212121"/>
          <w:spacing w:val="3"/>
        </w:rPr>
        <w:t xml:space="preserve">sumption of all the other non-food items. It also </w:t>
      </w:r>
      <w:r w:rsidRPr="009275B1">
        <w:rPr>
          <w:rFonts w:ascii="Arial" w:hAnsi="Arial" w:cs="Arial"/>
          <w:color w:val="212121"/>
          <w:spacing w:val="3"/>
        </w:rPr>
        <w:lastRenderedPageBreak/>
        <w:t>includes non</w:t>
      </w:r>
      <w:r w:rsidR="00C76DE1" w:rsidRPr="009275B1">
        <w:rPr>
          <w:rFonts w:ascii="Arial" w:hAnsi="Arial" w:cs="Arial"/>
          <w:color w:val="212121"/>
          <w:spacing w:val="3"/>
        </w:rPr>
        <w:t>-</w:t>
      </w:r>
      <w:r w:rsidRPr="009275B1">
        <w:rPr>
          <w:rFonts w:ascii="Arial" w:hAnsi="Arial" w:cs="Arial"/>
          <w:color w:val="212121"/>
          <w:spacing w:val="3"/>
        </w:rPr>
        <w:t xml:space="preserve">food items </w:t>
      </w:r>
      <w:r w:rsidRPr="009275B1">
        <w:rPr>
          <w:rFonts w:ascii="Arial" w:hAnsi="Arial" w:cs="Arial"/>
          <w:bCs/>
          <w:iCs/>
        </w:rPr>
        <w:t>that was own produced and also received as a gifts and given by others for free.</w:t>
      </w:r>
      <w:r>
        <w:rPr>
          <w:rFonts w:ascii="Arial" w:hAnsi="Arial" w:cs="Arial"/>
          <w:bCs/>
          <w:iCs/>
          <w:sz w:val="23"/>
          <w:szCs w:val="23"/>
        </w:rPr>
        <w:t xml:space="preserve"> </w:t>
      </w:r>
    </w:p>
    <w:p w14:paraId="4EE7CFFD" w14:textId="77777777" w:rsidR="00755EDE" w:rsidRDefault="009275B1" w:rsidP="008507A6">
      <w:pPr>
        <w:shd w:val="clear" w:color="auto" w:fill="FFFFFF"/>
        <w:spacing w:before="247"/>
        <w:ind w:left="12" w:right="10"/>
        <w:jc w:val="both"/>
      </w:pPr>
      <w:r>
        <w:rPr>
          <w:rFonts w:ascii="Arial" w:hAnsi="Arial" w:cs="Arial"/>
          <w:color w:val="212121"/>
          <w:spacing w:val="-2"/>
        </w:rPr>
        <w:t xml:space="preserve">With regards to inclusion criteria </w:t>
      </w:r>
      <w:r w:rsidR="00755EDE">
        <w:rPr>
          <w:rFonts w:ascii="Arial" w:hAnsi="Arial" w:cs="Arial"/>
          <w:color w:val="212121"/>
          <w:spacing w:val="2"/>
        </w:rPr>
        <w:t xml:space="preserve">only items that contribute to </w:t>
      </w:r>
      <w:r w:rsidR="00755EDE">
        <w:rPr>
          <w:rFonts w:ascii="Arial" w:hAnsi="Arial" w:cs="Arial"/>
          <w:color w:val="212121"/>
        </w:rPr>
        <w:t xml:space="preserve">the consumption are to be included. For instance, </w:t>
      </w:r>
      <w:r w:rsidR="00755EDE">
        <w:rPr>
          <w:rFonts w:ascii="Arial" w:hAnsi="Arial" w:cs="Arial"/>
          <w:color w:val="212121"/>
          <w:spacing w:val="1"/>
        </w:rPr>
        <w:t xml:space="preserve">clothing, footwear, beauty articles and recreation </w:t>
      </w:r>
      <w:r w:rsidR="00755EDE">
        <w:rPr>
          <w:rFonts w:ascii="Arial" w:hAnsi="Arial" w:cs="Arial"/>
          <w:color w:val="212121"/>
          <w:spacing w:val="-1"/>
        </w:rPr>
        <w:t xml:space="preserve">are included. Others such as taxes are commonly </w:t>
      </w:r>
      <w:r w:rsidR="00755EDE">
        <w:rPr>
          <w:rFonts w:ascii="Arial" w:hAnsi="Arial" w:cs="Arial"/>
          <w:color w:val="212121"/>
          <w:spacing w:val="1"/>
        </w:rPr>
        <w:t xml:space="preserve">excluded because they </w:t>
      </w:r>
      <w:r w:rsidR="00755EDE" w:rsidRPr="00C76DE1">
        <w:rPr>
          <w:rFonts w:ascii="Arial" w:hAnsi="Arial" w:cs="Arial"/>
          <w:iCs/>
          <w:color w:val="212121"/>
          <w:spacing w:val="1"/>
        </w:rPr>
        <w:t>are</w:t>
      </w:r>
      <w:r w:rsidR="00755EDE">
        <w:rPr>
          <w:rFonts w:ascii="Arial" w:hAnsi="Arial" w:cs="Arial"/>
          <w:i/>
          <w:iCs/>
          <w:color w:val="212121"/>
          <w:spacing w:val="1"/>
        </w:rPr>
        <w:t xml:space="preserve"> </w:t>
      </w:r>
      <w:r w:rsidR="00755EDE">
        <w:rPr>
          <w:rFonts w:ascii="Arial" w:hAnsi="Arial" w:cs="Arial"/>
          <w:color w:val="212121"/>
          <w:spacing w:val="1"/>
        </w:rPr>
        <w:t xml:space="preserve">not linked to higher levels of </w:t>
      </w:r>
      <w:r w:rsidR="00BE344F">
        <w:rPr>
          <w:rFonts w:ascii="Arial" w:hAnsi="Arial" w:cs="Arial"/>
          <w:color w:val="212121"/>
          <w:spacing w:val="1"/>
        </w:rPr>
        <w:t>consumption;</w:t>
      </w:r>
      <w:r w:rsidR="00755EDE">
        <w:rPr>
          <w:rFonts w:ascii="Arial" w:hAnsi="Arial" w:cs="Arial"/>
          <w:color w:val="212121"/>
          <w:spacing w:val="1"/>
        </w:rPr>
        <w:t xml:space="preserve"> households paying more </w:t>
      </w:r>
      <w:r w:rsidR="00755EDE">
        <w:rPr>
          <w:rFonts w:ascii="Arial" w:hAnsi="Arial" w:cs="Arial"/>
          <w:color w:val="212121"/>
          <w:spacing w:val="-1"/>
        </w:rPr>
        <w:t>taxes are not likely to receive better public servic</w:t>
      </w:r>
      <w:r w:rsidR="00755EDE">
        <w:rPr>
          <w:rFonts w:ascii="Arial" w:hAnsi="Arial" w:cs="Arial"/>
          <w:color w:val="212121"/>
          <w:spacing w:val="-1"/>
        </w:rPr>
        <w:softHyphen/>
      </w:r>
      <w:r w:rsidR="00755EDE">
        <w:rPr>
          <w:rFonts w:ascii="Arial" w:hAnsi="Arial" w:cs="Arial"/>
          <w:color w:val="212121"/>
          <w:spacing w:val="-2"/>
        </w:rPr>
        <w:t xml:space="preserve">es. Capital transactions like purchases of financial </w:t>
      </w:r>
      <w:proofErr w:type="gramStart"/>
      <w:r w:rsidR="00755EDE">
        <w:rPr>
          <w:rFonts w:ascii="Arial" w:hAnsi="Arial" w:cs="Arial"/>
          <w:color w:val="212121"/>
          <w:spacing w:val="-2"/>
        </w:rPr>
        <w:t>assets,</w:t>
      </w:r>
      <w:proofErr w:type="gramEnd"/>
      <w:r w:rsidR="00755EDE">
        <w:rPr>
          <w:rFonts w:ascii="Arial" w:hAnsi="Arial" w:cs="Arial"/>
          <w:color w:val="212121"/>
          <w:spacing w:val="-2"/>
        </w:rPr>
        <w:t xml:space="preserve"> debt and interest payments should also be excluded. </w:t>
      </w:r>
      <w:r w:rsidR="00755EDE">
        <w:rPr>
          <w:rFonts w:ascii="Arial" w:hAnsi="Arial" w:cs="Arial"/>
          <w:color w:val="212121"/>
        </w:rPr>
        <w:t xml:space="preserve">Finally, remittances given to other households are better excluded. </w:t>
      </w:r>
    </w:p>
    <w:p w14:paraId="2E22F999" w14:textId="77777777" w:rsidR="00755EDE" w:rsidRDefault="006E05A8" w:rsidP="008507A6">
      <w:pPr>
        <w:shd w:val="clear" w:color="auto" w:fill="FFFFFF"/>
        <w:spacing w:before="245"/>
        <w:ind w:left="10" w:right="14"/>
        <w:jc w:val="both"/>
      </w:pPr>
      <w:r>
        <w:rPr>
          <w:rFonts w:ascii="Arial" w:hAnsi="Arial" w:cs="Arial"/>
          <w:color w:val="212121"/>
          <w:spacing w:val="2"/>
        </w:rPr>
        <w:t>In terms of</w:t>
      </w:r>
      <w:r w:rsidR="00755EDE">
        <w:rPr>
          <w:rFonts w:ascii="Arial" w:hAnsi="Arial" w:cs="Arial"/>
          <w:color w:val="212121"/>
          <w:spacing w:val="2"/>
        </w:rPr>
        <w:t xml:space="preserve"> recall </w:t>
      </w:r>
      <w:r w:rsidR="00755EDE">
        <w:rPr>
          <w:rFonts w:ascii="Arial" w:hAnsi="Arial" w:cs="Arial"/>
          <w:color w:val="212121"/>
          <w:spacing w:val="-1"/>
        </w:rPr>
        <w:t>period</w:t>
      </w:r>
      <w:r>
        <w:rPr>
          <w:rFonts w:ascii="Arial" w:hAnsi="Arial" w:cs="Arial"/>
          <w:color w:val="212121"/>
          <w:spacing w:val="-1"/>
        </w:rPr>
        <w:t xml:space="preserve"> for a consumption item, </w:t>
      </w:r>
      <w:r w:rsidR="00BE344F">
        <w:rPr>
          <w:rFonts w:ascii="Arial" w:hAnsi="Arial" w:cs="Arial"/>
          <w:color w:val="212121"/>
          <w:spacing w:val="-1"/>
        </w:rPr>
        <w:t xml:space="preserve">the </w:t>
      </w:r>
      <w:r w:rsidR="00755EDE">
        <w:rPr>
          <w:rFonts w:ascii="Arial" w:hAnsi="Arial" w:cs="Arial"/>
          <w:color w:val="212121"/>
        </w:rPr>
        <w:t xml:space="preserve">information was </w:t>
      </w:r>
      <w:r w:rsidR="00755EDE">
        <w:rPr>
          <w:rFonts w:ascii="Arial" w:hAnsi="Arial" w:cs="Arial"/>
          <w:color w:val="212121"/>
          <w:spacing w:val="4"/>
        </w:rPr>
        <w:t xml:space="preserve">taken from the last month if available, and if the </w:t>
      </w:r>
      <w:r w:rsidR="00755EDE">
        <w:rPr>
          <w:rFonts w:ascii="Arial" w:hAnsi="Arial" w:cs="Arial"/>
          <w:color w:val="212121"/>
          <w:spacing w:val="3"/>
        </w:rPr>
        <w:t xml:space="preserve">household did not purchase anything in the last </w:t>
      </w:r>
      <w:r w:rsidR="00755EDE">
        <w:rPr>
          <w:rFonts w:ascii="Arial" w:hAnsi="Arial" w:cs="Arial"/>
          <w:color w:val="212121"/>
          <w:spacing w:val="1"/>
        </w:rPr>
        <w:t xml:space="preserve">30 days, information from the last year </w:t>
      </w:r>
      <w:r w:rsidR="00BE344F">
        <w:rPr>
          <w:rFonts w:ascii="Arial" w:hAnsi="Arial" w:cs="Arial"/>
          <w:color w:val="212121"/>
          <w:spacing w:val="1"/>
        </w:rPr>
        <w:t>is</w:t>
      </w:r>
      <w:r w:rsidR="00755EDE">
        <w:rPr>
          <w:rFonts w:ascii="Arial" w:hAnsi="Arial" w:cs="Arial"/>
          <w:color w:val="212121"/>
          <w:spacing w:val="1"/>
        </w:rPr>
        <w:t xml:space="preserve"> </w:t>
      </w:r>
      <w:r>
        <w:rPr>
          <w:rFonts w:ascii="Arial" w:hAnsi="Arial" w:cs="Arial"/>
          <w:color w:val="212121"/>
        </w:rPr>
        <w:t>taken</w:t>
      </w:r>
      <w:r w:rsidR="00755EDE">
        <w:rPr>
          <w:rFonts w:ascii="Arial" w:hAnsi="Arial" w:cs="Arial"/>
          <w:color w:val="212121"/>
        </w:rPr>
        <w:t xml:space="preserve">. </w:t>
      </w:r>
    </w:p>
    <w:p w14:paraId="0ECE3BFA" w14:textId="77777777" w:rsidR="00DA1925" w:rsidRDefault="00DA1925" w:rsidP="00CE2197">
      <w:pPr>
        <w:autoSpaceDE w:val="0"/>
        <w:autoSpaceDN w:val="0"/>
        <w:adjustRightInd w:val="0"/>
        <w:rPr>
          <w:rFonts w:ascii="Arial" w:hAnsi="Arial" w:cs="Arial"/>
          <w:b/>
          <w:color w:val="000000"/>
        </w:rPr>
      </w:pPr>
    </w:p>
    <w:p w14:paraId="18DF8DAF" w14:textId="77777777" w:rsidR="00CE2197" w:rsidRPr="00E6793B" w:rsidRDefault="00CE2197" w:rsidP="00CE2197">
      <w:pPr>
        <w:autoSpaceDE w:val="0"/>
        <w:autoSpaceDN w:val="0"/>
        <w:adjustRightInd w:val="0"/>
        <w:rPr>
          <w:rFonts w:ascii="Arial" w:hAnsi="Arial" w:cs="Arial"/>
          <w:b/>
          <w:color w:val="000000"/>
          <w:sz w:val="22"/>
          <w:szCs w:val="22"/>
        </w:rPr>
      </w:pPr>
      <w:r w:rsidRPr="00E6793B">
        <w:rPr>
          <w:rFonts w:ascii="Arial" w:hAnsi="Arial" w:cs="Arial"/>
          <w:b/>
          <w:color w:val="000000"/>
          <w:sz w:val="22"/>
          <w:szCs w:val="22"/>
        </w:rPr>
        <w:t>Durable goods</w:t>
      </w:r>
    </w:p>
    <w:p w14:paraId="534B3E53" w14:textId="77777777" w:rsidR="00CE2197" w:rsidRDefault="00CE2197" w:rsidP="008507A6">
      <w:pPr>
        <w:shd w:val="clear" w:color="auto" w:fill="FFFFFF"/>
        <w:spacing w:before="247"/>
        <w:ind w:right="34"/>
        <w:jc w:val="both"/>
      </w:pPr>
      <w:r>
        <w:rPr>
          <w:rFonts w:ascii="Arial" w:hAnsi="Arial" w:cs="Arial"/>
          <w:color w:val="212121"/>
          <w:spacing w:val="5"/>
        </w:rPr>
        <w:t xml:space="preserve">The estimation of this component involved three steps. First, a selection of durable goods </w:t>
      </w:r>
      <w:r>
        <w:rPr>
          <w:rFonts w:ascii="Arial" w:hAnsi="Arial" w:cs="Arial"/>
          <w:color w:val="212121"/>
          <w:spacing w:val="-2"/>
        </w:rPr>
        <w:t>was done. The HSES supplies data on 4</w:t>
      </w:r>
      <w:r w:rsidR="0098183D">
        <w:rPr>
          <w:rFonts w:ascii="Arial" w:hAnsi="Arial" w:cs="Arial"/>
          <w:color w:val="212121"/>
          <w:spacing w:val="-2"/>
        </w:rPr>
        <w:t>4</w:t>
      </w:r>
      <w:r>
        <w:rPr>
          <w:rFonts w:ascii="Arial" w:hAnsi="Arial" w:cs="Arial"/>
          <w:color w:val="212121"/>
          <w:spacing w:val="-2"/>
        </w:rPr>
        <w:t xml:space="preserve"> durable </w:t>
      </w:r>
      <w:r>
        <w:rPr>
          <w:rFonts w:ascii="Arial" w:hAnsi="Arial" w:cs="Arial"/>
          <w:color w:val="212121"/>
          <w:spacing w:val="-1"/>
        </w:rPr>
        <w:t xml:space="preserve">goods, ranging from home appliances to furniture. </w:t>
      </w:r>
      <w:r>
        <w:rPr>
          <w:rFonts w:ascii="Arial" w:hAnsi="Arial" w:cs="Arial"/>
          <w:color w:val="212121"/>
        </w:rPr>
        <w:t xml:space="preserve">However, a third of them were excluded because </w:t>
      </w:r>
      <w:r>
        <w:rPr>
          <w:rFonts w:ascii="Arial" w:hAnsi="Arial" w:cs="Arial"/>
          <w:color w:val="212121"/>
          <w:spacing w:val="-3"/>
        </w:rPr>
        <w:t xml:space="preserve">they were goods used for household businesses or </w:t>
      </w:r>
      <w:r>
        <w:rPr>
          <w:rFonts w:ascii="Arial" w:hAnsi="Arial" w:cs="Arial"/>
          <w:color w:val="212121"/>
        </w:rPr>
        <w:t xml:space="preserve">fell under jewelry, dwelling or residual categories. </w:t>
      </w:r>
      <w:r>
        <w:rPr>
          <w:rFonts w:ascii="Arial" w:hAnsi="Arial" w:cs="Arial"/>
          <w:color w:val="212121"/>
          <w:spacing w:val="6"/>
        </w:rPr>
        <w:t xml:space="preserve">Second, to calculate implicit depreciation rates </w:t>
      </w:r>
      <w:r>
        <w:rPr>
          <w:rFonts w:ascii="Arial" w:hAnsi="Arial" w:cs="Arial"/>
          <w:color w:val="212121"/>
          <w:spacing w:val="2"/>
        </w:rPr>
        <w:t xml:space="preserve">a median regression for each of the remaining goods was run with the current unit value as the </w:t>
      </w:r>
      <w:r>
        <w:rPr>
          <w:rFonts w:ascii="Arial" w:hAnsi="Arial" w:cs="Arial"/>
          <w:color w:val="212121"/>
          <w:spacing w:val="1"/>
        </w:rPr>
        <w:t xml:space="preserve">dependent variable on a constant and the age of </w:t>
      </w:r>
      <w:r>
        <w:rPr>
          <w:rFonts w:ascii="Arial" w:hAnsi="Arial" w:cs="Arial"/>
          <w:color w:val="212121"/>
        </w:rPr>
        <w:t xml:space="preserve">the durable. This technique provides more robust </w:t>
      </w:r>
      <w:r>
        <w:rPr>
          <w:rFonts w:ascii="Arial" w:hAnsi="Arial" w:cs="Arial"/>
          <w:color w:val="212121"/>
          <w:spacing w:val="-1"/>
        </w:rPr>
        <w:t xml:space="preserve">estimates for the depreciation rates because they </w:t>
      </w:r>
      <w:r>
        <w:rPr>
          <w:rFonts w:ascii="Arial" w:hAnsi="Arial" w:cs="Arial"/>
          <w:color w:val="212121"/>
          <w:spacing w:val="-2"/>
        </w:rPr>
        <w:t xml:space="preserve">will be less affected by extreme values. Finally, the </w:t>
      </w:r>
      <w:r>
        <w:rPr>
          <w:rFonts w:ascii="Arial" w:hAnsi="Arial" w:cs="Arial"/>
          <w:color w:val="212121"/>
          <w:spacing w:val="2"/>
        </w:rPr>
        <w:t>stream of consumption is computed by multiply</w:t>
      </w:r>
      <w:r>
        <w:rPr>
          <w:rFonts w:ascii="Arial" w:hAnsi="Arial" w:cs="Arial"/>
          <w:color w:val="212121"/>
          <w:spacing w:val="2"/>
        </w:rPr>
        <w:softHyphen/>
        <w:t xml:space="preserve">ing the estimated value of the good a year ago </w:t>
      </w:r>
      <w:r>
        <w:rPr>
          <w:rFonts w:ascii="Arial" w:hAnsi="Arial" w:cs="Arial"/>
          <w:color w:val="212121"/>
        </w:rPr>
        <w:t>times its depreciation rate, and aggregating these amounts by household.</w:t>
      </w:r>
    </w:p>
    <w:p w14:paraId="08A2E87F" w14:textId="77777777" w:rsidR="00735406" w:rsidRDefault="00735406" w:rsidP="00CE2197">
      <w:pPr>
        <w:shd w:val="clear" w:color="auto" w:fill="FFFFFF"/>
        <w:ind w:right="14"/>
        <w:jc w:val="both"/>
        <w:rPr>
          <w:rFonts w:ascii="Arial" w:hAnsi="Arial" w:cs="Arial"/>
          <w:b/>
          <w:color w:val="212121"/>
          <w:spacing w:val="-2"/>
        </w:rPr>
      </w:pPr>
    </w:p>
    <w:p w14:paraId="6CBE0AA7" w14:textId="77777777" w:rsidR="00CE2197" w:rsidRDefault="00CE2197" w:rsidP="00CE2197">
      <w:pPr>
        <w:shd w:val="clear" w:color="auto" w:fill="FFFFFF"/>
        <w:ind w:right="14"/>
        <w:jc w:val="both"/>
        <w:rPr>
          <w:rFonts w:ascii="Arial" w:hAnsi="Arial" w:cs="Arial"/>
          <w:b/>
          <w:color w:val="212121"/>
          <w:spacing w:val="-2"/>
          <w:sz w:val="22"/>
          <w:szCs w:val="22"/>
        </w:rPr>
      </w:pPr>
      <w:r w:rsidRPr="00E6793B">
        <w:rPr>
          <w:rFonts w:ascii="Arial" w:hAnsi="Arial" w:cs="Arial"/>
          <w:b/>
          <w:color w:val="212121"/>
          <w:spacing w:val="-2"/>
          <w:sz w:val="22"/>
          <w:szCs w:val="22"/>
        </w:rPr>
        <w:t>Housing</w:t>
      </w:r>
    </w:p>
    <w:p w14:paraId="51ABA38D" w14:textId="77777777" w:rsidR="008203ED" w:rsidRPr="00E6793B" w:rsidRDefault="008203ED" w:rsidP="00CE2197">
      <w:pPr>
        <w:shd w:val="clear" w:color="auto" w:fill="FFFFFF"/>
        <w:ind w:right="14"/>
        <w:jc w:val="both"/>
        <w:rPr>
          <w:rFonts w:ascii="Arial" w:hAnsi="Arial" w:cs="Arial"/>
          <w:b/>
          <w:color w:val="212121"/>
          <w:spacing w:val="-2"/>
          <w:sz w:val="22"/>
          <w:szCs w:val="22"/>
        </w:rPr>
      </w:pPr>
    </w:p>
    <w:p w14:paraId="40AE2DDE" w14:textId="77777777" w:rsidR="00CE2197" w:rsidRPr="006811DE" w:rsidRDefault="00CE2197" w:rsidP="00CE2197">
      <w:pPr>
        <w:shd w:val="clear" w:color="auto" w:fill="FFFFFF"/>
        <w:ind w:right="14"/>
        <w:jc w:val="both"/>
        <w:rPr>
          <w:rFonts w:ascii="Arial" w:hAnsi="Arial" w:cs="Arial"/>
          <w:bCs/>
          <w:iCs/>
        </w:rPr>
      </w:pPr>
      <w:r w:rsidRPr="006811DE">
        <w:rPr>
          <w:rFonts w:ascii="Arial" w:hAnsi="Arial" w:cs="Arial"/>
          <w:bCs/>
          <w:iCs/>
        </w:rPr>
        <w:t xml:space="preserve">As in the case of durable goods, the objective is to try to measure the flow of services received by the household from occupying </w:t>
      </w:r>
      <w:r w:rsidR="003E345B" w:rsidRPr="006811DE">
        <w:rPr>
          <w:rFonts w:ascii="Arial" w:hAnsi="Arial" w:cs="Arial"/>
          <w:bCs/>
          <w:iCs/>
        </w:rPr>
        <w:t>their</w:t>
      </w:r>
      <w:r w:rsidRPr="006811DE">
        <w:rPr>
          <w:rFonts w:ascii="Arial" w:hAnsi="Arial" w:cs="Arial"/>
          <w:bCs/>
          <w:iCs/>
        </w:rPr>
        <w:t xml:space="preserve"> dwelling. When a household rents its dwelling, and provided rental markets function well, that value would be the actual rent paid. In Mongolia, the housing value for households who own their dwelling cannot be determined based upon on information from renters because very few cases reported renting their dwellings. Yet the HSES asks households for estimates of how much their dwelling could be rented for and also how much their dwelling could be sold for. Im</w:t>
      </w:r>
      <w:r w:rsidRPr="006811DE">
        <w:rPr>
          <w:rFonts w:ascii="Arial" w:hAnsi="Arial" w:cs="Arial"/>
          <w:bCs/>
          <w:iCs/>
        </w:rPr>
        <w:softHyphen/>
        <w:t xml:space="preserve">plicit rental values can in principle be used in the consumption aggregate whenever actual rents are not reported, but they are a hypothetical concept and the estimates may not always be credible or usable. An additional complication is that almost half of the population lives in </w:t>
      </w:r>
      <w:proofErr w:type="spellStart"/>
      <w:r w:rsidRPr="006811DE">
        <w:rPr>
          <w:rFonts w:ascii="Arial" w:hAnsi="Arial" w:cs="Arial"/>
          <w:bCs/>
          <w:iCs/>
        </w:rPr>
        <w:t>gers</w:t>
      </w:r>
      <w:proofErr w:type="spellEnd"/>
      <w:r w:rsidRPr="006811DE">
        <w:rPr>
          <w:rFonts w:ascii="Arial" w:hAnsi="Arial" w:cs="Arial"/>
          <w:bCs/>
          <w:iCs/>
        </w:rPr>
        <w:t>, for which es</w:t>
      </w:r>
      <w:r w:rsidRPr="006811DE">
        <w:rPr>
          <w:rFonts w:ascii="Arial" w:hAnsi="Arial" w:cs="Arial"/>
          <w:bCs/>
          <w:iCs/>
        </w:rPr>
        <w:softHyphen/>
        <w:t>tablishing a rental value appears to be even more difficult.</w:t>
      </w:r>
    </w:p>
    <w:p w14:paraId="752268B9" w14:textId="77777777" w:rsidR="00CE2197" w:rsidRPr="006811DE" w:rsidRDefault="00CE2197" w:rsidP="00CE2197">
      <w:pPr>
        <w:shd w:val="clear" w:color="auto" w:fill="FFFFFF"/>
        <w:ind w:right="14"/>
        <w:jc w:val="both"/>
        <w:rPr>
          <w:rFonts w:ascii="Arial" w:hAnsi="Arial" w:cs="Arial"/>
          <w:bCs/>
          <w:iCs/>
        </w:rPr>
      </w:pPr>
    </w:p>
    <w:p w14:paraId="4418818F" w14:textId="77777777" w:rsidR="00CE2197" w:rsidRPr="006811DE" w:rsidRDefault="00BE344F" w:rsidP="00CE2197">
      <w:pPr>
        <w:shd w:val="clear" w:color="auto" w:fill="FFFFFF"/>
        <w:ind w:left="26"/>
        <w:jc w:val="both"/>
        <w:rPr>
          <w:rFonts w:ascii="Arial" w:hAnsi="Arial" w:cs="Arial"/>
          <w:bCs/>
          <w:iCs/>
        </w:rPr>
      </w:pPr>
      <w:r w:rsidRPr="006811DE">
        <w:rPr>
          <w:rFonts w:ascii="Arial" w:hAnsi="Arial" w:cs="Arial"/>
          <w:bCs/>
          <w:iCs/>
        </w:rPr>
        <w:t xml:space="preserve">The HSES analysis by National Statistics Office involved running </w:t>
      </w:r>
      <w:r w:rsidR="00CE2197" w:rsidRPr="006811DE">
        <w:rPr>
          <w:rFonts w:ascii="Arial" w:hAnsi="Arial" w:cs="Arial"/>
          <w:bCs/>
          <w:iCs/>
        </w:rPr>
        <w:t xml:space="preserve">Hedonic housing regressions with the imputed value of the dwelling as the dependent </w:t>
      </w:r>
      <w:r w:rsidR="00CE2197" w:rsidRPr="006811DE">
        <w:rPr>
          <w:rFonts w:ascii="Arial" w:hAnsi="Arial" w:cs="Arial"/>
          <w:bCs/>
          <w:iCs/>
        </w:rPr>
        <w:lastRenderedPageBreak/>
        <w:t>variable. The set of independent variables includ</w:t>
      </w:r>
      <w:r w:rsidR="00CE2197" w:rsidRPr="006811DE">
        <w:rPr>
          <w:rFonts w:ascii="Arial" w:hAnsi="Arial" w:cs="Arial"/>
          <w:bCs/>
          <w:iCs/>
        </w:rPr>
        <w:softHyphen/>
        <w:t>ed characteristics of the dwelling such as main type of floor, walls and roof, number of rooms, access to water, electricity, heating, location, etc. This ex</w:t>
      </w:r>
      <w:r w:rsidR="00CE2197" w:rsidRPr="006811DE">
        <w:rPr>
          <w:rFonts w:ascii="Arial" w:hAnsi="Arial" w:cs="Arial"/>
          <w:bCs/>
          <w:iCs/>
        </w:rPr>
        <w:softHyphen/>
        <w:t xml:space="preserve">ercise was conducted separately for </w:t>
      </w:r>
      <w:proofErr w:type="spellStart"/>
      <w:r w:rsidR="00CE2197" w:rsidRPr="006811DE">
        <w:rPr>
          <w:rFonts w:ascii="Arial" w:hAnsi="Arial" w:cs="Arial"/>
          <w:bCs/>
          <w:iCs/>
        </w:rPr>
        <w:t>gers</w:t>
      </w:r>
      <w:proofErr w:type="spellEnd"/>
      <w:r w:rsidR="00CE2197" w:rsidRPr="006811DE">
        <w:rPr>
          <w:rFonts w:ascii="Arial" w:hAnsi="Arial" w:cs="Arial"/>
          <w:bCs/>
          <w:iCs/>
        </w:rPr>
        <w:t>, houses and apartments. Results show that the value of the dwelling has a strong correlation with its char</w:t>
      </w:r>
      <w:r w:rsidR="00CE2197" w:rsidRPr="006811DE">
        <w:rPr>
          <w:rFonts w:ascii="Arial" w:hAnsi="Arial" w:cs="Arial"/>
          <w:bCs/>
          <w:iCs/>
        </w:rPr>
        <w:softHyphen/>
        <w:t>acteristics and this may be intuitively explained by the fact that even though households do not rent dwellings, they do buy and build them, so they report more accurately the overall value of the dwelling rather than a hypothetical rent. However, the use of property values requires an additional assumption to arrive to an estimation of the ser</w:t>
      </w:r>
      <w:r w:rsidR="00CE2197" w:rsidRPr="006811DE">
        <w:rPr>
          <w:rFonts w:ascii="Arial" w:hAnsi="Arial" w:cs="Arial"/>
          <w:bCs/>
          <w:iCs/>
        </w:rPr>
        <w:softHyphen/>
        <w:t>vices provided from housing and that is either the depreciation rate or the remaining lifespan of the dwelling. It was assumed that houses and apart</w:t>
      </w:r>
      <w:r w:rsidR="00CE2197" w:rsidRPr="006811DE">
        <w:rPr>
          <w:rFonts w:ascii="Arial" w:hAnsi="Arial" w:cs="Arial"/>
          <w:bCs/>
          <w:iCs/>
        </w:rPr>
        <w:softHyphen/>
        <w:t xml:space="preserve">ments still have a lifespan of 33 years and </w:t>
      </w:r>
      <w:proofErr w:type="spellStart"/>
      <w:r w:rsidR="00CE2197" w:rsidRPr="006811DE">
        <w:rPr>
          <w:rFonts w:ascii="Arial" w:hAnsi="Arial" w:cs="Arial"/>
          <w:bCs/>
          <w:iCs/>
        </w:rPr>
        <w:t>gers</w:t>
      </w:r>
      <w:proofErr w:type="spellEnd"/>
      <w:r w:rsidR="00CE2197" w:rsidRPr="006811DE">
        <w:rPr>
          <w:rFonts w:ascii="Arial" w:hAnsi="Arial" w:cs="Arial"/>
          <w:bCs/>
          <w:iCs/>
        </w:rPr>
        <w:t xml:space="preserve"> of 17 years. Therefore for the consumption aggre</w:t>
      </w:r>
      <w:r w:rsidR="00CE2197" w:rsidRPr="006811DE">
        <w:rPr>
          <w:rFonts w:ascii="Arial" w:hAnsi="Arial" w:cs="Arial"/>
          <w:bCs/>
          <w:iCs/>
        </w:rPr>
        <w:softHyphen/>
        <w:t>gate, the estimated imputed rents derived from the self-reported or imputed property values were used as estimates for the flow of services from housing, except when actual rents were available.</w:t>
      </w:r>
    </w:p>
    <w:p w14:paraId="7B2F2AA1" w14:textId="77777777" w:rsidR="00CE2197" w:rsidRPr="0069229D" w:rsidRDefault="00CE2197" w:rsidP="00CE2197">
      <w:pPr>
        <w:shd w:val="clear" w:color="auto" w:fill="FFFFFF"/>
        <w:ind w:right="14"/>
        <w:jc w:val="both"/>
        <w:rPr>
          <w:rFonts w:ascii="Arial" w:hAnsi="Arial" w:cs="Arial"/>
          <w:bCs/>
          <w:iCs/>
          <w:sz w:val="23"/>
          <w:szCs w:val="23"/>
        </w:rPr>
      </w:pPr>
    </w:p>
    <w:p w14:paraId="5B8360F7" w14:textId="77777777" w:rsidR="00CE2197" w:rsidRDefault="00CE2197" w:rsidP="00CE2197">
      <w:pPr>
        <w:shd w:val="clear" w:color="auto" w:fill="FFFFFF"/>
        <w:ind w:right="14"/>
        <w:jc w:val="both"/>
        <w:rPr>
          <w:rFonts w:ascii="Arial" w:hAnsi="Arial" w:cs="Arial"/>
          <w:b/>
          <w:bCs/>
          <w:iCs/>
          <w:sz w:val="22"/>
          <w:szCs w:val="22"/>
        </w:rPr>
      </w:pPr>
      <w:r w:rsidRPr="00E6793B">
        <w:rPr>
          <w:rFonts w:ascii="Arial" w:hAnsi="Arial" w:cs="Arial"/>
          <w:b/>
          <w:bCs/>
          <w:iCs/>
          <w:sz w:val="22"/>
          <w:szCs w:val="22"/>
        </w:rPr>
        <w:t>Energy</w:t>
      </w:r>
    </w:p>
    <w:p w14:paraId="5A2BD4F2" w14:textId="77777777" w:rsidR="008203ED" w:rsidRPr="00E6793B" w:rsidRDefault="008203ED" w:rsidP="00CE2197">
      <w:pPr>
        <w:shd w:val="clear" w:color="auto" w:fill="FFFFFF"/>
        <w:ind w:right="14"/>
        <w:jc w:val="both"/>
        <w:rPr>
          <w:rFonts w:ascii="Arial" w:hAnsi="Arial" w:cs="Arial"/>
          <w:b/>
          <w:bCs/>
          <w:iCs/>
          <w:sz w:val="22"/>
          <w:szCs w:val="22"/>
        </w:rPr>
      </w:pPr>
    </w:p>
    <w:p w14:paraId="5E95335C" w14:textId="77777777" w:rsidR="000C6C78" w:rsidRDefault="00CE2197" w:rsidP="008507A6">
      <w:pPr>
        <w:shd w:val="clear" w:color="auto" w:fill="FFFFFF"/>
        <w:ind w:left="5" w:right="22"/>
        <w:jc w:val="both"/>
        <w:rPr>
          <w:rFonts w:ascii="Arial" w:hAnsi="Arial" w:cs="Arial"/>
          <w:bCs/>
          <w:iCs/>
        </w:rPr>
      </w:pPr>
      <w:r w:rsidRPr="006811DE">
        <w:rPr>
          <w:rFonts w:ascii="Arial" w:hAnsi="Arial" w:cs="Arial"/>
          <w:bCs/>
          <w:iCs/>
        </w:rPr>
        <w:t>The final non-food component that justified special attention was energy, meaning basically expenditures on heating and electricity. Mongolia is a country that endu</w:t>
      </w:r>
      <w:r w:rsidR="009C0732" w:rsidRPr="006811DE">
        <w:rPr>
          <w:rFonts w:ascii="Arial" w:hAnsi="Arial" w:cs="Arial"/>
          <w:bCs/>
          <w:iCs/>
        </w:rPr>
        <w:t>res extreme weather condi</w:t>
      </w:r>
      <w:r w:rsidR="009C0732" w:rsidRPr="006811DE">
        <w:rPr>
          <w:rFonts w:ascii="Arial" w:hAnsi="Arial" w:cs="Arial"/>
          <w:bCs/>
          <w:iCs/>
        </w:rPr>
        <w:softHyphen/>
        <w:t>tions</w:t>
      </w:r>
      <w:r w:rsidRPr="006811DE">
        <w:rPr>
          <w:rFonts w:ascii="Arial" w:hAnsi="Arial" w:cs="Arial"/>
          <w:bCs/>
          <w:iCs/>
        </w:rPr>
        <w:t>. While summer may pose fewer inconve</w:t>
      </w:r>
      <w:r w:rsidRPr="006811DE">
        <w:rPr>
          <w:rFonts w:ascii="Arial" w:hAnsi="Arial" w:cs="Arial"/>
          <w:bCs/>
          <w:iCs/>
        </w:rPr>
        <w:softHyphen/>
        <w:t xml:space="preserve">niences, winter is indeed a serious matter. Winters are </w:t>
      </w:r>
      <w:proofErr w:type="gramStart"/>
      <w:r w:rsidRPr="006811DE">
        <w:rPr>
          <w:rFonts w:ascii="Arial" w:hAnsi="Arial" w:cs="Arial"/>
          <w:bCs/>
          <w:iCs/>
        </w:rPr>
        <w:t>long,</w:t>
      </w:r>
      <w:proofErr w:type="gramEnd"/>
      <w:r w:rsidRPr="006811DE">
        <w:rPr>
          <w:rFonts w:ascii="Arial" w:hAnsi="Arial" w:cs="Arial"/>
          <w:bCs/>
          <w:iCs/>
        </w:rPr>
        <w:t xml:space="preserve"> they last on average 6 months and with usual below zero temperatures. This means that heating becomes a basic and essential necessity for households all over the country, and in some cases it could be a very significant and important component of their consumption.</w:t>
      </w:r>
      <w:r w:rsidR="00BE344F" w:rsidRPr="006811DE">
        <w:rPr>
          <w:rFonts w:ascii="Arial" w:hAnsi="Arial" w:cs="Arial"/>
          <w:bCs/>
          <w:iCs/>
        </w:rPr>
        <w:t xml:space="preserve"> </w:t>
      </w:r>
      <w:r w:rsidRPr="006811DE">
        <w:rPr>
          <w:rFonts w:ascii="Arial" w:hAnsi="Arial" w:cs="Arial"/>
          <w:bCs/>
          <w:iCs/>
        </w:rPr>
        <w:t>The HSES collects information only on purchas</w:t>
      </w:r>
      <w:r w:rsidRPr="006811DE">
        <w:rPr>
          <w:rFonts w:ascii="Arial" w:hAnsi="Arial" w:cs="Arial"/>
          <w:bCs/>
          <w:iCs/>
        </w:rPr>
        <w:softHyphen/>
        <w:t>es and self-reported valuations of goods and ser</w:t>
      </w:r>
      <w:r w:rsidRPr="006811DE">
        <w:rPr>
          <w:rFonts w:ascii="Arial" w:hAnsi="Arial" w:cs="Arial"/>
          <w:bCs/>
          <w:iCs/>
        </w:rPr>
        <w:softHyphen/>
        <w:t>vices obtained for free.</w:t>
      </w:r>
    </w:p>
    <w:p w14:paraId="1CE03C65" w14:textId="77777777" w:rsidR="00BE344F" w:rsidRPr="006811DE" w:rsidRDefault="00CE2197" w:rsidP="000C6C78">
      <w:pPr>
        <w:shd w:val="clear" w:color="auto" w:fill="FFFFFF"/>
        <w:ind w:left="6" w:right="23"/>
        <w:jc w:val="both"/>
        <w:rPr>
          <w:rFonts w:ascii="Arial" w:hAnsi="Arial" w:cs="Arial"/>
          <w:bCs/>
          <w:iCs/>
        </w:rPr>
      </w:pPr>
      <w:r w:rsidRPr="006811DE">
        <w:rPr>
          <w:rFonts w:ascii="Arial" w:hAnsi="Arial" w:cs="Arial"/>
          <w:bCs/>
          <w:iCs/>
        </w:rPr>
        <w:t xml:space="preserve"> </w:t>
      </w:r>
    </w:p>
    <w:p w14:paraId="6179BEB7" w14:textId="77777777" w:rsidR="0098183D" w:rsidRPr="00E6793B" w:rsidRDefault="00735406" w:rsidP="000C6C78">
      <w:pPr>
        <w:shd w:val="clear" w:color="auto" w:fill="FFFFFF"/>
        <w:spacing w:line="250" w:lineRule="exact"/>
        <w:ind w:left="10" w:right="14"/>
        <w:jc w:val="both"/>
        <w:rPr>
          <w:rFonts w:ascii="Arial" w:hAnsi="Arial" w:cs="Arial"/>
          <w:b/>
          <w:bCs/>
          <w:iCs/>
          <w:sz w:val="22"/>
          <w:szCs w:val="22"/>
        </w:rPr>
      </w:pPr>
      <w:r w:rsidRPr="00E6793B">
        <w:rPr>
          <w:rFonts w:ascii="Arial" w:hAnsi="Arial" w:cs="Arial"/>
          <w:b/>
          <w:bCs/>
          <w:iCs/>
          <w:sz w:val="22"/>
          <w:szCs w:val="22"/>
        </w:rPr>
        <w:t>Out-of pocket health expenditures</w:t>
      </w:r>
    </w:p>
    <w:p w14:paraId="16964C06" w14:textId="4432452D" w:rsidR="00736172" w:rsidRPr="006811DE" w:rsidRDefault="00736172" w:rsidP="00736172">
      <w:pPr>
        <w:shd w:val="clear" w:color="auto" w:fill="FFFFFF"/>
        <w:spacing w:before="245"/>
        <w:ind w:left="10" w:right="14"/>
        <w:jc w:val="both"/>
        <w:rPr>
          <w:rFonts w:ascii="Arial" w:hAnsi="Arial" w:cs="Arial"/>
        </w:rPr>
      </w:pPr>
      <w:r w:rsidRPr="006811DE">
        <w:rPr>
          <w:rFonts w:ascii="Arial" w:hAnsi="Arial" w:cs="Arial"/>
        </w:rPr>
        <w:t xml:space="preserve">Out-of-pocket health expenditure variable is constructed by adding up payments paid by individuals at </w:t>
      </w:r>
      <w:r>
        <w:rPr>
          <w:rFonts w:ascii="Arial" w:hAnsi="Arial" w:cs="Arial"/>
        </w:rPr>
        <w:t xml:space="preserve">the time of accessing health services for </w:t>
      </w:r>
      <w:r w:rsidRPr="006811DE">
        <w:rPr>
          <w:rFonts w:ascii="Arial" w:hAnsi="Arial" w:cs="Arial"/>
        </w:rPr>
        <w:t>outpatient consultation</w:t>
      </w:r>
      <w:r>
        <w:rPr>
          <w:rFonts w:ascii="Arial" w:hAnsi="Arial" w:cs="Arial"/>
        </w:rPr>
        <w:t>s</w:t>
      </w:r>
      <w:r w:rsidRPr="006811DE">
        <w:rPr>
          <w:rFonts w:ascii="Arial" w:hAnsi="Arial" w:cs="Arial"/>
        </w:rPr>
        <w:t xml:space="preserve">, dental care, purchases of medicines and drugs, hospital inpatient, ancillary services to support inpatient and ambulatory care and </w:t>
      </w:r>
      <w:r w:rsidR="00F55485">
        <w:rPr>
          <w:rFonts w:ascii="Arial" w:hAnsi="Arial" w:cs="Arial"/>
        </w:rPr>
        <w:t xml:space="preserve">the </w:t>
      </w:r>
      <w:r w:rsidRPr="006811DE">
        <w:rPr>
          <w:rFonts w:ascii="Arial" w:hAnsi="Arial" w:cs="Arial"/>
        </w:rPr>
        <w:t>other medical services. The out of pocket health payments variables are constructed based on expenses reported in the non-food module of the survey.</w:t>
      </w:r>
    </w:p>
    <w:p w14:paraId="1EEF37FB" w14:textId="77777777" w:rsidR="00CD27B6" w:rsidRDefault="00CD27B6" w:rsidP="0055231E">
      <w:pPr>
        <w:pStyle w:val="Caption"/>
        <w:spacing w:after="0"/>
        <w:rPr>
          <w:rFonts w:ascii="Arial" w:hAnsi="Arial" w:cs="Arial"/>
          <w:bCs w:val="0"/>
          <w:sz w:val="23"/>
          <w:szCs w:val="23"/>
        </w:rPr>
      </w:pPr>
    </w:p>
    <w:p w14:paraId="5A435BB1" w14:textId="77777777" w:rsidR="00CE2197" w:rsidRPr="0055231E" w:rsidRDefault="00CE2197" w:rsidP="00CE2197">
      <w:pPr>
        <w:pStyle w:val="Caption"/>
        <w:rPr>
          <w:rFonts w:ascii="Arial" w:hAnsi="Arial" w:cs="Arial"/>
          <w:b w:val="0"/>
          <w:bCs w:val="0"/>
          <w:sz w:val="22"/>
          <w:szCs w:val="22"/>
        </w:rPr>
      </w:pPr>
      <w:bookmarkStart w:id="14" w:name="_Toc310170086"/>
      <w:r w:rsidRPr="0055231E">
        <w:rPr>
          <w:rFonts w:ascii="Arial" w:hAnsi="Arial" w:cs="Arial"/>
          <w:b w:val="0"/>
          <w:bCs w:val="0"/>
          <w:sz w:val="22"/>
          <w:szCs w:val="22"/>
        </w:rPr>
        <w:t xml:space="preserve">Table </w:t>
      </w:r>
      <w:r w:rsidR="00CB191B" w:rsidRPr="0055231E">
        <w:rPr>
          <w:rFonts w:ascii="Arial" w:hAnsi="Arial" w:cs="Arial"/>
          <w:b w:val="0"/>
          <w:bCs w:val="0"/>
          <w:sz w:val="22"/>
          <w:szCs w:val="22"/>
        </w:rPr>
        <w:fldChar w:fldCharType="begin"/>
      </w:r>
      <w:r w:rsidRPr="0055231E">
        <w:rPr>
          <w:rFonts w:ascii="Arial" w:hAnsi="Arial" w:cs="Arial"/>
          <w:b w:val="0"/>
          <w:bCs w:val="0"/>
          <w:sz w:val="22"/>
          <w:szCs w:val="22"/>
        </w:rPr>
        <w:instrText xml:space="preserve"> SEQ Table \* ARABIC </w:instrText>
      </w:r>
      <w:r w:rsidR="00CB191B" w:rsidRPr="0055231E">
        <w:rPr>
          <w:rFonts w:ascii="Arial" w:hAnsi="Arial" w:cs="Arial"/>
          <w:b w:val="0"/>
          <w:bCs w:val="0"/>
          <w:sz w:val="22"/>
          <w:szCs w:val="22"/>
        </w:rPr>
        <w:fldChar w:fldCharType="separate"/>
      </w:r>
      <w:r w:rsidR="00E513DE">
        <w:rPr>
          <w:rFonts w:ascii="Arial" w:hAnsi="Arial" w:cs="Arial"/>
          <w:b w:val="0"/>
          <w:bCs w:val="0"/>
          <w:noProof/>
          <w:sz w:val="22"/>
          <w:szCs w:val="22"/>
        </w:rPr>
        <w:t>3</w:t>
      </w:r>
      <w:r w:rsidR="00CB191B" w:rsidRPr="0055231E">
        <w:rPr>
          <w:rFonts w:ascii="Arial" w:hAnsi="Arial" w:cs="Arial"/>
          <w:b w:val="0"/>
          <w:bCs w:val="0"/>
          <w:sz w:val="22"/>
          <w:szCs w:val="22"/>
        </w:rPr>
        <w:fldChar w:fldCharType="end"/>
      </w:r>
      <w:r w:rsidR="00002A7E" w:rsidRPr="0055231E">
        <w:rPr>
          <w:rFonts w:ascii="Arial" w:hAnsi="Arial" w:cs="Arial"/>
          <w:b w:val="0"/>
          <w:bCs w:val="0"/>
          <w:sz w:val="22"/>
          <w:szCs w:val="22"/>
        </w:rPr>
        <w:t>: V</w:t>
      </w:r>
      <w:r w:rsidRPr="0055231E">
        <w:rPr>
          <w:rFonts w:ascii="Arial" w:hAnsi="Arial" w:cs="Arial"/>
          <w:b w:val="0"/>
          <w:bCs w:val="0"/>
          <w:sz w:val="22"/>
          <w:szCs w:val="22"/>
        </w:rPr>
        <w:t>ariables used for constructing health payments</w:t>
      </w:r>
      <w:bookmarkEnd w:id="14"/>
      <w:r w:rsidRPr="0055231E">
        <w:rPr>
          <w:rFonts w:ascii="Arial" w:hAnsi="Arial" w:cs="Arial"/>
          <w:b w:val="0"/>
          <w:bCs w:val="0"/>
          <w:sz w:val="22"/>
          <w:szCs w:val="22"/>
        </w:rPr>
        <w:t xml:space="preserve"> </w:t>
      </w:r>
    </w:p>
    <w:tbl>
      <w:tblPr>
        <w:tblW w:w="8100" w:type="dxa"/>
        <w:tblInd w:w="108" w:type="dxa"/>
        <w:tblBorders>
          <w:top w:val="single" w:sz="4" w:space="0" w:color="auto"/>
          <w:bottom w:val="single" w:sz="4" w:space="0" w:color="auto"/>
        </w:tblBorders>
        <w:tblLook w:val="04A0" w:firstRow="1" w:lastRow="0" w:firstColumn="1" w:lastColumn="0" w:noHBand="0" w:noVBand="1"/>
      </w:tblPr>
      <w:tblGrid>
        <w:gridCol w:w="2160"/>
        <w:gridCol w:w="5940"/>
      </w:tblGrid>
      <w:tr w:rsidR="00002A7E" w:rsidRPr="00EB6EE0" w14:paraId="36AFC94B" w14:textId="77777777" w:rsidTr="00336474">
        <w:tc>
          <w:tcPr>
            <w:tcW w:w="2160" w:type="dxa"/>
            <w:tcBorders>
              <w:top w:val="single" w:sz="4" w:space="0" w:color="auto"/>
              <w:bottom w:val="single" w:sz="4" w:space="0" w:color="auto"/>
            </w:tcBorders>
          </w:tcPr>
          <w:p w14:paraId="65218864" w14:textId="77777777" w:rsidR="00002A7E" w:rsidRPr="00202300" w:rsidRDefault="00002A7E" w:rsidP="00CE2197">
            <w:pPr>
              <w:rPr>
                <w:rFonts w:ascii="Arial" w:hAnsi="Arial" w:cs="Arial"/>
                <w:b/>
                <w:sz w:val="22"/>
              </w:rPr>
            </w:pPr>
            <w:r w:rsidRPr="00202300">
              <w:rPr>
                <w:rFonts w:ascii="Arial" w:hAnsi="Arial" w:cs="Arial"/>
                <w:b/>
                <w:sz w:val="22"/>
              </w:rPr>
              <w:t>Variable name</w:t>
            </w:r>
          </w:p>
        </w:tc>
        <w:tc>
          <w:tcPr>
            <w:tcW w:w="5940" w:type="dxa"/>
            <w:tcBorders>
              <w:top w:val="single" w:sz="4" w:space="0" w:color="auto"/>
              <w:bottom w:val="single" w:sz="4" w:space="0" w:color="auto"/>
            </w:tcBorders>
          </w:tcPr>
          <w:p w14:paraId="527A3E2B" w14:textId="77777777" w:rsidR="00002A7E" w:rsidRPr="00202300" w:rsidRDefault="00002A7E" w:rsidP="00CE2197">
            <w:pPr>
              <w:rPr>
                <w:rFonts w:ascii="Arial" w:hAnsi="Arial" w:cs="Arial"/>
                <w:b/>
                <w:sz w:val="22"/>
              </w:rPr>
            </w:pPr>
            <w:r w:rsidRPr="00202300">
              <w:rPr>
                <w:rFonts w:ascii="Arial" w:hAnsi="Arial" w:cs="Arial"/>
                <w:b/>
                <w:sz w:val="22"/>
              </w:rPr>
              <w:t xml:space="preserve">Variable description </w:t>
            </w:r>
          </w:p>
        </w:tc>
      </w:tr>
      <w:tr w:rsidR="00002A7E" w:rsidRPr="00EB6EE0" w14:paraId="08045CCF" w14:textId="77777777" w:rsidTr="00336474">
        <w:tc>
          <w:tcPr>
            <w:tcW w:w="2160" w:type="dxa"/>
            <w:tcBorders>
              <w:top w:val="single" w:sz="4" w:space="0" w:color="auto"/>
            </w:tcBorders>
          </w:tcPr>
          <w:p w14:paraId="10CA1BA4" w14:textId="77777777" w:rsidR="00002A7E" w:rsidRPr="00202300" w:rsidRDefault="00372505" w:rsidP="00CE2197">
            <w:pPr>
              <w:rPr>
                <w:rFonts w:ascii="Arial" w:hAnsi="Arial" w:cs="Arial"/>
                <w:sz w:val="22"/>
              </w:rPr>
            </w:pPr>
            <w:proofErr w:type="spellStart"/>
            <w:proofErr w:type="gramStart"/>
            <w:r w:rsidRPr="00202300">
              <w:rPr>
                <w:rFonts w:ascii="Arial" w:hAnsi="Arial" w:cs="Arial"/>
                <w:sz w:val="22"/>
              </w:rPr>
              <w:t>o</w:t>
            </w:r>
            <w:r w:rsidR="00002A7E" w:rsidRPr="00202300">
              <w:rPr>
                <w:rFonts w:ascii="Arial" w:hAnsi="Arial" w:cs="Arial"/>
                <w:sz w:val="22"/>
              </w:rPr>
              <w:t>op</w:t>
            </w:r>
            <w:proofErr w:type="gramEnd"/>
            <w:r w:rsidR="00002A7E" w:rsidRPr="00202300">
              <w:rPr>
                <w:rFonts w:ascii="Arial" w:hAnsi="Arial" w:cs="Arial"/>
                <w:sz w:val="22"/>
              </w:rPr>
              <w:t>_med</w:t>
            </w:r>
            <w:proofErr w:type="spellEnd"/>
            <w:r w:rsidR="00002A7E" w:rsidRPr="00202300">
              <w:rPr>
                <w:rFonts w:ascii="Arial" w:hAnsi="Arial" w:cs="Arial"/>
                <w:sz w:val="22"/>
              </w:rPr>
              <w:t xml:space="preserve"> </w:t>
            </w:r>
          </w:p>
        </w:tc>
        <w:tc>
          <w:tcPr>
            <w:tcW w:w="5940" w:type="dxa"/>
            <w:tcBorders>
              <w:top w:val="single" w:sz="4" w:space="0" w:color="auto"/>
            </w:tcBorders>
          </w:tcPr>
          <w:p w14:paraId="34930A71" w14:textId="77777777" w:rsidR="00002A7E" w:rsidRPr="00202300" w:rsidRDefault="00002A7E" w:rsidP="0072485E">
            <w:pPr>
              <w:rPr>
                <w:rFonts w:ascii="Arial" w:hAnsi="Arial" w:cs="Arial"/>
                <w:sz w:val="22"/>
              </w:rPr>
            </w:pPr>
            <w:r w:rsidRPr="00202300">
              <w:rPr>
                <w:rFonts w:ascii="Arial" w:hAnsi="Arial" w:cs="Arial"/>
                <w:sz w:val="22"/>
              </w:rPr>
              <w:t>OOP on medicines</w:t>
            </w:r>
            <w:r w:rsidR="00664370" w:rsidRPr="00202300">
              <w:rPr>
                <w:rFonts w:ascii="Arial" w:hAnsi="Arial" w:cs="Arial"/>
                <w:sz w:val="22"/>
              </w:rPr>
              <w:t xml:space="preserve"> (</w:t>
            </w:r>
            <w:r w:rsidR="0072485E" w:rsidRPr="00202300">
              <w:rPr>
                <w:rFonts w:ascii="Arial" w:hAnsi="Arial"/>
                <w:color w:val="000000"/>
                <w:sz w:val="22"/>
              </w:rPr>
              <w:t>drugs</w:t>
            </w:r>
            <w:r w:rsidR="00664370" w:rsidRPr="00202300">
              <w:rPr>
                <w:rFonts w:ascii="Arial" w:hAnsi="Arial"/>
                <w:color w:val="000000"/>
                <w:sz w:val="22"/>
              </w:rPr>
              <w:t xml:space="preserve">, </w:t>
            </w:r>
            <w:r w:rsidR="0072485E" w:rsidRPr="00202300">
              <w:rPr>
                <w:rFonts w:ascii="Arial" w:hAnsi="Arial"/>
                <w:color w:val="000000"/>
                <w:sz w:val="22"/>
              </w:rPr>
              <w:t>medicines, vitamins, medical supplies including condoms, thermometer, syringe IVUs</w:t>
            </w:r>
            <w:r w:rsidR="00664370" w:rsidRPr="00202300">
              <w:rPr>
                <w:rFonts w:ascii="Arial" w:hAnsi="Arial"/>
                <w:color w:val="000000"/>
                <w:sz w:val="22"/>
              </w:rPr>
              <w:t>,</w:t>
            </w:r>
            <w:r w:rsidR="00202300" w:rsidRPr="00202300">
              <w:rPr>
                <w:rFonts w:ascii="Arial" w:hAnsi="Arial"/>
                <w:color w:val="000000"/>
                <w:sz w:val="22"/>
              </w:rPr>
              <w:t xml:space="preserve"> wound lent etc.</w:t>
            </w:r>
            <w:r w:rsidR="00664370" w:rsidRPr="00202300">
              <w:rPr>
                <w:rFonts w:ascii="Arial" w:hAnsi="Arial"/>
                <w:color w:val="000000"/>
                <w:sz w:val="22"/>
              </w:rPr>
              <w:t>)</w:t>
            </w:r>
          </w:p>
        </w:tc>
      </w:tr>
      <w:tr w:rsidR="00002A7E" w:rsidRPr="00EB6EE0" w14:paraId="4FA68BEF" w14:textId="77777777" w:rsidTr="00336474">
        <w:tc>
          <w:tcPr>
            <w:tcW w:w="2160" w:type="dxa"/>
          </w:tcPr>
          <w:p w14:paraId="2A6916D1" w14:textId="77777777" w:rsidR="00002A7E" w:rsidRPr="00202300" w:rsidRDefault="00372505" w:rsidP="00CE2197">
            <w:pPr>
              <w:rPr>
                <w:rFonts w:ascii="Arial" w:hAnsi="Arial" w:cs="Arial"/>
                <w:sz w:val="22"/>
              </w:rPr>
            </w:pPr>
            <w:proofErr w:type="spellStart"/>
            <w:proofErr w:type="gramStart"/>
            <w:r w:rsidRPr="00202300">
              <w:rPr>
                <w:rFonts w:ascii="Arial" w:hAnsi="Arial" w:cs="Arial"/>
                <w:sz w:val="22"/>
              </w:rPr>
              <w:t>o</w:t>
            </w:r>
            <w:r w:rsidR="00002A7E" w:rsidRPr="00202300">
              <w:rPr>
                <w:rFonts w:ascii="Arial" w:hAnsi="Arial" w:cs="Arial"/>
                <w:sz w:val="22"/>
              </w:rPr>
              <w:t>op</w:t>
            </w:r>
            <w:proofErr w:type="gramEnd"/>
            <w:r w:rsidR="00002A7E" w:rsidRPr="00202300">
              <w:rPr>
                <w:rFonts w:ascii="Arial" w:hAnsi="Arial" w:cs="Arial"/>
                <w:sz w:val="22"/>
              </w:rPr>
              <w:t>_disp</w:t>
            </w:r>
            <w:proofErr w:type="spellEnd"/>
            <w:r w:rsidR="00002A7E" w:rsidRPr="00202300">
              <w:rPr>
                <w:rFonts w:ascii="Arial" w:hAnsi="Arial" w:cs="Arial"/>
                <w:sz w:val="22"/>
              </w:rPr>
              <w:t xml:space="preserve"> </w:t>
            </w:r>
          </w:p>
        </w:tc>
        <w:tc>
          <w:tcPr>
            <w:tcW w:w="5940" w:type="dxa"/>
          </w:tcPr>
          <w:p w14:paraId="1C9D0A73" w14:textId="77777777" w:rsidR="00002A7E" w:rsidRPr="00202300" w:rsidRDefault="00002A7E" w:rsidP="0072485E">
            <w:pPr>
              <w:rPr>
                <w:rFonts w:ascii="Arial" w:hAnsi="Arial" w:cs="Arial"/>
                <w:sz w:val="22"/>
              </w:rPr>
            </w:pPr>
            <w:r w:rsidRPr="00202300">
              <w:rPr>
                <w:rFonts w:ascii="Arial" w:hAnsi="Arial" w:cs="Arial"/>
                <w:sz w:val="22"/>
              </w:rPr>
              <w:t>OOP on consultations</w:t>
            </w:r>
            <w:r w:rsidR="00664370" w:rsidRPr="00202300">
              <w:rPr>
                <w:rFonts w:ascii="Arial" w:hAnsi="Arial" w:cs="Arial"/>
                <w:sz w:val="22"/>
              </w:rPr>
              <w:t xml:space="preserve"> </w:t>
            </w:r>
          </w:p>
        </w:tc>
      </w:tr>
      <w:tr w:rsidR="00002A7E" w:rsidRPr="00EB6EE0" w14:paraId="60519B79" w14:textId="77777777" w:rsidTr="00336474">
        <w:tc>
          <w:tcPr>
            <w:tcW w:w="2160" w:type="dxa"/>
          </w:tcPr>
          <w:p w14:paraId="43532578" w14:textId="77777777" w:rsidR="00002A7E" w:rsidRPr="00202300" w:rsidRDefault="00372505" w:rsidP="00CE2197">
            <w:pPr>
              <w:rPr>
                <w:rFonts w:ascii="Arial" w:hAnsi="Arial" w:cs="Arial"/>
                <w:sz w:val="22"/>
              </w:rPr>
            </w:pPr>
            <w:proofErr w:type="spellStart"/>
            <w:proofErr w:type="gramStart"/>
            <w:r w:rsidRPr="00202300">
              <w:rPr>
                <w:rFonts w:ascii="Arial" w:hAnsi="Arial" w:cs="Arial"/>
                <w:sz w:val="22"/>
              </w:rPr>
              <w:t>o</w:t>
            </w:r>
            <w:r w:rsidR="00002A7E" w:rsidRPr="00202300">
              <w:rPr>
                <w:rFonts w:ascii="Arial" w:hAnsi="Arial" w:cs="Arial"/>
                <w:sz w:val="22"/>
              </w:rPr>
              <w:t>op</w:t>
            </w:r>
            <w:proofErr w:type="gramEnd"/>
            <w:r w:rsidR="00002A7E" w:rsidRPr="00202300">
              <w:rPr>
                <w:rFonts w:ascii="Arial" w:hAnsi="Arial" w:cs="Arial"/>
                <w:sz w:val="22"/>
              </w:rPr>
              <w:t>_dent</w:t>
            </w:r>
            <w:proofErr w:type="spellEnd"/>
            <w:r w:rsidR="00002A7E" w:rsidRPr="00202300">
              <w:rPr>
                <w:rFonts w:ascii="Arial" w:hAnsi="Arial" w:cs="Arial"/>
                <w:sz w:val="22"/>
              </w:rPr>
              <w:t xml:space="preserve"> </w:t>
            </w:r>
          </w:p>
        </w:tc>
        <w:tc>
          <w:tcPr>
            <w:tcW w:w="5940" w:type="dxa"/>
          </w:tcPr>
          <w:p w14:paraId="67D137AB" w14:textId="77777777" w:rsidR="00002A7E" w:rsidRPr="00202300" w:rsidRDefault="00002A7E" w:rsidP="0072485E">
            <w:pPr>
              <w:rPr>
                <w:rFonts w:ascii="Arial" w:hAnsi="Arial" w:cs="Arial"/>
                <w:sz w:val="22"/>
              </w:rPr>
            </w:pPr>
            <w:r w:rsidRPr="00202300">
              <w:rPr>
                <w:rFonts w:ascii="Arial" w:hAnsi="Arial" w:cs="Arial"/>
                <w:sz w:val="22"/>
              </w:rPr>
              <w:t>OOP on dental care</w:t>
            </w:r>
            <w:r w:rsidR="00664370" w:rsidRPr="00202300">
              <w:rPr>
                <w:rFonts w:ascii="Arial" w:hAnsi="Arial" w:cs="Arial"/>
                <w:sz w:val="22"/>
              </w:rPr>
              <w:t xml:space="preserve"> </w:t>
            </w:r>
          </w:p>
        </w:tc>
      </w:tr>
      <w:tr w:rsidR="00002A7E" w:rsidRPr="00EB6EE0" w14:paraId="691FBCA0" w14:textId="77777777" w:rsidTr="00336474">
        <w:tc>
          <w:tcPr>
            <w:tcW w:w="2160" w:type="dxa"/>
          </w:tcPr>
          <w:p w14:paraId="35C65091" w14:textId="77777777" w:rsidR="00002A7E" w:rsidRPr="00202300" w:rsidRDefault="00372505" w:rsidP="00CE2197">
            <w:pPr>
              <w:rPr>
                <w:rFonts w:ascii="Arial" w:hAnsi="Arial" w:cs="Arial"/>
                <w:sz w:val="22"/>
              </w:rPr>
            </w:pPr>
            <w:proofErr w:type="spellStart"/>
            <w:proofErr w:type="gramStart"/>
            <w:r w:rsidRPr="00202300">
              <w:rPr>
                <w:rFonts w:ascii="Arial" w:hAnsi="Arial" w:cs="Arial"/>
                <w:sz w:val="22"/>
              </w:rPr>
              <w:t>o</w:t>
            </w:r>
            <w:r w:rsidR="00002A7E" w:rsidRPr="00202300">
              <w:rPr>
                <w:rFonts w:ascii="Arial" w:hAnsi="Arial" w:cs="Arial"/>
                <w:sz w:val="22"/>
              </w:rPr>
              <w:t>op</w:t>
            </w:r>
            <w:proofErr w:type="gramEnd"/>
            <w:r w:rsidR="00002A7E" w:rsidRPr="00202300">
              <w:rPr>
                <w:rFonts w:ascii="Arial" w:hAnsi="Arial" w:cs="Arial"/>
                <w:sz w:val="22"/>
              </w:rPr>
              <w:t>_hosp</w:t>
            </w:r>
            <w:proofErr w:type="spellEnd"/>
            <w:r w:rsidR="00002A7E" w:rsidRPr="00202300">
              <w:rPr>
                <w:rFonts w:ascii="Arial" w:hAnsi="Arial" w:cs="Arial"/>
                <w:sz w:val="22"/>
              </w:rPr>
              <w:t xml:space="preserve"> </w:t>
            </w:r>
          </w:p>
        </w:tc>
        <w:tc>
          <w:tcPr>
            <w:tcW w:w="5940" w:type="dxa"/>
          </w:tcPr>
          <w:p w14:paraId="140D9BD3" w14:textId="77777777" w:rsidR="00002A7E" w:rsidRPr="00202300" w:rsidRDefault="00002A7E" w:rsidP="0072485E">
            <w:pPr>
              <w:rPr>
                <w:rFonts w:ascii="Arial" w:hAnsi="Arial" w:cs="Arial"/>
                <w:sz w:val="22"/>
              </w:rPr>
            </w:pPr>
            <w:r w:rsidRPr="00202300">
              <w:rPr>
                <w:rFonts w:ascii="Arial" w:hAnsi="Arial" w:cs="Arial"/>
                <w:sz w:val="22"/>
              </w:rPr>
              <w:t>OOP on hospitalization</w:t>
            </w:r>
            <w:r w:rsidR="00664370" w:rsidRPr="00202300">
              <w:rPr>
                <w:rFonts w:ascii="Arial" w:hAnsi="Arial" w:cs="Arial"/>
                <w:sz w:val="22"/>
              </w:rPr>
              <w:t xml:space="preserve"> </w:t>
            </w:r>
          </w:p>
        </w:tc>
      </w:tr>
      <w:tr w:rsidR="00372505" w:rsidRPr="00EB6EE0" w14:paraId="2E4723AA" w14:textId="77777777" w:rsidTr="00336474">
        <w:tc>
          <w:tcPr>
            <w:tcW w:w="2160" w:type="dxa"/>
          </w:tcPr>
          <w:p w14:paraId="01943134" w14:textId="77777777" w:rsidR="00372505" w:rsidRPr="00202300" w:rsidRDefault="00372505" w:rsidP="00CE2197">
            <w:pPr>
              <w:rPr>
                <w:rFonts w:ascii="Arial" w:hAnsi="Arial" w:cs="Arial"/>
                <w:sz w:val="22"/>
              </w:rPr>
            </w:pPr>
            <w:proofErr w:type="spellStart"/>
            <w:proofErr w:type="gramStart"/>
            <w:r w:rsidRPr="00202300">
              <w:rPr>
                <w:rFonts w:ascii="Arial" w:hAnsi="Arial" w:cs="Arial"/>
                <w:sz w:val="22"/>
              </w:rPr>
              <w:t>oop</w:t>
            </w:r>
            <w:proofErr w:type="gramEnd"/>
            <w:r w:rsidRPr="00202300">
              <w:rPr>
                <w:rFonts w:ascii="Arial" w:hAnsi="Arial" w:cs="Arial"/>
                <w:sz w:val="22"/>
              </w:rPr>
              <w:t>_ancil</w:t>
            </w:r>
            <w:proofErr w:type="spellEnd"/>
          </w:p>
        </w:tc>
        <w:tc>
          <w:tcPr>
            <w:tcW w:w="5940" w:type="dxa"/>
          </w:tcPr>
          <w:p w14:paraId="2D303AA9" w14:textId="77777777" w:rsidR="00372505" w:rsidRPr="00202300" w:rsidRDefault="00372505" w:rsidP="0072485E">
            <w:pPr>
              <w:rPr>
                <w:rFonts w:ascii="Arial" w:hAnsi="Arial" w:cs="Arial"/>
                <w:sz w:val="22"/>
              </w:rPr>
            </w:pPr>
            <w:r w:rsidRPr="00202300">
              <w:rPr>
                <w:rFonts w:ascii="Arial" w:hAnsi="Arial" w:cs="Arial"/>
                <w:sz w:val="22"/>
              </w:rPr>
              <w:t>OOP on ancillary services</w:t>
            </w:r>
            <w:r w:rsidR="00664370" w:rsidRPr="00202300">
              <w:rPr>
                <w:rFonts w:ascii="Arial" w:hAnsi="Arial" w:cs="Arial"/>
                <w:sz w:val="22"/>
              </w:rPr>
              <w:t xml:space="preserve"> </w:t>
            </w:r>
            <w:r w:rsidR="0072485E" w:rsidRPr="00202300">
              <w:rPr>
                <w:rFonts w:ascii="Arial" w:hAnsi="Arial"/>
                <w:color w:val="000000"/>
                <w:sz w:val="22"/>
              </w:rPr>
              <w:t>(injection, diagnostic imaging, laboratory tests etc.)</w:t>
            </w:r>
          </w:p>
        </w:tc>
      </w:tr>
      <w:tr w:rsidR="00002A7E" w:rsidRPr="00EB6EE0" w14:paraId="36F18B7C" w14:textId="77777777" w:rsidTr="00336474">
        <w:tc>
          <w:tcPr>
            <w:tcW w:w="2160" w:type="dxa"/>
          </w:tcPr>
          <w:p w14:paraId="7A2FED8F" w14:textId="77777777" w:rsidR="00002A7E" w:rsidRPr="00202300" w:rsidRDefault="00372505" w:rsidP="00CE2197">
            <w:pPr>
              <w:rPr>
                <w:rFonts w:ascii="Arial" w:hAnsi="Arial" w:cs="Arial"/>
                <w:sz w:val="22"/>
              </w:rPr>
            </w:pPr>
            <w:proofErr w:type="spellStart"/>
            <w:proofErr w:type="gramStart"/>
            <w:r w:rsidRPr="00202300">
              <w:rPr>
                <w:rFonts w:ascii="Arial" w:hAnsi="Arial" w:cs="Arial"/>
                <w:sz w:val="22"/>
              </w:rPr>
              <w:lastRenderedPageBreak/>
              <w:t>o</w:t>
            </w:r>
            <w:r w:rsidR="00002A7E" w:rsidRPr="00202300">
              <w:rPr>
                <w:rFonts w:ascii="Arial" w:hAnsi="Arial" w:cs="Arial"/>
                <w:sz w:val="22"/>
              </w:rPr>
              <w:t>op</w:t>
            </w:r>
            <w:proofErr w:type="gramEnd"/>
            <w:r w:rsidR="00002A7E" w:rsidRPr="00202300">
              <w:rPr>
                <w:rFonts w:ascii="Arial" w:hAnsi="Arial" w:cs="Arial"/>
                <w:sz w:val="22"/>
              </w:rPr>
              <w:t>_othheal</w:t>
            </w:r>
            <w:proofErr w:type="spellEnd"/>
            <w:r w:rsidR="00002A7E" w:rsidRPr="00202300">
              <w:rPr>
                <w:rFonts w:ascii="Arial" w:hAnsi="Arial" w:cs="Arial"/>
                <w:sz w:val="22"/>
              </w:rPr>
              <w:t xml:space="preserve"> </w:t>
            </w:r>
          </w:p>
        </w:tc>
        <w:tc>
          <w:tcPr>
            <w:tcW w:w="5940" w:type="dxa"/>
          </w:tcPr>
          <w:p w14:paraId="1BB9835F" w14:textId="77777777" w:rsidR="00002A7E" w:rsidRPr="00202300" w:rsidRDefault="00372505" w:rsidP="0072485E">
            <w:pPr>
              <w:rPr>
                <w:rFonts w:ascii="Arial" w:hAnsi="Arial" w:cs="Arial"/>
                <w:sz w:val="22"/>
                <w:lang w:val="mn-MN"/>
              </w:rPr>
            </w:pPr>
            <w:r w:rsidRPr="00202300">
              <w:rPr>
                <w:rFonts w:ascii="Arial" w:hAnsi="Arial" w:cs="Arial"/>
                <w:sz w:val="22"/>
                <w:lang w:val="mn-MN"/>
              </w:rPr>
              <w:t>OOP on o</w:t>
            </w:r>
            <w:r w:rsidR="00002A7E" w:rsidRPr="00202300">
              <w:rPr>
                <w:rFonts w:ascii="Arial" w:hAnsi="Arial" w:cs="Arial"/>
                <w:sz w:val="22"/>
                <w:lang w:val="mn-MN"/>
              </w:rPr>
              <w:t>ther medical services</w:t>
            </w:r>
            <w:r w:rsidR="0072485E" w:rsidRPr="00202300">
              <w:rPr>
                <w:rFonts w:ascii="Arial" w:hAnsi="Arial" w:cs="Arial"/>
                <w:sz w:val="22"/>
                <w:lang w:val="mn-MN"/>
              </w:rPr>
              <w:t xml:space="preserve"> (</w:t>
            </w:r>
            <w:r w:rsidR="0072485E" w:rsidRPr="00202300">
              <w:rPr>
                <w:rFonts w:ascii="Arial" w:hAnsi="Arial"/>
                <w:color w:val="000000"/>
                <w:sz w:val="22"/>
              </w:rPr>
              <w:t>optic glass, lens, hearing aid, orthopedics etc.)</w:t>
            </w:r>
          </w:p>
        </w:tc>
      </w:tr>
    </w:tbl>
    <w:p w14:paraId="7EC452C7" w14:textId="77777777" w:rsidR="000C6C78" w:rsidRDefault="000C6C78" w:rsidP="00BE1FF8">
      <w:pPr>
        <w:rPr>
          <w:rFonts w:ascii="Arial" w:hAnsi="Arial" w:cs="Arial"/>
          <w:b/>
          <w:sz w:val="22"/>
          <w:szCs w:val="22"/>
          <w:lang w:val="en-GB"/>
        </w:rPr>
      </w:pPr>
    </w:p>
    <w:p w14:paraId="71DD6C9D" w14:textId="77777777" w:rsidR="003522D3" w:rsidRDefault="003522D3" w:rsidP="00BE1FF8">
      <w:pPr>
        <w:rPr>
          <w:rFonts w:ascii="Arial" w:hAnsi="Arial" w:cs="Arial"/>
          <w:b/>
          <w:sz w:val="22"/>
          <w:szCs w:val="22"/>
          <w:lang w:val="en-GB"/>
        </w:rPr>
      </w:pPr>
    </w:p>
    <w:p w14:paraId="55685F03" w14:textId="77777777" w:rsidR="003522D3" w:rsidRDefault="003522D3" w:rsidP="00BE1FF8">
      <w:pPr>
        <w:rPr>
          <w:rFonts w:ascii="Arial" w:hAnsi="Arial" w:cs="Arial"/>
          <w:b/>
          <w:sz w:val="22"/>
          <w:szCs w:val="22"/>
          <w:lang w:val="en-GB"/>
        </w:rPr>
      </w:pPr>
    </w:p>
    <w:p w14:paraId="4CA8A842" w14:textId="77777777" w:rsidR="00E6793B" w:rsidRPr="00E6793B" w:rsidRDefault="00E6793B" w:rsidP="00BE1FF8">
      <w:pPr>
        <w:rPr>
          <w:rFonts w:ascii="Arial" w:hAnsi="Arial" w:cs="Arial"/>
          <w:b/>
          <w:sz w:val="22"/>
          <w:szCs w:val="22"/>
          <w:lang w:val="en-GB"/>
        </w:rPr>
      </w:pPr>
      <w:r w:rsidRPr="00E6793B">
        <w:rPr>
          <w:rFonts w:ascii="Arial" w:hAnsi="Arial" w:cs="Arial"/>
          <w:b/>
          <w:sz w:val="22"/>
          <w:szCs w:val="22"/>
          <w:lang w:val="en-GB"/>
        </w:rPr>
        <w:t>Health services utilization</w:t>
      </w:r>
    </w:p>
    <w:p w14:paraId="7D4BD180" w14:textId="77777777" w:rsidR="00E6793B" w:rsidRDefault="00E6793B" w:rsidP="00BE1FF8">
      <w:pPr>
        <w:rPr>
          <w:lang w:val="en-GB"/>
        </w:rPr>
      </w:pPr>
    </w:p>
    <w:p w14:paraId="60B1206C" w14:textId="77777777" w:rsidR="00D32CE6" w:rsidRDefault="00D32CE6" w:rsidP="00D32CE6">
      <w:pPr>
        <w:jc w:val="both"/>
        <w:rPr>
          <w:rFonts w:ascii="Arial" w:hAnsi="Arial" w:cs="Arial"/>
          <w:lang w:val="en-GB"/>
        </w:rPr>
      </w:pPr>
      <w:r w:rsidRPr="00D32CE6">
        <w:rPr>
          <w:rFonts w:ascii="Arial" w:hAnsi="Arial" w:cs="Arial"/>
          <w:lang w:val="en-GB"/>
        </w:rPr>
        <w:t>The construction of health services utilization variable involved using the Health module of the HSES</w:t>
      </w:r>
      <w:r w:rsidR="00BF7FDA">
        <w:rPr>
          <w:rFonts w:ascii="Arial" w:hAnsi="Arial" w:cs="Arial"/>
          <w:lang w:val="en-GB"/>
        </w:rPr>
        <w:t>s</w:t>
      </w:r>
      <w:r w:rsidRPr="00D32CE6">
        <w:rPr>
          <w:rFonts w:ascii="Arial" w:hAnsi="Arial" w:cs="Arial"/>
          <w:lang w:val="en-GB"/>
        </w:rPr>
        <w:t>.</w:t>
      </w:r>
      <w:r>
        <w:rPr>
          <w:rFonts w:ascii="Arial" w:hAnsi="Arial" w:cs="Arial"/>
          <w:lang w:val="en-GB"/>
        </w:rPr>
        <w:t xml:space="preserve"> The survey instruments show that health services utilization of outpatient health services and inpatient stays were captured in the household survey. The household survey lacks service utilization information on other health services such as diagnostics and medicine. </w:t>
      </w:r>
    </w:p>
    <w:p w14:paraId="0635B212" w14:textId="77777777" w:rsidR="00E27CAF" w:rsidRDefault="00E27CAF" w:rsidP="00D32CE6">
      <w:pPr>
        <w:jc w:val="both"/>
        <w:rPr>
          <w:rFonts w:ascii="Arial" w:hAnsi="Arial" w:cs="Arial"/>
          <w:lang w:val="en-GB"/>
        </w:rPr>
      </w:pPr>
    </w:p>
    <w:p w14:paraId="54FD000E" w14:textId="29F54599" w:rsidR="00E27CAF" w:rsidRPr="00D32CE6" w:rsidRDefault="00E27CAF" w:rsidP="00D32CE6">
      <w:pPr>
        <w:jc w:val="both"/>
        <w:rPr>
          <w:rFonts w:ascii="Arial" w:hAnsi="Arial" w:cs="Arial"/>
          <w:lang w:val="en-GB"/>
        </w:rPr>
      </w:pPr>
      <w:proofErr w:type="gramStart"/>
      <w:r>
        <w:rPr>
          <w:rFonts w:ascii="Arial" w:hAnsi="Arial" w:cs="Arial"/>
          <w:lang w:val="en-GB"/>
        </w:rPr>
        <w:t xml:space="preserve">The </w:t>
      </w:r>
      <w:r w:rsidR="0016652F">
        <w:rPr>
          <w:rFonts w:ascii="Arial" w:hAnsi="Arial" w:cs="Arial"/>
          <w:lang w:val="en-GB"/>
        </w:rPr>
        <w:t>utilization variables are based on self-reported uses of health care services due to reported illness by household members</w:t>
      </w:r>
      <w:proofErr w:type="gramEnd"/>
      <w:r w:rsidR="0016652F">
        <w:rPr>
          <w:rFonts w:ascii="Arial" w:hAnsi="Arial" w:cs="Arial"/>
          <w:lang w:val="en-GB"/>
        </w:rPr>
        <w:t xml:space="preserve">. It does not capture other types of health services utilization including scheduled antenatal care and home visits </w:t>
      </w:r>
      <w:r w:rsidR="00F55485">
        <w:rPr>
          <w:rFonts w:ascii="Arial" w:hAnsi="Arial" w:cs="Arial"/>
          <w:lang w:val="en-GB"/>
        </w:rPr>
        <w:t>by</w:t>
      </w:r>
      <w:r w:rsidR="0016652F">
        <w:rPr>
          <w:rFonts w:ascii="Arial" w:hAnsi="Arial" w:cs="Arial"/>
          <w:lang w:val="en-GB"/>
        </w:rPr>
        <w:t xml:space="preserve"> primary health care practitioners</w:t>
      </w:r>
      <w:r w:rsidR="00F55485">
        <w:rPr>
          <w:rFonts w:ascii="Arial" w:hAnsi="Arial" w:cs="Arial"/>
          <w:lang w:val="en-GB"/>
        </w:rPr>
        <w:t xml:space="preserve"> to households</w:t>
      </w:r>
      <w:r w:rsidR="0016652F">
        <w:rPr>
          <w:rFonts w:ascii="Arial" w:hAnsi="Arial" w:cs="Arial"/>
          <w:lang w:val="en-GB"/>
        </w:rPr>
        <w:t>.</w:t>
      </w:r>
    </w:p>
    <w:p w14:paraId="08F7F6AD" w14:textId="77777777" w:rsidR="00D32CE6" w:rsidRDefault="00D32CE6" w:rsidP="00BE1FF8">
      <w:pPr>
        <w:rPr>
          <w:lang w:val="en-GB"/>
        </w:rPr>
      </w:pPr>
    </w:p>
    <w:p w14:paraId="2BBEF94E" w14:textId="77777777" w:rsidR="00736172" w:rsidRPr="0055231E" w:rsidRDefault="00736172" w:rsidP="00736172">
      <w:pPr>
        <w:pStyle w:val="Caption"/>
        <w:rPr>
          <w:rFonts w:ascii="Arial" w:hAnsi="Arial" w:cs="Arial"/>
          <w:b w:val="0"/>
          <w:bCs w:val="0"/>
          <w:sz w:val="22"/>
          <w:szCs w:val="22"/>
        </w:rPr>
      </w:pPr>
      <w:bookmarkStart w:id="15" w:name="_Toc310170087"/>
      <w:r w:rsidRPr="0055231E">
        <w:rPr>
          <w:rFonts w:ascii="Arial" w:hAnsi="Arial" w:cs="Arial"/>
          <w:b w:val="0"/>
          <w:bCs w:val="0"/>
          <w:sz w:val="22"/>
          <w:szCs w:val="22"/>
        </w:rPr>
        <w:t xml:space="preserve">Table </w:t>
      </w:r>
      <w:r w:rsidR="00CB191B" w:rsidRPr="0055231E">
        <w:rPr>
          <w:rFonts w:ascii="Arial" w:hAnsi="Arial" w:cs="Arial"/>
          <w:b w:val="0"/>
          <w:bCs w:val="0"/>
          <w:sz w:val="22"/>
          <w:szCs w:val="22"/>
        </w:rPr>
        <w:fldChar w:fldCharType="begin"/>
      </w:r>
      <w:r w:rsidRPr="0055231E">
        <w:rPr>
          <w:rFonts w:ascii="Arial" w:hAnsi="Arial" w:cs="Arial"/>
          <w:b w:val="0"/>
          <w:bCs w:val="0"/>
          <w:sz w:val="22"/>
          <w:szCs w:val="22"/>
        </w:rPr>
        <w:instrText xml:space="preserve"> SEQ Table \* ARABIC </w:instrText>
      </w:r>
      <w:r w:rsidR="00CB191B" w:rsidRPr="0055231E">
        <w:rPr>
          <w:rFonts w:ascii="Arial" w:hAnsi="Arial" w:cs="Arial"/>
          <w:b w:val="0"/>
          <w:bCs w:val="0"/>
          <w:sz w:val="22"/>
          <w:szCs w:val="22"/>
        </w:rPr>
        <w:fldChar w:fldCharType="separate"/>
      </w:r>
      <w:r w:rsidR="00E513DE">
        <w:rPr>
          <w:rFonts w:ascii="Arial" w:hAnsi="Arial" w:cs="Arial"/>
          <w:b w:val="0"/>
          <w:bCs w:val="0"/>
          <w:noProof/>
          <w:sz w:val="22"/>
          <w:szCs w:val="22"/>
        </w:rPr>
        <w:t>4</w:t>
      </w:r>
      <w:r w:rsidR="00CB191B" w:rsidRPr="0055231E">
        <w:rPr>
          <w:rFonts w:ascii="Arial" w:hAnsi="Arial" w:cs="Arial"/>
          <w:b w:val="0"/>
          <w:bCs w:val="0"/>
          <w:sz w:val="22"/>
          <w:szCs w:val="22"/>
        </w:rPr>
        <w:fldChar w:fldCharType="end"/>
      </w:r>
      <w:r w:rsidRPr="0055231E">
        <w:rPr>
          <w:rFonts w:ascii="Arial" w:hAnsi="Arial" w:cs="Arial"/>
          <w:b w:val="0"/>
          <w:bCs w:val="0"/>
          <w:sz w:val="22"/>
          <w:szCs w:val="22"/>
        </w:rPr>
        <w:t>: Variables used for constructing health services utilization</w:t>
      </w:r>
      <w:bookmarkEnd w:id="15"/>
      <w:r w:rsidRPr="0055231E">
        <w:rPr>
          <w:rFonts w:ascii="Arial" w:hAnsi="Arial" w:cs="Arial"/>
          <w:b w:val="0"/>
          <w:bCs w:val="0"/>
          <w:sz w:val="22"/>
          <w:szCs w:val="22"/>
        </w:rPr>
        <w:t xml:space="preserve"> </w:t>
      </w:r>
    </w:p>
    <w:tbl>
      <w:tblPr>
        <w:tblW w:w="8375" w:type="dxa"/>
        <w:tblInd w:w="103" w:type="dxa"/>
        <w:tblLook w:val="04A0" w:firstRow="1" w:lastRow="0" w:firstColumn="1" w:lastColumn="0" w:noHBand="0" w:noVBand="1"/>
      </w:tblPr>
      <w:tblGrid>
        <w:gridCol w:w="2075"/>
        <w:gridCol w:w="6300"/>
      </w:tblGrid>
      <w:tr w:rsidR="00736172" w:rsidRPr="00200618" w14:paraId="0D090DA4" w14:textId="77777777" w:rsidTr="00005716">
        <w:trPr>
          <w:trHeight w:val="255"/>
        </w:trPr>
        <w:tc>
          <w:tcPr>
            <w:tcW w:w="2075" w:type="dxa"/>
            <w:tcBorders>
              <w:top w:val="single" w:sz="4" w:space="0" w:color="auto"/>
              <w:bottom w:val="single" w:sz="4" w:space="0" w:color="auto"/>
            </w:tcBorders>
            <w:shd w:val="clear" w:color="auto" w:fill="auto"/>
            <w:noWrap/>
            <w:hideMark/>
          </w:tcPr>
          <w:p w14:paraId="586EF07D" w14:textId="77777777" w:rsidR="00736172" w:rsidRPr="00FD4069" w:rsidRDefault="00736172" w:rsidP="00005716">
            <w:pPr>
              <w:rPr>
                <w:rFonts w:ascii="Arial" w:hAnsi="Arial" w:cs="Arial"/>
                <w:b/>
                <w:bCs/>
                <w:sz w:val="22"/>
                <w:szCs w:val="22"/>
              </w:rPr>
            </w:pPr>
            <w:r w:rsidRPr="00FD4069">
              <w:rPr>
                <w:rFonts w:ascii="Arial" w:hAnsi="Arial" w:cs="Arial"/>
                <w:b/>
                <w:bCs/>
                <w:sz w:val="22"/>
                <w:szCs w:val="22"/>
              </w:rPr>
              <w:t>Variable name</w:t>
            </w:r>
          </w:p>
        </w:tc>
        <w:tc>
          <w:tcPr>
            <w:tcW w:w="6300" w:type="dxa"/>
            <w:tcBorders>
              <w:top w:val="single" w:sz="4" w:space="0" w:color="auto"/>
              <w:bottom w:val="single" w:sz="4" w:space="0" w:color="auto"/>
            </w:tcBorders>
            <w:shd w:val="clear" w:color="auto" w:fill="auto"/>
            <w:noWrap/>
            <w:hideMark/>
          </w:tcPr>
          <w:p w14:paraId="330CCC5E" w14:textId="77777777" w:rsidR="00736172" w:rsidRPr="00FD4069" w:rsidRDefault="00736172" w:rsidP="00005716">
            <w:pPr>
              <w:rPr>
                <w:rFonts w:ascii="Arial" w:hAnsi="Arial" w:cs="Arial"/>
                <w:b/>
                <w:bCs/>
                <w:sz w:val="22"/>
                <w:szCs w:val="22"/>
              </w:rPr>
            </w:pPr>
            <w:r w:rsidRPr="00FD4069">
              <w:rPr>
                <w:rFonts w:ascii="Arial" w:hAnsi="Arial" w:cs="Arial"/>
                <w:b/>
                <w:bCs/>
                <w:sz w:val="22"/>
                <w:szCs w:val="22"/>
              </w:rPr>
              <w:t>Variable description</w:t>
            </w:r>
          </w:p>
        </w:tc>
      </w:tr>
      <w:tr w:rsidR="00736172" w:rsidRPr="00200618" w14:paraId="2ECE0401" w14:textId="77777777" w:rsidTr="00005716">
        <w:trPr>
          <w:trHeight w:val="329"/>
        </w:trPr>
        <w:tc>
          <w:tcPr>
            <w:tcW w:w="2075" w:type="dxa"/>
            <w:tcBorders>
              <w:top w:val="single" w:sz="4" w:space="0" w:color="auto"/>
            </w:tcBorders>
            <w:shd w:val="clear" w:color="auto" w:fill="auto"/>
            <w:noWrap/>
            <w:hideMark/>
          </w:tcPr>
          <w:p w14:paraId="2F5CF7BD" w14:textId="77777777" w:rsidR="00736172" w:rsidRPr="00FD4069" w:rsidRDefault="00736172" w:rsidP="00005716">
            <w:pPr>
              <w:rPr>
                <w:rFonts w:ascii="Arial" w:hAnsi="Arial" w:cs="Arial"/>
                <w:sz w:val="22"/>
                <w:szCs w:val="22"/>
              </w:rPr>
            </w:pPr>
            <w:proofErr w:type="gramStart"/>
            <w:r w:rsidRPr="00FD4069">
              <w:rPr>
                <w:rFonts w:ascii="Arial" w:hAnsi="Arial" w:cs="Arial"/>
                <w:sz w:val="22"/>
                <w:szCs w:val="22"/>
              </w:rPr>
              <w:t>illness</w:t>
            </w:r>
            <w:proofErr w:type="gramEnd"/>
          </w:p>
        </w:tc>
        <w:tc>
          <w:tcPr>
            <w:tcW w:w="6300" w:type="dxa"/>
            <w:tcBorders>
              <w:top w:val="single" w:sz="4" w:space="0" w:color="auto"/>
            </w:tcBorders>
            <w:shd w:val="clear" w:color="auto" w:fill="auto"/>
            <w:noWrap/>
            <w:hideMark/>
          </w:tcPr>
          <w:p w14:paraId="1C98D91E" w14:textId="77777777" w:rsidR="00736172" w:rsidRPr="00FD4069" w:rsidRDefault="00736172" w:rsidP="00005716">
            <w:pPr>
              <w:rPr>
                <w:rFonts w:ascii="Arial" w:hAnsi="Arial" w:cs="Arial"/>
                <w:sz w:val="22"/>
                <w:szCs w:val="22"/>
              </w:rPr>
            </w:pPr>
            <w:proofErr w:type="gramStart"/>
            <w:r w:rsidRPr="00FD4069">
              <w:rPr>
                <w:rFonts w:ascii="Arial" w:hAnsi="Arial" w:cs="Arial"/>
                <w:sz w:val="22"/>
                <w:szCs w:val="22"/>
              </w:rPr>
              <w:t>reported</w:t>
            </w:r>
            <w:proofErr w:type="gramEnd"/>
            <w:r w:rsidRPr="00FD4069">
              <w:rPr>
                <w:rFonts w:ascii="Arial" w:hAnsi="Arial" w:cs="Arial"/>
                <w:sz w:val="22"/>
                <w:szCs w:val="22"/>
              </w:rPr>
              <w:t xml:space="preserve"> health problem during past month</w:t>
            </w:r>
          </w:p>
        </w:tc>
      </w:tr>
      <w:tr w:rsidR="00736172" w:rsidRPr="00200618" w14:paraId="35AC475A" w14:textId="77777777" w:rsidTr="00005716">
        <w:trPr>
          <w:trHeight w:val="255"/>
        </w:trPr>
        <w:tc>
          <w:tcPr>
            <w:tcW w:w="2075" w:type="dxa"/>
            <w:shd w:val="clear" w:color="auto" w:fill="auto"/>
            <w:noWrap/>
            <w:hideMark/>
          </w:tcPr>
          <w:p w14:paraId="307C655E" w14:textId="77777777" w:rsidR="00736172" w:rsidRPr="00FD4069" w:rsidRDefault="00736172" w:rsidP="00005716">
            <w:pPr>
              <w:rPr>
                <w:rFonts w:ascii="Arial" w:hAnsi="Arial" w:cs="Arial"/>
                <w:sz w:val="22"/>
                <w:szCs w:val="22"/>
              </w:rPr>
            </w:pPr>
            <w:proofErr w:type="gramStart"/>
            <w:r w:rsidRPr="00FD4069">
              <w:rPr>
                <w:rFonts w:ascii="Arial" w:hAnsi="Arial" w:cs="Arial"/>
                <w:sz w:val="22"/>
                <w:szCs w:val="22"/>
              </w:rPr>
              <w:t>use</w:t>
            </w:r>
            <w:proofErr w:type="gramEnd"/>
          </w:p>
        </w:tc>
        <w:tc>
          <w:tcPr>
            <w:tcW w:w="6300" w:type="dxa"/>
            <w:shd w:val="clear" w:color="auto" w:fill="auto"/>
            <w:noWrap/>
            <w:hideMark/>
          </w:tcPr>
          <w:p w14:paraId="2F499A2C" w14:textId="77777777" w:rsidR="00736172" w:rsidRPr="00FD4069" w:rsidRDefault="0016652F" w:rsidP="00005716">
            <w:pPr>
              <w:rPr>
                <w:rFonts w:ascii="Arial" w:hAnsi="Arial" w:cs="Arial"/>
                <w:sz w:val="22"/>
                <w:szCs w:val="22"/>
              </w:rPr>
            </w:pPr>
            <w:proofErr w:type="gramStart"/>
            <w:r>
              <w:rPr>
                <w:rFonts w:ascii="Arial" w:hAnsi="Arial" w:cs="Arial"/>
                <w:sz w:val="22"/>
                <w:szCs w:val="22"/>
              </w:rPr>
              <w:t>reported</w:t>
            </w:r>
            <w:proofErr w:type="gramEnd"/>
            <w:r>
              <w:rPr>
                <w:rFonts w:ascii="Arial" w:hAnsi="Arial" w:cs="Arial"/>
                <w:sz w:val="22"/>
                <w:szCs w:val="22"/>
              </w:rPr>
              <w:t xml:space="preserve"> </w:t>
            </w:r>
            <w:r w:rsidR="00736172" w:rsidRPr="00FD4069">
              <w:rPr>
                <w:rFonts w:ascii="Arial" w:hAnsi="Arial" w:cs="Arial"/>
                <w:sz w:val="22"/>
                <w:szCs w:val="22"/>
              </w:rPr>
              <w:t>outpatient care u</w:t>
            </w:r>
            <w:r w:rsidR="00E27CAF">
              <w:rPr>
                <w:rFonts w:ascii="Arial" w:hAnsi="Arial" w:cs="Arial"/>
                <w:sz w:val="22"/>
                <w:szCs w:val="22"/>
              </w:rPr>
              <w:t>tilization</w:t>
            </w:r>
          </w:p>
        </w:tc>
      </w:tr>
      <w:tr w:rsidR="00736172" w:rsidRPr="00200618" w14:paraId="5629F9AB" w14:textId="77777777" w:rsidTr="00005716">
        <w:trPr>
          <w:trHeight w:val="255"/>
        </w:trPr>
        <w:tc>
          <w:tcPr>
            <w:tcW w:w="2075" w:type="dxa"/>
            <w:shd w:val="clear" w:color="auto" w:fill="auto"/>
            <w:noWrap/>
            <w:hideMark/>
          </w:tcPr>
          <w:p w14:paraId="2D3A1878" w14:textId="77777777" w:rsidR="00736172" w:rsidRPr="00FD4069" w:rsidRDefault="00736172" w:rsidP="00005716">
            <w:pPr>
              <w:rPr>
                <w:rFonts w:ascii="Arial" w:hAnsi="Arial" w:cs="Arial"/>
                <w:sz w:val="22"/>
                <w:szCs w:val="22"/>
              </w:rPr>
            </w:pPr>
            <w:proofErr w:type="gramStart"/>
            <w:r w:rsidRPr="00FD4069">
              <w:rPr>
                <w:rFonts w:ascii="Arial" w:hAnsi="Arial" w:cs="Arial"/>
                <w:sz w:val="22"/>
                <w:szCs w:val="22"/>
              </w:rPr>
              <w:t>provider</w:t>
            </w:r>
            <w:proofErr w:type="gramEnd"/>
          </w:p>
        </w:tc>
        <w:tc>
          <w:tcPr>
            <w:tcW w:w="6300" w:type="dxa"/>
            <w:shd w:val="clear" w:color="auto" w:fill="auto"/>
            <w:noWrap/>
            <w:hideMark/>
          </w:tcPr>
          <w:p w14:paraId="28C98617" w14:textId="77777777" w:rsidR="00736172" w:rsidRPr="00FD4069" w:rsidRDefault="00736172" w:rsidP="00005716">
            <w:pPr>
              <w:rPr>
                <w:rFonts w:ascii="Arial" w:hAnsi="Arial" w:cs="Arial"/>
                <w:sz w:val="22"/>
                <w:szCs w:val="22"/>
              </w:rPr>
            </w:pPr>
            <w:proofErr w:type="gramStart"/>
            <w:r w:rsidRPr="00FD4069">
              <w:rPr>
                <w:rFonts w:ascii="Arial" w:hAnsi="Arial" w:cs="Arial"/>
                <w:sz w:val="22"/>
                <w:szCs w:val="22"/>
              </w:rPr>
              <w:t>health</w:t>
            </w:r>
            <w:proofErr w:type="gramEnd"/>
            <w:r w:rsidRPr="00FD4069">
              <w:rPr>
                <w:rFonts w:ascii="Arial" w:hAnsi="Arial" w:cs="Arial"/>
                <w:sz w:val="22"/>
                <w:szCs w:val="22"/>
              </w:rPr>
              <w:t xml:space="preserve"> facility where outpatient care </w:t>
            </w:r>
            <w:r>
              <w:rPr>
                <w:rFonts w:ascii="Arial" w:hAnsi="Arial" w:cs="Arial"/>
                <w:sz w:val="22"/>
                <w:szCs w:val="22"/>
              </w:rPr>
              <w:t xml:space="preserve">is </w:t>
            </w:r>
            <w:r w:rsidRPr="00FD4069">
              <w:rPr>
                <w:rFonts w:ascii="Arial" w:hAnsi="Arial" w:cs="Arial"/>
                <w:sz w:val="22"/>
                <w:szCs w:val="22"/>
              </w:rPr>
              <w:t>used</w:t>
            </w:r>
          </w:p>
        </w:tc>
      </w:tr>
      <w:tr w:rsidR="00736172" w:rsidRPr="00200618" w14:paraId="4895FD28" w14:textId="77777777" w:rsidTr="00F55485">
        <w:trPr>
          <w:trHeight w:val="255"/>
        </w:trPr>
        <w:tc>
          <w:tcPr>
            <w:tcW w:w="2075" w:type="dxa"/>
            <w:shd w:val="clear" w:color="auto" w:fill="auto"/>
            <w:noWrap/>
            <w:hideMark/>
          </w:tcPr>
          <w:p w14:paraId="235C02BE" w14:textId="77777777" w:rsidR="00736172" w:rsidRPr="00FD4069" w:rsidRDefault="00736172" w:rsidP="00005716">
            <w:pPr>
              <w:rPr>
                <w:rFonts w:ascii="Arial" w:hAnsi="Arial" w:cs="Arial"/>
                <w:sz w:val="22"/>
                <w:szCs w:val="22"/>
              </w:rPr>
            </w:pPr>
            <w:proofErr w:type="gramStart"/>
            <w:r w:rsidRPr="00FD4069">
              <w:rPr>
                <w:rFonts w:ascii="Arial" w:hAnsi="Arial" w:cs="Arial"/>
                <w:sz w:val="22"/>
                <w:szCs w:val="22"/>
              </w:rPr>
              <w:t>hospitalization</w:t>
            </w:r>
            <w:proofErr w:type="gramEnd"/>
          </w:p>
        </w:tc>
        <w:tc>
          <w:tcPr>
            <w:tcW w:w="6300" w:type="dxa"/>
            <w:shd w:val="clear" w:color="auto" w:fill="auto"/>
            <w:noWrap/>
            <w:hideMark/>
          </w:tcPr>
          <w:p w14:paraId="1BE202E6" w14:textId="77777777" w:rsidR="00736172" w:rsidRPr="00FD4069" w:rsidRDefault="0016652F" w:rsidP="00E27CAF">
            <w:pPr>
              <w:rPr>
                <w:rFonts w:ascii="Arial" w:hAnsi="Arial" w:cs="Arial"/>
                <w:sz w:val="22"/>
                <w:szCs w:val="22"/>
              </w:rPr>
            </w:pPr>
            <w:proofErr w:type="gramStart"/>
            <w:r>
              <w:rPr>
                <w:rFonts w:ascii="Arial" w:hAnsi="Arial" w:cs="Arial"/>
                <w:sz w:val="22"/>
                <w:szCs w:val="22"/>
              </w:rPr>
              <w:t>reported</w:t>
            </w:r>
            <w:proofErr w:type="gramEnd"/>
            <w:r>
              <w:rPr>
                <w:rFonts w:ascii="Arial" w:hAnsi="Arial" w:cs="Arial"/>
                <w:sz w:val="22"/>
                <w:szCs w:val="22"/>
              </w:rPr>
              <w:t xml:space="preserve"> </w:t>
            </w:r>
            <w:r w:rsidR="00736172">
              <w:rPr>
                <w:rFonts w:ascii="Arial" w:hAnsi="Arial" w:cs="Arial"/>
                <w:sz w:val="22"/>
                <w:szCs w:val="22"/>
              </w:rPr>
              <w:t>i</w:t>
            </w:r>
            <w:r w:rsidR="00736172" w:rsidRPr="00FD4069">
              <w:rPr>
                <w:rFonts w:ascii="Arial" w:hAnsi="Arial" w:cs="Arial"/>
                <w:sz w:val="22"/>
                <w:szCs w:val="22"/>
              </w:rPr>
              <w:t xml:space="preserve">npatient care </w:t>
            </w:r>
            <w:r w:rsidR="00E27CAF">
              <w:rPr>
                <w:rFonts w:ascii="Arial" w:hAnsi="Arial" w:cs="Arial"/>
                <w:sz w:val="22"/>
                <w:szCs w:val="22"/>
              </w:rPr>
              <w:t>utilization</w:t>
            </w:r>
          </w:p>
        </w:tc>
      </w:tr>
      <w:tr w:rsidR="00F55485" w:rsidRPr="00200618" w14:paraId="0414A5FE" w14:textId="77777777" w:rsidTr="00005716">
        <w:trPr>
          <w:trHeight w:val="255"/>
        </w:trPr>
        <w:tc>
          <w:tcPr>
            <w:tcW w:w="2075" w:type="dxa"/>
            <w:tcBorders>
              <w:bottom w:val="single" w:sz="4" w:space="0" w:color="auto"/>
            </w:tcBorders>
            <w:shd w:val="clear" w:color="auto" w:fill="auto"/>
            <w:noWrap/>
          </w:tcPr>
          <w:p w14:paraId="7380DD57" w14:textId="1187A774" w:rsidR="00F55485" w:rsidRPr="00FD4069" w:rsidRDefault="00F55485" w:rsidP="00005716">
            <w:pPr>
              <w:rPr>
                <w:rFonts w:ascii="Arial" w:hAnsi="Arial" w:cs="Arial"/>
                <w:sz w:val="22"/>
                <w:szCs w:val="22"/>
              </w:rPr>
            </w:pPr>
            <w:proofErr w:type="gramStart"/>
            <w:r>
              <w:rPr>
                <w:rFonts w:ascii="Arial" w:hAnsi="Arial" w:cs="Arial"/>
                <w:sz w:val="22"/>
                <w:szCs w:val="22"/>
              </w:rPr>
              <w:t>hospital</w:t>
            </w:r>
            <w:proofErr w:type="gramEnd"/>
          </w:p>
        </w:tc>
        <w:tc>
          <w:tcPr>
            <w:tcW w:w="6300" w:type="dxa"/>
            <w:tcBorders>
              <w:bottom w:val="single" w:sz="4" w:space="0" w:color="auto"/>
            </w:tcBorders>
            <w:shd w:val="clear" w:color="auto" w:fill="auto"/>
            <w:noWrap/>
          </w:tcPr>
          <w:p w14:paraId="31B83D4E" w14:textId="609ABF90" w:rsidR="00F55485" w:rsidRDefault="002F6EDC" w:rsidP="00E27CAF">
            <w:pPr>
              <w:rPr>
                <w:rFonts w:ascii="Arial" w:hAnsi="Arial" w:cs="Arial"/>
                <w:sz w:val="22"/>
                <w:szCs w:val="22"/>
              </w:rPr>
            </w:pPr>
            <w:proofErr w:type="gramStart"/>
            <w:r>
              <w:rPr>
                <w:rFonts w:ascii="Arial" w:hAnsi="Arial" w:cs="Arial"/>
                <w:sz w:val="22"/>
                <w:szCs w:val="22"/>
              </w:rPr>
              <w:t>health</w:t>
            </w:r>
            <w:proofErr w:type="gramEnd"/>
            <w:r>
              <w:rPr>
                <w:rFonts w:ascii="Arial" w:hAnsi="Arial" w:cs="Arial"/>
                <w:sz w:val="22"/>
                <w:szCs w:val="22"/>
              </w:rPr>
              <w:t xml:space="preserve"> facility where inpatient care is provided</w:t>
            </w:r>
          </w:p>
        </w:tc>
      </w:tr>
    </w:tbl>
    <w:p w14:paraId="3D1DCBF0" w14:textId="77777777" w:rsidR="00736172" w:rsidRDefault="00736172" w:rsidP="00736172">
      <w:pPr>
        <w:autoSpaceDE w:val="0"/>
        <w:autoSpaceDN w:val="0"/>
        <w:adjustRightInd w:val="0"/>
        <w:rPr>
          <w:rFonts w:ascii="Arial" w:hAnsi="Arial" w:cs="Arial"/>
          <w:b/>
        </w:rPr>
      </w:pPr>
    </w:p>
    <w:p w14:paraId="3B2578F3" w14:textId="77777777" w:rsidR="00EB5D1A" w:rsidRDefault="00EB5D1A" w:rsidP="00736172">
      <w:pPr>
        <w:autoSpaceDE w:val="0"/>
        <w:autoSpaceDN w:val="0"/>
        <w:adjustRightInd w:val="0"/>
        <w:rPr>
          <w:rFonts w:ascii="Arial" w:hAnsi="Arial" w:cs="Arial"/>
          <w:b/>
        </w:rPr>
      </w:pPr>
    </w:p>
    <w:p w14:paraId="279DD60D" w14:textId="77777777" w:rsidR="00B811BB" w:rsidRPr="00E6793B" w:rsidRDefault="00B811BB" w:rsidP="00BE1FF8">
      <w:pPr>
        <w:rPr>
          <w:rFonts w:ascii="Arial" w:hAnsi="Arial" w:cs="Arial"/>
          <w:b/>
          <w:sz w:val="22"/>
          <w:szCs w:val="22"/>
          <w:lang w:val="en-GB"/>
        </w:rPr>
      </w:pPr>
      <w:r w:rsidRPr="00E6793B">
        <w:rPr>
          <w:rFonts w:ascii="Arial" w:hAnsi="Arial" w:cs="Arial"/>
          <w:b/>
          <w:sz w:val="22"/>
          <w:szCs w:val="22"/>
          <w:lang w:val="en-GB"/>
        </w:rPr>
        <w:t xml:space="preserve">Government </w:t>
      </w:r>
      <w:r w:rsidR="004B458A">
        <w:rPr>
          <w:rFonts w:ascii="Arial" w:hAnsi="Arial" w:cs="Arial"/>
          <w:b/>
          <w:sz w:val="22"/>
          <w:szCs w:val="22"/>
          <w:lang w:val="en-GB"/>
        </w:rPr>
        <w:t>subsidy</w:t>
      </w:r>
      <w:r w:rsidR="004B458A" w:rsidRPr="004B458A">
        <w:rPr>
          <w:rFonts w:ascii="Arial" w:hAnsi="Arial" w:cs="Arial"/>
          <w:b/>
          <w:sz w:val="22"/>
          <w:szCs w:val="22"/>
          <w:lang w:val="en-GB"/>
        </w:rPr>
        <w:t xml:space="preserve"> </w:t>
      </w:r>
      <w:r w:rsidR="004B458A">
        <w:rPr>
          <w:rFonts w:ascii="Arial" w:hAnsi="Arial" w:cs="Arial"/>
          <w:b/>
          <w:sz w:val="22"/>
          <w:szCs w:val="22"/>
          <w:lang w:val="en-GB"/>
        </w:rPr>
        <w:t xml:space="preserve">for </w:t>
      </w:r>
      <w:r w:rsidR="004B458A" w:rsidRPr="00E6793B">
        <w:rPr>
          <w:rFonts w:ascii="Arial" w:hAnsi="Arial" w:cs="Arial"/>
          <w:b/>
          <w:sz w:val="22"/>
          <w:szCs w:val="22"/>
          <w:lang w:val="en-GB"/>
        </w:rPr>
        <w:t>health</w:t>
      </w:r>
    </w:p>
    <w:p w14:paraId="6D29670B" w14:textId="77777777" w:rsidR="00B811BB" w:rsidRDefault="00B811BB" w:rsidP="00BE1FF8">
      <w:pPr>
        <w:rPr>
          <w:lang w:val="en-GB"/>
        </w:rPr>
      </w:pPr>
    </w:p>
    <w:p w14:paraId="68630548" w14:textId="77777777" w:rsidR="00BF7FDA" w:rsidRPr="00A844C9" w:rsidRDefault="00736172" w:rsidP="00BF7FDA">
      <w:pPr>
        <w:jc w:val="both"/>
        <w:rPr>
          <w:rFonts w:ascii="Arial" w:hAnsi="Arial" w:cs="Arial"/>
        </w:rPr>
      </w:pPr>
      <w:r>
        <w:rPr>
          <w:rFonts w:ascii="Arial" w:hAnsi="Arial" w:cs="Arial"/>
        </w:rPr>
        <w:t>W</w:t>
      </w:r>
      <w:r w:rsidRPr="009712D5">
        <w:rPr>
          <w:rFonts w:ascii="Arial" w:hAnsi="Arial" w:cs="Arial"/>
        </w:rPr>
        <w:t xml:space="preserve">e used </w:t>
      </w:r>
      <w:r>
        <w:rPr>
          <w:rFonts w:ascii="Arial" w:hAnsi="Arial" w:cs="Arial"/>
        </w:rPr>
        <w:t xml:space="preserve">the </w:t>
      </w:r>
      <w:r w:rsidRPr="009712D5">
        <w:rPr>
          <w:rFonts w:ascii="Arial" w:hAnsi="Arial" w:cs="Arial"/>
        </w:rPr>
        <w:t xml:space="preserve">same methodology to estimate </w:t>
      </w:r>
      <w:r w:rsidR="00BF7FDA">
        <w:rPr>
          <w:rFonts w:ascii="Arial" w:hAnsi="Arial" w:cs="Arial"/>
        </w:rPr>
        <w:t xml:space="preserve">the </w:t>
      </w:r>
      <w:r w:rsidRPr="009712D5">
        <w:rPr>
          <w:rFonts w:ascii="Arial" w:hAnsi="Arial" w:cs="Arial"/>
        </w:rPr>
        <w:t xml:space="preserve">benefit and incidences of public subsidy </w:t>
      </w:r>
      <w:r>
        <w:rPr>
          <w:rFonts w:ascii="Arial" w:hAnsi="Arial" w:cs="Arial"/>
        </w:rPr>
        <w:t>i</w:t>
      </w:r>
      <w:r w:rsidRPr="009712D5">
        <w:rPr>
          <w:rFonts w:ascii="Arial" w:hAnsi="Arial" w:cs="Arial"/>
        </w:rPr>
        <w:t xml:space="preserve">n order to ensure comparability with baseline estimates of </w:t>
      </w:r>
      <w:r w:rsidR="00BF7FDA">
        <w:rPr>
          <w:rFonts w:ascii="Arial" w:hAnsi="Arial" w:cs="Arial"/>
        </w:rPr>
        <w:t xml:space="preserve">the </w:t>
      </w:r>
      <w:r w:rsidRPr="009712D5">
        <w:rPr>
          <w:rFonts w:ascii="Arial" w:hAnsi="Arial" w:cs="Arial"/>
        </w:rPr>
        <w:t>2007</w:t>
      </w:r>
      <w:r>
        <w:rPr>
          <w:rFonts w:ascii="Arial" w:hAnsi="Arial" w:cs="Arial"/>
        </w:rPr>
        <w:t xml:space="preserve">/2008 household </w:t>
      </w:r>
      <w:proofErr w:type="gramStart"/>
      <w:r>
        <w:rPr>
          <w:rFonts w:ascii="Arial" w:hAnsi="Arial" w:cs="Arial"/>
        </w:rPr>
        <w:t>survey</w:t>
      </w:r>
      <w:proofErr w:type="gramEnd"/>
      <w:r w:rsidRPr="009712D5">
        <w:rPr>
          <w:rFonts w:ascii="Arial" w:hAnsi="Arial" w:cs="Arial"/>
        </w:rPr>
        <w:t>. In this case</w:t>
      </w:r>
      <w:r w:rsidR="00B02307">
        <w:rPr>
          <w:rFonts w:ascii="Arial" w:hAnsi="Arial" w:cs="Arial"/>
        </w:rPr>
        <w:t>,</w:t>
      </w:r>
      <w:r w:rsidRPr="009712D5">
        <w:rPr>
          <w:rFonts w:ascii="Arial" w:hAnsi="Arial" w:cs="Arial"/>
        </w:rPr>
        <w:t xml:space="preserve"> the term public subsidy </w:t>
      </w:r>
      <w:r>
        <w:rPr>
          <w:rFonts w:ascii="Arial" w:hAnsi="Arial" w:cs="Arial"/>
        </w:rPr>
        <w:t xml:space="preserve">or government subsidy or spending </w:t>
      </w:r>
      <w:r w:rsidRPr="009712D5">
        <w:rPr>
          <w:rFonts w:ascii="Arial" w:hAnsi="Arial" w:cs="Arial"/>
        </w:rPr>
        <w:t xml:space="preserve">will refer to net subsidy made to health facilities by the State budget. </w:t>
      </w:r>
      <w:r w:rsidRPr="00623545">
        <w:rPr>
          <w:rFonts w:ascii="Arial" w:hAnsi="Arial" w:cs="Arial"/>
        </w:rPr>
        <w:t>The government or state budget subsidy to social health insurance was also included to estimate the total net subsidy figures. The amount paid in official user charges was subtracted from the government subsidy expenditures to arrive at the net subsidy received for health.</w:t>
      </w:r>
      <w:r w:rsidRPr="009712D5">
        <w:rPr>
          <w:rFonts w:ascii="Arial" w:hAnsi="Arial" w:cs="Arial"/>
        </w:rPr>
        <w:t xml:space="preserve"> </w:t>
      </w:r>
      <w:r w:rsidR="00BF7FDA" w:rsidRPr="009712D5">
        <w:rPr>
          <w:rFonts w:ascii="Arial" w:hAnsi="Arial" w:cs="Arial"/>
        </w:rPr>
        <w:t xml:space="preserve">Government spending data on recurrent spending for health was obtained from budget execution data </w:t>
      </w:r>
      <w:r w:rsidR="00BF7FDA">
        <w:rPr>
          <w:rFonts w:ascii="Arial" w:hAnsi="Arial" w:cs="Arial"/>
        </w:rPr>
        <w:t>as reported by the Ministry of F</w:t>
      </w:r>
      <w:r w:rsidR="00BF7FDA" w:rsidRPr="009712D5">
        <w:rPr>
          <w:rFonts w:ascii="Arial" w:hAnsi="Arial" w:cs="Arial"/>
        </w:rPr>
        <w:t xml:space="preserve">inance. </w:t>
      </w:r>
    </w:p>
    <w:p w14:paraId="39CE97C3" w14:textId="77777777" w:rsidR="00736172" w:rsidRDefault="00736172" w:rsidP="00736172">
      <w:pPr>
        <w:jc w:val="both"/>
        <w:rPr>
          <w:rFonts w:ascii="Arial" w:hAnsi="Arial" w:cs="Arial"/>
        </w:rPr>
      </w:pPr>
    </w:p>
    <w:p w14:paraId="45A0F04D" w14:textId="77777777" w:rsidR="00EB5D1A" w:rsidRDefault="00736172" w:rsidP="00736172">
      <w:pPr>
        <w:jc w:val="both"/>
        <w:rPr>
          <w:rFonts w:ascii="Arial" w:hAnsi="Arial" w:cs="Arial"/>
        </w:rPr>
      </w:pPr>
      <w:r w:rsidRPr="00623545">
        <w:rPr>
          <w:rFonts w:ascii="Arial" w:hAnsi="Arial" w:cs="Arial"/>
        </w:rPr>
        <w:t xml:space="preserve">The budgetary data provided estimates of total expenditures at the health facility level, but did not separate for inpatient and outpatient services. Therefore, the hospital services costing studies of previous years were used to estimate the shares </w:t>
      </w:r>
      <w:r w:rsidR="0016652F">
        <w:rPr>
          <w:rFonts w:ascii="Arial" w:hAnsi="Arial" w:cs="Arial"/>
        </w:rPr>
        <w:t xml:space="preserve">of funds </w:t>
      </w:r>
      <w:r w:rsidRPr="00623545">
        <w:rPr>
          <w:rFonts w:ascii="Arial" w:hAnsi="Arial" w:cs="Arial"/>
        </w:rPr>
        <w:t>allocated to outpatient and inpatient services</w:t>
      </w:r>
      <w:r>
        <w:rPr>
          <w:rFonts w:ascii="Arial" w:hAnsi="Arial" w:cs="Arial"/>
        </w:rPr>
        <w:t xml:space="preserve">. </w:t>
      </w:r>
    </w:p>
    <w:p w14:paraId="4A2F995B" w14:textId="77777777" w:rsidR="00EB5D1A" w:rsidRDefault="00EB5D1A" w:rsidP="00736172">
      <w:pPr>
        <w:jc w:val="both"/>
        <w:rPr>
          <w:rFonts w:ascii="Arial" w:hAnsi="Arial" w:cs="Arial"/>
        </w:rPr>
      </w:pPr>
    </w:p>
    <w:p w14:paraId="1F1B1AAB" w14:textId="71640411" w:rsidR="00736172" w:rsidRDefault="00EB5D1A" w:rsidP="00736172">
      <w:pPr>
        <w:jc w:val="both"/>
        <w:rPr>
          <w:rFonts w:ascii="Arial" w:hAnsi="Arial" w:cs="Arial"/>
        </w:rPr>
      </w:pPr>
      <w:r>
        <w:rPr>
          <w:rFonts w:ascii="Arial" w:hAnsi="Arial" w:cs="Arial"/>
        </w:rPr>
        <w:lastRenderedPageBreak/>
        <w:t xml:space="preserve">Mongolia conducted several health services costing studies in the past. The recent such study was organized in 2012. </w:t>
      </w:r>
      <w:r w:rsidR="0026201A">
        <w:rPr>
          <w:rFonts w:ascii="Arial" w:hAnsi="Arial" w:cs="Arial"/>
        </w:rPr>
        <w:t>Except for the latest survey, t</w:t>
      </w:r>
      <w:r>
        <w:rPr>
          <w:rFonts w:ascii="Arial" w:hAnsi="Arial" w:cs="Arial"/>
        </w:rPr>
        <w:t xml:space="preserve">he most </w:t>
      </w:r>
      <w:r w:rsidR="0026201A">
        <w:rPr>
          <w:rFonts w:ascii="Arial" w:hAnsi="Arial" w:cs="Arial"/>
        </w:rPr>
        <w:t>used</w:t>
      </w:r>
      <w:r>
        <w:rPr>
          <w:rFonts w:ascii="Arial" w:hAnsi="Arial" w:cs="Arial"/>
        </w:rPr>
        <w:t xml:space="preserve"> top-down allocation methods. </w:t>
      </w:r>
      <w:r w:rsidR="0016652F">
        <w:rPr>
          <w:rFonts w:ascii="Arial" w:hAnsi="Arial" w:cs="Arial"/>
        </w:rPr>
        <w:t>The costing studies provide</w:t>
      </w:r>
      <w:r>
        <w:rPr>
          <w:rFonts w:ascii="Arial" w:hAnsi="Arial" w:cs="Arial"/>
        </w:rPr>
        <w:t>d</w:t>
      </w:r>
      <w:r w:rsidR="0016652F">
        <w:rPr>
          <w:rFonts w:ascii="Arial" w:hAnsi="Arial" w:cs="Arial"/>
        </w:rPr>
        <w:t xml:space="preserve"> shares of the total hospital expenditure </w:t>
      </w:r>
      <w:r>
        <w:rPr>
          <w:rFonts w:ascii="Arial" w:hAnsi="Arial" w:cs="Arial"/>
        </w:rPr>
        <w:t xml:space="preserve">allocated or spend for major types of health services such as outpatient care, inpatient care, emergency and ancillary services. </w:t>
      </w:r>
    </w:p>
    <w:p w14:paraId="7D14CDAA" w14:textId="77777777" w:rsidR="0055231E" w:rsidRDefault="0055231E" w:rsidP="0055231E">
      <w:pPr>
        <w:pStyle w:val="Caption"/>
        <w:spacing w:after="0"/>
        <w:rPr>
          <w:rFonts w:ascii="Arial" w:hAnsi="Arial" w:cs="Arial"/>
          <w:bCs w:val="0"/>
          <w:sz w:val="23"/>
          <w:szCs w:val="23"/>
        </w:rPr>
      </w:pPr>
    </w:p>
    <w:p w14:paraId="2222ECF8" w14:textId="77777777" w:rsidR="00902FB2" w:rsidRPr="0055231E" w:rsidRDefault="00902FB2" w:rsidP="00902FB2">
      <w:pPr>
        <w:pStyle w:val="Caption"/>
        <w:rPr>
          <w:rFonts w:ascii="Arial" w:hAnsi="Arial" w:cs="Arial"/>
          <w:b w:val="0"/>
          <w:bCs w:val="0"/>
          <w:sz w:val="22"/>
          <w:szCs w:val="22"/>
        </w:rPr>
      </w:pPr>
      <w:bookmarkStart w:id="16" w:name="_Toc310170088"/>
      <w:r w:rsidRPr="0055231E">
        <w:rPr>
          <w:rFonts w:ascii="Arial" w:hAnsi="Arial" w:cs="Arial"/>
          <w:b w:val="0"/>
          <w:bCs w:val="0"/>
          <w:sz w:val="22"/>
          <w:szCs w:val="22"/>
        </w:rPr>
        <w:t xml:space="preserve">Table </w:t>
      </w:r>
      <w:r w:rsidR="00CB191B" w:rsidRPr="0055231E">
        <w:rPr>
          <w:rFonts w:ascii="Arial" w:hAnsi="Arial" w:cs="Arial"/>
          <w:b w:val="0"/>
          <w:bCs w:val="0"/>
          <w:sz w:val="22"/>
          <w:szCs w:val="22"/>
        </w:rPr>
        <w:fldChar w:fldCharType="begin"/>
      </w:r>
      <w:r w:rsidRPr="0055231E">
        <w:rPr>
          <w:rFonts w:ascii="Arial" w:hAnsi="Arial" w:cs="Arial"/>
          <w:b w:val="0"/>
          <w:bCs w:val="0"/>
          <w:sz w:val="22"/>
          <w:szCs w:val="22"/>
        </w:rPr>
        <w:instrText xml:space="preserve"> SEQ Table \* ARABIC </w:instrText>
      </w:r>
      <w:r w:rsidR="00CB191B" w:rsidRPr="0055231E">
        <w:rPr>
          <w:rFonts w:ascii="Arial" w:hAnsi="Arial" w:cs="Arial"/>
          <w:b w:val="0"/>
          <w:bCs w:val="0"/>
          <w:sz w:val="22"/>
          <w:szCs w:val="22"/>
        </w:rPr>
        <w:fldChar w:fldCharType="separate"/>
      </w:r>
      <w:r w:rsidR="00E513DE">
        <w:rPr>
          <w:rFonts w:ascii="Arial" w:hAnsi="Arial" w:cs="Arial"/>
          <w:b w:val="0"/>
          <w:bCs w:val="0"/>
          <w:noProof/>
          <w:sz w:val="22"/>
          <w:szCs w:val="22"/>
        </w:rPr>
        <w:t>5</w:t>
      </w:r>
      <w:r w:rsidR="00CB191B" w:rsidRPr="0055231E">
        <w:rPr>
          <w:rFonts w:ascii="Arial" w:hAnsi="Arial" w:cs="Arial"/>
          <w:b w:val="0"/>
          <w:bCs w:val="0"/>
          <w:sz w:val="22"/>
          <w:szCs w:val="22"/>
        </w:rPr>
        <w:fldChar w:fldCharType="end"/>
      </w:r>
      <w:r w:rsidRPr="0055231E">
        <w:rPr>
          <w:rFonts w:ascii="Arial" w:hAnsi="Arial" w:cs="Arial"/>
          <w:b w:val="0"/>
          <w:bCs w:val="0"/>
          <w:sz w:val="22"/>
          <w:szCs w:val="22"/>
        </w:rPr>
        <w:t>: Variables used for benefit incidence analysis</w:t>
      </w:r>
      <w:bookmarkEnd w:id="16"/>
    </w:p>
    <w:tbl>
      <w:tblPr>
        <w:tblW w:w="8100" w:type="dxa"/>
        <w:tblInd w:w="108" w:type="dxa"/>
        <w:tblBorders>
          <w:top w:val="single" w:sz="4" w:space="0" w:color="auto"/>
          <w:bottom w:val="single" w:sz="4" w:space="0" w:color="auto"/>
        </w:tblBorders>
        <w:tblLook w:val="04A0" w:firstRow="1" w:lastRow="0" w:firstColumn="1" w:lastColumn="0" w:noHBand="0" w:noVBand="1"/>
      </w:tblPr>
      <w:tblGrid>
        <w:gridCol w:w="2160"/>
        <w:gridCol w:w="5940"/>
      </w:tblGrid>
      <w:tr w:rsidR="00902FB2" w:rsidRPr="00EB6EE0" w14:paraId="7DDB8412" w14:textId="77777777" w:rsidTr="00336474">
        <w:tc>
          <w:tcPr>
            <w:tcW w:w="2160" w:type="dxa"/>
            <w:tcBorders>
              <w:top w:val="single" w:sz="4" w:space="0" w:color="auto"/>
              <w:bottom w:val="single" w:sz="4" w:space="0" w:color="auto"/>
            </w:tcBorders>
          </w:tcPr>
          <w:p w14:paraId="30E9A376" w14:textId="77777777" w:rsidR="00902FB2" w:rsidRPr="00202300" w:rsidRDefault="00902FB2" w:rsidP="00026FF0">
            <w:pPr>
              <w:rPr>
                <w:rFonts w:ascii="Arial" w:hAnsi="Arial" w:cs="Arial"/>
                <w:b/>
                <w:sz w:val="22"/>
              </w:rPr>
            </w:pPr>
            <w:r w:rsidRPr="00202300">
              <w:rPr>
                <w:rFonts w:ascii="Arial" w:hAnsi="Arial" w:cs="Arial"/>
                <w:b/>
                <w:sz w:val="22"/>
              </w:rPr>
              <w:t>Variable name</w:t>
            </w:r>
          </w:p>
        </w:tc>
        <w:tc>
          <w:tcPr>
            <w:tcW w:w="5940" w:type="dxa"/>
            <w:tcBorders>
              <w:top w:val="single" w:sz="4" w:space="0" w:color="auto"/>
              <w:bottom w:val="single" w:sz="4" w:space="0" w:color="auto"/>
            </w:tcBorders>
          </w:tcPr>
          <w:p w14:paraId="0E30B6A5" w14:textId="77777777" w:rsidR="00902FB2" w:rsidRPr="00202300" w:rsidRDefault="00902FB2" w:rsidP="00026FF0">
            <w:pPr>
              <w:rPr>
                <w:rFonts w:ascii="Arial" w:hAnsi="Arial" w:cs="Arial"/>
                <w:b/>
                <w:sz w:val="22"/>
              </w:rPr>
            </w:pPr>
            <w:r w:rsidRPr="00202300">
              <w:rPr>
                <w:rFonts w:ascii="Arial" w:hAnsi="Arial" w:cs="Arial"/>
                <w:b/>
                <w:sz w:val="22"/>
              </w:rPr>
              <w:t xml:space="preserve">Variable description </w:t>
            </w:r>
          </w:p>
        </w:tc>
      </w:tr>
      <w:tr w:rsidR="00902FB2" w:rsidRPr="00EB6EE0" w14:paraId="7A5CD8D1" w14:textId="77777777" w:rsidTr="00336474">
        <w:tc>
          <w:tcPr>
            <w:tcW w:w="2160" w:type="dxa"/>
            <w:tcBorders>
              <w:top w:val="single" w:sz="4" w:space="0" w:color="auto"/>
            </w:tcBorders>
          </w:tcPr>
          <w:p w14:paraId="6966A637" w14:textId="77777777" w:rsidR="00902FB2" w:rsidRPr="00202300" w:rsidRDefault="00902FB2" w:rsidP="00026FF0">
            <w:pPr>
              <w:rPr>
                <w:rFonts w:ascii="Arial" w:hAnsi="Arial" w:cs="Arial"/>
                <w:sz w:val="22"/>
              </w:rPr>
            </w:pPr>
            <w:proofErr w:type="spellStart"/>
            <w:proofErr w:type="gramStart"/>
            <w:r>
              <w:rPr>
                <w:rFonts w:ascii="Arial" w:hAnsi="Arial" w:cs="Arial"/>
                <w:sz w:val="22"/>
              </w:rPr>
              <w:t>pub</w:t>
            </w:r>
            <w:proofErr w:type="gramEnd"/>
            <w:r>
              <w:rPr>
                <w:rFonts w:ascii="Arial" w:hAnsi="Arial" w:cs="Arial"/>
                <w:sz w:val="22"/>
              </w:rPr>
              <w:t>_op</w:t>
            </w:r>
            <w:proofErr w:type="spellEnd"/>
          </w:p>
        </w:tc>
        <w:tc>
          <w:tcPr>
            <w:tcW w:w="5940" w:type="dxa"/>
            <w:tcBorders>
              <w:top w:val="single" w:sz="4" w:space="0" w:color="auto"/>
            </w:tcBorders>
          </w:tcPr>
          <w:p w14:paraId="2203799A" w14:textId="77777777" w:rsidR="00902FB2" w:rsidRPr="00202300" w:rsidRDefault="00902FB2" w:rsidP="00026FF0">
            <w:pPr>
              <w:rPr>
                <w:rFonts w:ascii="Arial" w:hAnsi="Arial" w:cs="Arial"/>
                <w:sz w:val="22"/>
              </w:rPr>
            </w:pPr>
            <w:proofErr w:type="gramStart"/>
            <w:r>
              <w:rPr>
                <w:rFonts w:ascii="Arial" w:hAnsi="Arial" w:cs="Arial"/>
                <w:sz w:val="22"/>
              </w:rPr>
              <w:t>outpatient</w:t>
            </w:r>
            <w:proofErr w:type="gramEnd"/>
            <w:r>
              <w:rPr>
                <w:rFonts w:ascii="Arial" w:hAnsi="Arial" w:cs="Arial"/>
                <w:sz w:val="22"/>
              </w:rPr>
              <w:t xml:space="preserve"> visits at public health facility</w:t>
            </w:r>
          </w:p>
        </w:tc>
      </w:tr>
      <w:tr w:rsidR="00902FB2" w:rsidRPr="00EB6EE0" w14:paraId="6C32E66D" w14:textId="77777777" w:rsidTr="00336474">
        <w:tc>
          <w:tcPr>
            <w:tcW w:w="2160" w:type="dxa"/>
          </w:tcPr>
          <w:p w14:paraId="56F6BBE4" w14:textId="77777777" w:rsidR="00902FB2" w:rsidRPr="00202300" w:rsidRDefault="00902FB2" w:rsidP="00026FF0">
            <w:pPr>
              <w:rPr>
                <w:rFonts w:ascii="Arial" w:hAnsi="Arial" w:cs="Arial"/>
                <w:sz w:val="22"/>
              </w:rPr>
            </w:pPr>
            <w:proofErr w:type="spellStart"/>
            <w:proofErr w:type="gramStart"/>
            <w:r>
              <w:rPr>
                <w:rFonts w:ascii="Arial" w:hAnsi="Arial" w:cs="Arial"/>
                <w:sz w:val="22"/>
              </w:rPr>
              <w:t>pub</w:t>
            </w:r>
            <w:proofErr w:type="gramEnd"/>
            <w:r>
              <w:rPr>
                <w:rFonts w:ascii="Arial" w:hAnsi="Arial" w:cs="Arial"/>
                <w:sz w:val="22"/>
              </w:rPr>
              <w:t>_ip</w:t>
            </w:r>
            <w:proofErr w:type="spellEnd"/>
          </w:p>
        </w:tc>
        <w:tc>
          <w:tcPr>
            <w:tcW w:w="5940" w:type="dxa"/>
          </w:tcPr>
          <w:p w14:paraId="5292FE4E" w14:textId="77777777" w:rsidR="00902FB2" w:rsidRPr="00202300" w:rsidRDefault="00902FB2" w:rsidP="00026FF0">
            <w:pPr>
              <w:rPr>
                <w:rFonts w:ascii="Arial" w:hAnsi="Arial" w:cs="Arial"/>
                <w:sz w:val="22"/>
              </w:rPr>
            </w:pPr>
            <w:proofErr w:type="gramStart"/>
            <w:r>
              <w:rPr>
                <w:rFonts w:ascii="Arial" w:hAnsi="Arial" w:cs="Arial"/>
                <w:sz w:val="22"/>
              </w:rPr>
              <w:t>inpatient</w:t>
            </w:r>
            <w:proofErr w:type="gramEnd"/>
            <w:r>
              <w:rPr>
                <w:rFonts w:ascii="Arial" w:hAnsi="Arial" w:cs="Arial"/>
                <w:sz w:val="22"/>
              </w:rPr>
              <w:t xml:space="preserve"> bed days at public health facility</w:t>
            </w:r>
          </w:p>
        </w:tc>
      </w:tr>
      <w:tr w:rsidR="00902FB2" w:rsidRPr="00EB6EE0" w14:paraId="2A7160A6" w14:textId="77777777" w:rsidTr="00336474">
        <w:tc>
          <w:tcPr>
            <w:tcW w:w="2160" w:type="dxa"/>
          </w:tcPr>
          <w:p w14:paraId="77BED99B" w14:textId="77777777" w:rsidR="00902FB2" w:rsidRDefault="00902FB2" w:rsidP="00026FF0">
            <w:pPr>
              <w:rPr>
                <w:rFonts w:ascii="Arial" w:hAnsi="Arial" w:cs="Arial"/>
                <w:sz w:val="22"/>
              </w:rPr>
            </w:pPr>
            <w:proofErr w:type="spellStart"/>
            <w:proofErr w:type="gramStart"/>
            <w:r w:rsidRPr="00DE75FA">
              <w:rPr>
                <w:rFonts w:ascii="Arial" w:hAnsi="Arial" w:cs="Arial"/>
                <w:sz w:val="22"/>
              </w:rPr>
              <w:t>pub</w:t>
            </w:r>
            <w:proofErr w:type="gramEnd"/>
            <w:r w:rsidRPr="00DE75FA">
              <w:rPr>
                <w:rFonts w:ascii="Arial" w:hAnsi="Arial" w:cs="Arial"/>
                <w:sz w:val="22"/>
              </w:rPr>
              <w:t>_oppc</w:t>
            </w:r>
            <w:proofErr w:type="spellEnd"/>
          </w:p>
        </w:tc>
        <w:tc>
          <w:tcPr>
            <w:tcW w:w="5940" w:type="dxa"/>
          </w:tcPr>
          <w:p w14:paraId="6FAF12CE" w14:textId="77777777" w:rsidR="00902FB2" w:rsidRPr="00202300" w:rsidRDefault="00902FB2" w:rsidP="00026FF0">
            <w:pPr>
              <w:rPr>
                <w:rFonts w:ascii="Arial" w:hAnsi="Arial" w:cs="Arial"/>
                <w:sz w:val="22"/>
              </w:rPr>
            </w:pPr>
            <w:proofErr w:type="gramStart"/>
            <w:r>
              <w:rPr>
                <w:rFonts w:ascii="Arial" w:hAnsi="Arial" w:cs="Arial"/>
                <w:sz w:val="22"/>
              </w:rPr>
              <w:t>per</w:t>
            </w:r>
            <w:proofErr w:type="gramEnd"/>
            <w:r>
              <w:rPr>
                <w:rFonts w:ascii="Arial" w:hAnsi="Arial" w:cs="Arial"/>
                <w:sz w:val="22"/>
              </w:rPr>
              <w:t xml:space="preserve"> capita government subsidy to outpatient care</w:t>
            </w:r>
          </w:p>
        </w:tc>
      </w:tr>
      <w:tr w:rsidR="00902FB2" w:rsidRPr="00EB6EE0" w14:paraId="4C956BFA" w14:textId="77777777" w:rsidTr="00336474">
        <w:tc>
          <w:tcPr>
            <w:tcW w:w="2160" w:type="dxa"/>
          </w:tcPr>
          <w:p w14:paraId="5A9584DD" w14:textId="77777777" w:rsidR="00902FB2" w:rsidRPr="00DE75FA" w:rsidRDefault="00902FB2" w:rsidP="00026FF0">
            <w:pPr>
              <w:rPr>
                <w:rFonts w:ascii="Arial" w:hAnsi="Arial" w:cs="Arial"/>
                <w:sz w:val="22"/>
              </w:rPr>
            </w:pPr>
            <w:proofErr w:type="spellStart"/>
            <w:proofErr w:type="gramStart"/>
            <w:r>
              <w:rPr>
                <w:rFonts w:ascii="Arial" w:hAnsi="Arial" w:cs="Arial"/>
                <w:sz w:val="22"/>
              </w:rPr>
              <w:t>pub</w:t>
            </w:r>
            <w:proofErr w:type="gramEnd"/>
            <w:r>
              <w:rPr>
                <w:rFonts w:ascii="Arial" w:hAnsi="Arial" w:cs="Arial"/>
                <w:sz w:val="22"/>
              </w:rPr>
              <w:t>_i</w:t>
            </w:r>
            <w:r w:rsidRPr="00DE75FA">
              <w:rPr>
                <w:rFonts w:ascii="Arial" w:hAnsi="Arial" w:cs="Arial"/>
                <w:sz w:val="22"/>
              </w:rPr>
              <w:t>ppc</w:t>
            </w:r>
            <w:proofErr w:type="spellEnd"/>
          </w:p>
        </w:tc>
        <w:tc>
          <w:tcPr>
            <w:tcW w:w="5940" w:type="dxa"/>
          </w:tcPr>
          <w:p w14:paraId="3516F3D8" w14:textId="77777777" w:rsidR="00902FB2" w:rsidRPr="00202300" w:rsidRDefault="00902FB2" w:rsidP="00026FF0">
            <w:pPr>
              <w:rPr>
                <w:rFonts w:ascii="Arial" w:hAnsi="Arial" w:cs="Arial"/>
                <w:sz w:val="22"/>
              </w:rPr>
            </w:pPr>
            <w:proofErr w:type="gramStart"/>
            <w:r>
              <w:rPr>
                <w:rFonts w:ascii="Arial" w:hAnsi="Arial" w:cs="Arial"/>
                <w:sz w:val="22"/>
              </w:rPr>
              <w:t>per</w:t>
            </w:r>
            <w:proofErr w:type="gramEnd"/>
            <w:r>
              <w:rPr>
                <w:rFonts w:ascii="Arial" w:hAnsi="Arial" w:cs="Arial"/>
                <w:sz w:val="22"/>
              </w:rPr>
              <w:t xml:space="preserve"> capita government subsidy to inpatient care</w:t>
            </w:r>
          </w:p>
        </w:tc>
      </w:tr>
      <w:tr w:rsidR="00902FB2" w:rsidRPr="00EB6EE0" w14:paraId="6FC29BD4" w14:textId="77777777" w:rsidTr="00336474">
        <w:tc>
          <w:tcPr>
            <w:tcW w:w="2160" w:type="dxa"/>
          </w:tcPr>
          <w:p w14:paraId="1B5C2CBD" w14:textId="77777777" w:rsidR="00902FB2" w:rsidRDefault="00902FB2" w:rsidP="00026FF0">
            <w:pPr>
              <w:rPr>
                <w:rFonts w:ascii="Arial" w:hAnsi="Arial" w:cs="Arial"/>
                <w:sz w:val="22"/>
              </w:rPr>
            </w:pPr>
            <w:proofErr w:type="spellStart"/>
            <w:proofErr w:type="gramStart"/>
            <w:r>
              <w:rPr>
                <w:rFonts w:ascii="Arial" w:hAnsi="Arial" w:cs="Arial"/>
                <w:sz w:val="22"/>
              </w:rPr>
              <w:t>pub</w:t>
            </w:r>
            <w:proofErr w:type="gramEnd"/>
            <w:r>
              <w:rPr>
                <w:rFonts w:ascii="Arial" w:hAnsi="Arial" w:cs="Arial"/>
                <w:sz w:val="22"/>
              </w:rPr>
              <w:t>_totpc</w:t>
            </w:r>
            <w:proofErr w:type="spellEnd"/>
          </w:p>
        </w:tc>
        <w:tc>
          <w:tcPr>
            <w:tcW w:w="5940" w:type="dxa"/>
          </w:tcPr>
          <w:p w14:paraId="3A2D1D1C" w14:textId="77777777" w:rsidR="00902FB2" w:rsidRPr="00202300" w:rsidRDefault="00902FB2" w:rsidP="00026FF0">
            <w:pPr>
              <w:rPr>
                <w:rFonts w:ascii="Arial" w:hAnsi="Arial" w:cs="Arial"/>
                <w:sz w:val="22"/>
              </w:rPr>
            </w:pPr>
            <w:proofErr w:type="gramStart"/>
            <w:r>
              <w:rPr>
                <w:rFonts w:ascii="Arial" w:hAnsi="Arial" w:cs="Arial"/>
                <w:sz w:val="22"/>
              </w:rPr>
              <w:t>per</w:t>
            </w:r>
            <w:proofErr w:type="gramEnd"/>
            <w:r>
              <w:rPr>
                <w:rFonts w:ascii="Arial" w:hAnsi="Arial" w:cs="Arial"/>
                <w:sz w:val="22"/>
              </w:rPr>
              <w:t xml:space="preserve"> capita total government subsidy to health</w:t>
            </w:r>
          </w:p>
        </w:tc>
      </w:tr>
      <w:tr w:rsidR="00902FB2" w:rsidRPr="00EB6EE0" w14:paraId="2B00DEFC" w14:textId="77777777" w:rsidTr="00336474">
        <w:tc>
          <w:tcPr>
            <w:tcW w:w="2160" w:type="dxa"/>
          </w:tcPr>
          <w:p w14:paraId="17E0F9FF" w14:textId="77777777" w:rsidR="00902FB2" w:rsidRDefault="00902FB2" w:rsidP="00026FF0">
            <w:pPr>
              <w:rPr>
                <w:rFonts w:ascii="Arial" w:hAnsi="Arial" w:cs="Arial"/>
                <w:sz w:val="22"/>
              </w:rPr>
            </w:pPr>
            <w:proofErr w:type="spellStart"/>
            <w:proofErr w:type="gramStart"/>
            <w:r w:rsidRPr="00DE75FA">
              <w:rPr>
                <w:rFonts w:ascii="Arial" w:hAnsi="Arial" w:cs="Arial"/>
                <w:sz w:val="22"/>
              </w:rPr>
              <w:t>provider</w:t>
            </w:r>
            <w:proofErr w:type="gramEnd"/>
            <w:r w:rsidRPr="00DE75FA">
              <w:rPr>
                <w:rFonts w:ascii="Arial" w:hAnsi="Arial" w:cs="Arial"/>
                <w:sz w:val="22"/>
              </w:rPr>
              <w:t>_opd</w:t>
            </w:r>
            <w:proofErr w:type="spellEnd"/>
          </w:p>
        </w:tc>
        <w:tc>
          <w:tcPr>
            <w:tcW w:w="5940" w:type="dxa"/>
          </w:tcPr>
          <w:p w14:paraId="2CE3675B" w14:textId="77777777" w:rsidR="00902FB2" w:rsidRPr="00202300" w:rsidRDefault="00902FB2" w:rsidP="00026FF0">
            <w:pPr>
              <w:rPr>
                <w:rFonts w:ascii="Arial" w:hAnsi="Arial" w:cs="Arial"/>
                <w:sz w:val="22"/>
              </w:rPr>
            </w:pPr>
            <w:proofErr w:type="gramStart"/>
            <w:r>
              <w:rPr>
                <w:rFonts w:ascii="Arial" w:hAnsi="Arial" w:cs="Arial"/>
                <w:sz w:val="22"/>
              </w:rPr>
              <w:t>public</w:t>
            </w:r>
            <w:proofErr w:type="gramEnd"/>
            <w:r>
              <w:rPr>
                <w:rFonts w:ascii="Arial" w:hAnsi="Arial" w:cs="Arial"/>
                <w:sz w:val="22"/>
              </w:rPr>
              <w:t xml:space="preserve"> health facility provided outpatient admissions</w:t>
            </w:r>
          </w:p>
        </w:tc>
      </w:tr>
      <w:tr w:rsidR="00902FB2" w:rsidRPr="00EB6EE0" w14:paraId="44762AF7" w14:textId="77777777" w:rsidTr="00336474">
        <w:tc>
          <w:tcPr>
            <w:tcW w:w="2160" w:type="dxa"/>
          </w:tcPr>
          <w:p w14:paraId="5B77239D" w14:textId="77777777" w:rsidR="00902FB2" w:rsidRDefault="00902FB2" w:rsidP="00026FF0">
            <w:pPr>
              <w:rPr>
                <w:rFonts w:ascii="Arial" w:hAnsi="Arial" w:cs="Arial"/>
                <w:sz w:val="22"/>
              </w:rPr>
            </w:pPr>
            <w:proofErr w:type="spellStart"/>
            <w:proofErr w:type="gramStart"/>
            <w:r>
              <w:rPr>
                <w:rFonts w:ascii="Arial" w:hAnsi="Arial" w:cs="Arial"/>
                <w:sz w:val="22"/>
              </w:rPr>
              <w:t>provider</w:t>
            </w:r>
            <w:proofErr w:type="gramEnd"/>
            <w:r>
              <w:rPr>
                <w:rFonts w:ascii="Arial" w:hAnsi="Arial" w:cs="Arial"/>
                <w:sz w:val="22"/>
              </w:rPr>
              <w:t>_i</w:t>
            </w:r>
            <w:r w:rsidRPr="00DE75FA">
              <w:rPr>
                <w:rFonts w:ascii="Arial" w:hAnsi="Arial" w:cs="Arial"/>
                <w:sz w:val="22"/>
              </w:rPr>
              <w:t>pd</w:t>
            </w:r>
            <w:proofErr w:type="spellEnd"/>
          </w:p>
        </w:tc>
        <w:tc>
          <w:tcPr>
            <w:tcW w:w="5940" w:type="dxa"/>
          </w:tcPr>
          <w:p w14:paraId="049E357A" w14:textId="77777777" w:rsidR="00902FB2" w:rsidRPr="00202300" w:rsidRDefault="00902FB2" w:rsidP="00026FF0">
            <w:pPr>
              <w:rPr>
                <w:rFonts w:ascii="Arial" w:hAnsi="Arial" w:cs="Arial"/>
                <w:sz w:val="22"/>
              </w:rPr>
            </w:pPr>
            <w:proofErr w:type="gramStart"/>
            <w:r>
              <w:rPr>
                <w:rFonts w:ascii="Arial" w:hAnsi="Arial" w:cs="Arial"/>
                <w:sz w:val="22"/>
              </w:rPr>
              <w:t>public</w:t>
            </w:r>
            <w:proofErr w:type="gramEnd"/>
            <w:r>
              <w:rPr>
                <w:rFonts w:ascii="Arial" w:hAnsi="Arial" w:cs="Arial"/>
                <w:sz w:val="22"/>
              </w:rPr>
              <w:t xml:space="preserve"> health facility provided inpatient admissions</w:t>
            </w:r>
          </w:p>
        </w:tc>
      </w:tr>
      <w:tr w:rsidR="00902FB2" w:rsidRPr="00EB6EE0" w14:paraId="272D3B54" w14:textId="77777777" w:rsidTr="00336474">
        <w:tc>
          <w:tcPr>
            <w:tcW w:w="2160" w:type="dxa"/>
          </w:tcPr>
          <w:p w14:paraId="045B0E91" w14:textId="77777777" w:rsidR="00902FB2" w:rsidRDefault="00902FB2" w:rsidP="00026FF0">
            <w:pPr>
              <w:rPr>
                <w:rFonts w:ascii="Arial" w:hAnsi="Arial" w:cs="Arial"/>
                <w:sz w:val="22"/>
              </w:rPr>
            </w:pPr>
            <w:proofErr w:type="gramStart"/>
            <w:r>
              <w:rPr>
                <w:rFonts w:ascii="Arial" w:hAnsi="Arial" w:cs="Arial"/>
                <w:sz w:val="22"/>
              </w:rPr>
              <w:t>gender</w:t>
            </w:r>
            <w:proofErr w:type="gramEnd"/>
          </w:p>
        </w:tc>
        <w:tc>
          <w:tcPr>
            <w:tcW w:w="5940" w:type="dxa"/>
          </w:tcPr>
          <w:p w14:paraId="344A7312" w14:textId="77777777" w:rsidR="00902FB2" w:rsidRPr="00202300" w:rsidRDefault="00902FB2" w:rsidP="00026FF0">
            <w:pPr>
              <w:rPr>
                <w:rFonts w:ascii="Arial" w:hAnsi="Arial" w:cs="Arial"/>
                <w:sz w:val="22"/>
              </w:rPr>
            </w:pPr>
            <w:proofErr w:type="gramStart"/>
            <w:r>
              <w:rPr>
                <w:rFonts w:ascii="Arial" w:hAnsi="Arial" w:cs="Arial"/>
                <w:sz w:val="22"/>
              </w:rPr>
              <w:t>gender</w:t>
            </w:r>
            <w:proofErr w:type="gramEnd"/>
          </w:p>
        </w:tc>
      </w:tr>
      <w:tr w:rsidR="00902FB2" w:rsidRPr="00EB6EE0" w14:paraId="25761369" w14:textId="77777777" w:rsidTr="00336474">
        <w:tc>
          <w:tcPr>
            <w:tcW w:w="2160" w:type="dxa"/>
          </w:tcPr>
          <w:p w14:paraId="0D49CB6D" w14:textId="77777777" w:rsidR="00902FB2" w:rsidRDefault="00902FB2" w:rsidP="00026FF0">
            <w:pPr>
              <w:rPr>
                <w:rFonts w:ascii="Arial" w:hAnsi="Arial" w:cs="Arial"/>
                <w:sz w:val="22"/>
              </w:rPr>
            </w:pPr>
            <w:proofErr w:type="gramStart"/>
            <w:r>
              <w:rPr>
                <w:rFonts w:ascii="Arial" w:hAnsi="Arial" w:cs="Arial"/>
                <w:sz w:val="22"/>
              </w:rPr>
              <w:t>urban</w:t>
            </w:r>
            <w:proofErr w:type="gramEnd"/>
          </w:p>
        </w:tc>
        <w:tc>
          <w:tcPr>
            <w:tcW w:w="5940" w:type="dxa"/>
          </w:tcPr>
          <w:p w14:paraId="630DDA21" w14:textId="77777777" w:rsidR="00902FB2" w:rsidRPr="00202300" w:rsidRDefault="00902FB2" w:rsidP="00026FF0">
            <w:pPr>
              <w:rPr>
                <w:rFonts w:ascii="Arial" w:hAnsi="Arial" w:cs="Arial"/>
                <w:sz w:val="22"/>
              </w:rPr>
            </w:pPr>
            <w:proofErr w:type="gramStart"/>
            <w:r>
              <w:rPr>
                <w:rFonts w:ascii="Arial" w:hAnsi="Arial" w:cs="Arial"/>
                <w:sz w:val="22"/>
              </w:rPr>
              <w:t>urban</w:t>
            </w:r>
            <w:proofErr w:type="gramEnd"/>
            <w:r>
              <w:rPr>
                <w:rFonts w:ascii="Arial" w:hAnsi="Arial" w:cs="Arial"/>
                <w:sz w:val="22"/>
              </w:rPr>
              <w:t xml:space="preserve"> and rural </w:t>
            </w:r>
          </w:p>
        </w:tc>
      </w:tr>
      <w:tr w:rsidR="00902FB2" w:rsidRPr="00EB6EE0" w14:paraId="1B5F0B24" w14:textId="77777777" w:rsidTr="00336474">
        <w:tc>
          <w:tcPr>
            <w:tcW w:w="2160" w:type="dxa"/>
          </w:tcPr>
          <w:p w14:paraId="3DD35A71" w14:textId="77777777" w:rsidR="00902FB2" w:rsidRDefault="00902FB2" w:rsidP="00026FF0">
            <w:pPr>
              <w:rPr>
                <w:rFonts w:ascii="Arial" w:hAnsi="Arial" w:cs="Arial"/>
                <w:sz w:val="22"/>
              </w:rPr>
            </w:pPr>
            <w:proofErr w:type="spellStart"/>
            <w:proofErr w:type="gramStart"/>
            <w:r>
              <w:rPr>
                <w:rFonts w:ascii="Arial" w:hAnsi="Arial" w:cs="Arial"/>
                <w:sz w:val="22"/>
              </w:rPr>
              <w:t>peqcons</w:t>
            </w:r>
            <w:proofErr w:type="spellEnd"/>
            <w:proofErr w:type="gramEnd"/>
          </w:p>
        </w:tc>
        <w:tc>
          <w:tcPr>
            <w:tcW w:w="5940" w:type="dxa"/>
          </w:tcPr>
          <w:p w14:paraId="70417CD6" w14:textId="77777777" w:rsidR="00902FB2" w:rsidRPr="00202300" w:rsidRDefault="00902FB2" w:rsidP="00026FF0">
            <w:pPr>
              <w:rPr>
                <w:rFonts w:ascii="Arial" w:hAnsi="Arial" w:cs="Arial"/>
                <w:sz w:val="22"/>
              </w:rPr>
            </w:pPr>
            <w:proofErr w:type="gramStart"/>
            <w:r>
              <w:rPr>
                <w:rFonts w:ascii="Arial" w:hAnsi="Arial" w:cs="Arial"/>
                <w:sz w:val="22"/>
              </w:rPr>
              <w:t>per</w:t>
            </w:r>
            <w:proofErr w:type="gramEnd"/>
            <w:r>
              <w:rPr>
                <w:rFonts w:ascii="Arial" w:hAnsi="Arial" w:cs="Arial"/>
                <w:sz w:val="22"/>
              </w:rPr>
              <w:t xml:space="preserve"> capita equivalent expenditure</w:t>
            </w:r>
          </w:p>
        </w:tc>
      </w:tr>
      <w:tr w:rsidR="00902FB2" w:rsidRPr="00EB6EE0" w14:paraId="79113E6E" w14:textId="77777777" w:rsidTr="00336474">
        <w:tc>
          <w:tcPr>
            <w:tcW w:w="2160" w:type="dxa"/>
          </w:tcPr>
          <w:p w14:paraId="283B1F0C" w14:textId="420125F8" w:rsidR="00902FB2" w:rsidRPr="00202300" w:rsidRDefault="002F000E" w:rsidP="00026FF0">
            <w:pPr>
              <w:rPr>
                <w:rFonts w:ascii="Arial" w:hAnsi="Arial" w:cs="Arial"/>
                <w:sz w:val="22"/>
              </w:rPr>
            </w:pPr>
            <w:proofErr w:type="spellStart"/>
            <w:proofErr w:type="gramStart"/>
            <w:r>
              <w:rPr>
                <w:rFonts w:ascii="Arial" w:hAnsi="Arial" w:cs="Arial"/>
                <w:sz w:val="22"/>
              </w:rPr>
              <w:t>hhw</w:t>
            </w:r>
            <w:proofErr w:type="spellEnd"/>
            <w:proofErr w:type="gramEnd"/>
          </w:p>
        </w:tc>
        <w:tc>
          <w:tcPr>
            <w:tcW w:w="5940" w:type="dxa"/>
          </w:tcPr>
          <w:p w14:paraId="7F22E752" w14:textId="77777777" w:rsidR="00902FB2" w:rsidRPr="00202300" w:rsidRDefault="00902FB2" w:rsidP="00026FF0">
            <w:pPr>
              <w:rPr>
                <w:rFonts w:ascii="Arial" w:hAnsi="Arial" w:cs="Arial"/>
                <w:sz w:val="22"/>
              </w:rPr>
            </w:pPr>
            <w:proofErr w:type="gramStart"/>
            <w:r>
              <w:rPr>
                <w:rFonts w:ascii="Arial" w:hAnsi="Arial" w:cs="Arial"/>
                <w:sz w:val="22"/>
              </w:rPr>
              <w:t>household</w:t>
            </w:r>
            <w:proofErr w:type="gramEnd"/>
            <w:r>
              <w:rPr>
                <w:rFonts w:ascii="Arial" w:hAnsi="Arial" w:cs="Arial"/>
                <w:sz w:val="22"/>
              </w:rPr>
              <w:t xml:space="preserve"> weight</w:t>
            </w:r>
          </w:p>
        </w:tc>
      </w:tr>
    </w:tbl>
    <w:p w14:paraId="2594F5BA" w14:textId="77777777" w:rsidR="00902FB2" w:rsidRDefault="00902FB2" w:rsidP="00902FB2">
      <w:pPr>
        <w:rPr>
          <w:lang w:val="en-GB"/>
        </w:rPr>
      </w:pPr>
    </w:p>
    <w:p w14:paraId="5EA3AC79" w14:textId="11924426" w:rsidR="00580844" w:rsidRPr="003B034C" w:rsidRDefault="00F6574A" w:rsidP="003B034C">
      <w:pPr>
        <w:pStyle w:val="Heading2"/>
        <w:rPr>
          <w:rFonts w:ascii="Arial" w:hAnsi="Arial" w:cs="Arial"/>
          <w:lang w:val="en-GB"/>
        </w:rPr>
      </w:pPr>
      <w:bookmarkStart w:id="17" w:name="_Toc305764307"/>
      <w:r w:rsidRPr="003B034C">
        <w:rPr>
          <w:rFonts w:ascii="Arial" w:hAnsi="Arial" w:cs="Arial"/>
          <w:lang w:val="en-GB"/>
        </w:rPr>
        <w:t>Analysis results</w:t>
      </w:r>
      <w:bookmarkEnd w:id="17"/>
      <w:r w:rsidRPr="003B034C">
        <w:rPr>
          <w:rFonts w:ascii="Arial" w:hAnsi="Arial" w:cs="Arial"/>
          <w:lang w:val="en-GB"/>
        </w:rPr>
        <w:t xml:space="preserve"> </w:t>
      </w:r>
    </w:p>
    <w:p w14:paraId="481C77DF" w14:textId="77777777" w:rsidR="000A4935" w:rsidRDefault="000A4935" w:rsidP="00D66F3C">
      <w:pPr>
        <w:jc w:val="both"/>
        <w:rPr>
          <w:lang w:val="en-GB"/>
        </w:rPr>
      </w:pPr>
    </w:p>
    <w:p w14:paraId="072F7EA8" w14:textId="77777777" w:rsidR="00736172" w:rsidRPr="008203ED" w:rsidRDefault="00736172" w:rsidP="00736172">
      <w:pPr>
        <w:jc w:val="both"/>
        <w:rPr>
          <w:rFonts w:ascii="Arial" w:hAnsi="Arial" w:cs="Arial"/>
          <w:lang w:val="en-GB"/>
        </w:rPr>
      </w:pPr>
      <w:r w:rsidRPr="008203ED">
        <w:rPr>
          <w:rFonts w:ascii="Arial" w:hAnsi="Arial" w:cs="Arial"/>
          <w:lang w:val="en-GB"/>
        </w:rPr>
        <w:t>Results of the analysis of 2010-2012 Household Socio Economic Survey data cover:</w:t>
      </w:r>
    </w:p>
    <w:p w14:paraId="441AA1F0" w14:textId="77777777" w:rsidR="00736172" w:rsidRPr="008203ED" w:rsidRDefault="00736172" w:rsidP="00736172">
      <w:pPr>
        <w:jc w:val="both"/>
        <w:rPr>
          <w:rFonts w:ascii="Arial" w:hAnsi="Arial" w:cs="Arial"/>
          <w:lang w:val="en-GB"/>
        </w:rPr>
      </w:pPr>
    </w:p>
    <w:p w14:paraId="4CC342C9" w14:textId="77777777" w:rsidR="00736172" w:rsidRPr="008203ED" w:rsidRDefault="00736172" w:rsidP="00736172">
      <w:pPr>
        <w:pStyle w:val="ListParagraph"/>
        <w:numPr>
          <w:ilvl w:val="0"/>
          <w:numId w:val="13"/>
        </w:numPr>
        <w:jc w:val="both"/>
        <w:rPr>
          <w:rFonts w:ascii="Arial" w:hAnsi="Arial" w:cs="Arial"/>
          <w:lang w:val="en-GB"/>
        </w:rPr>
      </w:pPr>
      <w:r w:rsidRPr="008203ED">
        <w:rPr>
          <w:rFonts w:ascii="Arial" w:hAnsi="Arial" w:cs="Arial"/>
          <w:lang w:val="en-GB"/>
        </w:rPr>
        <w:t>Health services utilization</w:t>
      </w:r>
    </w:p>
    <w:p w14:paraId="79E6079C" w14:textId="77777777" w:rsidR="00736172" w:rsidRPr="008203ED" w:rsidRDefault="00736172" w:rsidP="00736172">
      <w:pPr>
        <w:pStyle w:val="ListParagraph"/>
        <w:numPr>
          <w:ilvl w:val="0"/>
          <w:numId w:val="13"/>
        </w:numPr>
        <w:jc w:val="both"/>
        <w:rPr>
          <w:rFonts w:ascii="Arial" w:hAnsi="Arial" w:cs="Arial"/>
          <w:lang w:val="en-GB"/>
        </w:rPr>
      </w:pPr>
      <w:r w:rsidRPr="008203ED">
        <w:rPr>
          <w:rFonts w:ascii="Arial" w:hAnsi="Arial" w:cs="Arial"/>
          <w:lang w:val="en-GB"/>
        </w:rPr>
        <w:t>Catastrophic health payments</w:t>
      </w:r>
    </w:p>
    <w:p w14:paraId="08BEEFC6" w14:textId="77777777" w:rsidR="00736172" w:rsidRPr="008203ED" w:rsidRDefault="00EB5D1A" w:rsidP="00736172">
      <w:pPr>
        <w:pStyle w:val="ListParagraph"/>
        <w:numPr>
          <w:ilvl w:val="0"/>
          <w:numId w:val="13"/>
        </w:numPr>
        <w:jc w:val="both"/>
        <w:rPr>
          <w:rFonts w:ascii="Arial" w:hAnsi="Arial" w:cs="Arial"/>
          <w:lang w:val="en-GB"/>
        </w:rPr>
      </w:pPr>
      <w:r>
        <w:rPr>
          <w:rFonts w:ascii="Arial" w:hAnsi="Arial" w:cs="Arial"/>
          <w:lang w:val="en-GB"/>
        </w:rPr>
        <w:t>Impoverishing</w:t>
      </w:r>
      <w:r w:rsidR="00736172" w:rsidRPr="00FD4069">
        <w:rPr>
          <w:rFonts w:ascii="Arial" w:hAnsi="Arial" w:cs="Arial"/>
          <w:lang w:val="en-GB"/>
        </w:rPr>
        <w:t xml:space="preserve"> </w:t>
      </w:r>
      <w:r w:rsidR="00736172" w:rsidRPr="008203ED">
        <w:rPr>
          <w:rFonts w:ascii="Arial" w:hAnsi="Arial" w:cs="Arial"/>
          <w:lang w:val="en-GB"/>
        </w:rPr>
        <w:t>health payments</w:t>
      </w:r>
    </w:p>
    <w:p w14:paraId="20013B66" w14:textId="77777777" w:rsidR="00736172" w:rsidRPr="00FD4069" w:rsidRDefault="00736172" w:rsidP="00736172">
      <w:pPr>
        <w:pStyle w:val="ListParagraph"/>
        <w:numPr>
          <w:ilvl w:val="0"/>
          <w:numId w:val="13"/>
        </w:numPr>
        <w:jc w:val="both"/>
        <w:rPr>
          <w:rFonts w:ascii="Arial" w:hAnsi="Arial" w:cs="Arial"/>
          <w:lang w:val="en-GB"/>
        </w:rPr>
      </w:pPr>
      <w:r w:rsidRPr="00FD4069">
        <w:rPr>
          <w:rFonts w:ascii="Arial" w:hAnsi="Arial" w:cs="Arial"/>
          <w:lang w:val="en-GB"/>
        </w:rPr>
        <w:t>Benefit and incidences of government subsidy for health</w:t>
      </w:r>
    </w:p>
    <w:p w14:paraId="6A5081EF" w14:textId="77777777" w:rsidR="008203ED" w:rsidRDefault="008203ED" w:rsidP="008203ED">
      <w:pPr>
        <w:pStyle w:val="Heading3"/>
        <w:spacing w:before="0"/>
        <w:jc w:val="both"/>
        <w:rPr>
          <w:rFonts w:ascii="Arial" w:hAnsi="Arial" w:cs="Arial"/>
          <w:lang w:val="en-GB"/>
        </w:rPr>
      </w:pPr>
    </w:p>
    <w:p w14:paraId="7CBA4244" w14:textId="0F557ED4" w:rsidR="00AA647E" w:rsidRPr="00AA647E" w:rsidRDefault="00AA647E" w:rsidP="00AA647E">
      <w:pPr>
        <w:rPr>
          <w:rFonts w:ascii="Arial" w:hAnsi="Arial"/>
        </w:rPr>
      </w:pPr>
      <w:r w:rsidRPr="00AA647E">
        <w:rPr>
          <w:rFonts w:ascii="Arial" w:hAnsi="Arial"/>
        </w:rPr>
        <w:t>In order to compare the results over time we also referred back to HSES 2009 outputs where appropriate.</w:t>
      </w:r>
    </w:p>
    <w:p w14:paraId="5BEE3FA2" w14:textId="77777777" w:rsidR="006A468A" w:rsidRDefault="006A468A" w:rsidP="006A468A">
      <w:pPr>
        <w:pStyle w:val="Heading3"/>
        <w:spacing w:before="0"/>
        <w:jc w:val="both"/>
        <w:rPr>
          <w:rFonts w:ascii="Arial" w:hAnsi="Arial" w:cs="Arial"/>
          <w:lang w:val="en-GB"/>
        </w:rPr>
      </w:pPr>
    </w:p>
    <w:p w14:paraId="2D958B69" w14:textId="77777777" w:rsidR="00580844" w:rsidRPr="009712D5" w:rsidRDefault="00580844" w:rsidP="00A668EF">
      <w:pPr>
        <w:pStyle w:val="Heading3"/>
        <w:jc w:val="both"/>
        <w:rPr>
          <w:rFonts w:ascii="Arial" w:hAnsi="Arial" w:cs="Arial"/>
          <w:lang w:val="en-GB"/>
        </w:rPr>
      </w:pPr>
      <w:bookmarkStart w:id="18" w:name="_Toc305764308"/>
      <w:r w:rsidRPr="009712D5">
        <w:rPr>
          <w:rFonts w:ascii="Arial" w:hAnsi="Arial" w:cs="Arial"/>
          <w:lang w:val="en-GB"/>
        </w:rPr>
        <w:t>Health service utilization</w:t>
      </w:r>
      <w:bookmarkEnd w:id="18"/>
    </w:p>
    <w:p w14:paraId="5D120FF6" w14:textId="77777777" w:rsidR="00A668EF" w:rsidRDefault="00A668EF" w:rsidP="00A668EF"/>
    <w:p w14:paraId="18FB41E3" w14:textId="14687CB6" w:rsidR="001917BA" w:rsidRDefault="00DB51B0" w:rsidP="00FD4069">
      <w:pPr>
        <w:jc w:val="both"/>
        <w:rPr>
          <w:rFonts w:ascii="Arial" w:hAnsi="Arial" w:cs="Arial"/>
        </w:rPr>
      </w:pPr>
      <w:r>
        <w:rPr>
          <w:rFonts w:ascii="Arial" w:hAnsi="Arial"/>
        </w:rPr>
        <w:t xml:space="preserve">The health services utilization rates are estimated based on percentages of population accessed </w:t>
      </w:r>
      <w:r w:rsidR="006A468A">
        <w:rPr>
          <w:rFonts w:ascii="Arial" w:hAnsi="Arial"/>
        </w:rPr>
        <w:t xml:space="preserve">outpatient and inpatient </w:t>
      </w:r>
      <w:r>
        <w:rPr>
          <w:rFonts w:ascii="Arial" w:hAnsi="Arial"/>
        </w:rPr>
        <w:t xml:space="preserve">health services when reported their illness or need for health services. </w:t>
      </w:r>
      <w:r w:rsidR="00BF6225" w:rsidRPr="00BF6225">
        <w:rPr>
          <w:rFonts w:ascii="Arial" w:hAnsi="Arial" w:cs="Arial"/>
        </w:rPr>
        <w:t>Over</w:t>
      </w:r>
      <w:r w:rsidR="00D56BBD">
        <w:rPr>
          <w:rFonts w:ascii="Arial" w:hAnsi="Arial" w:cs="Arial"/>
        </w:rPr>
        <w:t>time</w:t>
      </w:r>
      <w:r w:rsidR="00BF6225" w:rsidRPr="00BF6225">
        <w:rPr>
          <w:rFonts w:ascii="Arial" w:hAnsi="Arial" w:cs="Arial"/>
        </w:rPr>
        <w:t xml:space="preserve">, </w:t>
      </w:r>
      <w:r w:rsidR="00BF6225">
        <w:rPr>
          <w:rFonts w:ascii="Arial" w:hAnsi="Arial" w:cs="Arial"/>
        </w:rPr>
        <w:t xml:space="preserve">the </w:t>
      </w:r>
      <w:r w:rsidR="00447BB0">
        <w:rPr>
          <w:rFonts w:ascii="Arial" w:hAnsi="Arial" w:cs="Arial"/>
        </w:rPr>
        <w:t>health service</w:t>
      </w:r>
      <w:r w:rsidR="00BE0B1D">
        <w:rPr>
          <w:rFonts w:ascii="Arial" w:hAnsi="Arial" w:cs="Arial"/>
        </w:rPr>
        <w:t xml:space="preserve"> utilization</w:t>
      </w:r>
      <w:r w:rsidR="00BF6225" w:rsidRPr="00BF6225">
        <w:rPr>
          <w:rFonts w:ascii="Arial" w:hAnsi="Arial" w:cs="Arial"/>
        </w:rPr>
        <w:t xml:space="preserve"> </w:t>
      </w:r>
      <w:r w:rsidR="00BF6225">
        <w:rPr>
          <w:rFonts w:ascii="Arial" w:hAnsi="Arial" w:cs="Arial"/>
        </w:rPr>
        <w:t xml:space="preserve">by Mongolian people </w:t>
      </w:r>
      <w:r w:rsidR="00BE0B1D" w:rsidRPr="00BF6225">
        <w:rPr>
          <w:rFonts w:ascii="Arial" w:hAnsi="Arial" w:cs="Arial"/>
        </w:rPr>
        <w:t>has</w:t>
      </w:r>
      <w:r w:rsidR="00BF6225" w:rsidRPr="00BF6225">
        <w:rPr>
          <w:rFonts w:ascii="Arial" w:hAnsi="Arial" w:cs="Arial"/>
        </w:rPr>
        <w:t xml:space="preserve"> shown moderate</w:t>
      </w:r>
      <w:r w:rsidR="003D4D46">
        <w:rPr>
          <w:rFonts w:ascii="Arial" w:hAnsi="Arial" w:cs="Arial"/>
        </w:rPr>
        <w:t xml:space="preserve"> but</w:t>
      </w:r>
      <w:r w:rsidR="00BF6225" w:rsidRPr="00BF6225">
        <w:rPr>
          <w:rFonts w:ascii="Arial" w:hAnsi="Arial" w:cs="Arial"/>
        </w:rPr>
        <w:t xml:space="preserve"> increasing trend </w:t>
      </w:r>
      <w:r w:rsidR="00447BB0">
        <w:rPr>
          <w:rFonts w:ascii="Arial" w:hAnsi="Arial" w:cs="Arial"/>
        </w:rPr>
        <w:t xml:space="preserve">during </w:t>
      </w:r>
      <w:r w:rsidR="00BF6225" w:rsidRPr="00BF6225">
        <w:rPr>
          <w:rFonts w:ascii="Arial" w:hAnsi="Arial" w:cs="Arial"/>
        </w:rPr>
        <w:t>2010-2012</w:t>
      </w:r>
      <w:r w:rsidR="00DC5A8F">
        <w:rPr>
          <w:rFonts w:ascii="Arial" w:hAnsi="Arial" w:cs="Arial"/>
        </w:rPr>
        <w:t xml:space="preserve"> and compared to 2009</w:t>
      </w:r>
      <w:r w:rsidR="00244E37">
        <w:rPr>
          <w:rFonts w:ascii="Arial" w:hAnsi="Arial" w:cs="Arial"/>
        </w:rPr>
        <w:t xml:space="preserve">. The outpatient service utilization reached 80% of those reported being sick </w:t>
      </w:r>
      <w:r w:rsidR="00DC5A8F">
        <w:rPr>
          <w:rFonts w:ascii="Arial" w:hAnsi="Arial" w:cs="Arial"/>
        </w:rPr>
        <w:t xml:space="preserve">in 2012 </w:t>
      </w:r>
      <w:r w:rsidR="00244E37">
        <w:rPr>
          <w:rFonts w:ascii="Arial" w:hAnsi="Arial" w:cs="Arial"/>
        </w:rPr>
        <w:t>in</w:t>
      </w:r>
      <w:r w:rsidR="006A468A">
        <w:rPr>
          <w:rFonts w:ascii="Arial" w:hAnsi="Arial" w:cs="Arial"/>
        </w:rPr>
        <w:t xml:space="preserve"> comparison to </w:t>
      </w:r>
      <w:r w:rsidR="00DC5A8F">
        <w:rPr>
          <w:rFonts w:ascii="Arial" w:hAnsi="Arial" w:cs="Arial"/>
        </w:rPr>
        <w:t>77</w:t>
      </w:r>
      <w:r w:rsidR="00244E37">
        <w:rPr>
          <w:rFonts w:ascii="Arial" w:hAnsi="Arial" w:cs="Arial"/>
        </w:rPr>
        <w:t xml:space="preserve">% in the early analysis of </w:t>
      </w:r>
      <w:r w:rsidR="006A468A">
        <w:rPr>
          <w:rFonts w:ascii="Arial" w:hAnsi="Arial" w:cs="Arial"/>
        </w:rPr>
        <w:t xml:space="preserve">HSES </w:t>
      </w:r>
      <w:r w:rsidR="00244E37">
        <w:rPr>
          <w:rFonts w:ascii="Arial" w:hAnsi="Arial" w:cs="Arial"/>
        </w:rPr>
        <w:t>2009. Similarly, more people accessed inpatient care (11% in 2012) than in 2009 (9% in 2009).</w:t>
      </w:r>
    </w:p>
    <w:p w14:paraId="0B3FFA17" w14:textId="77777777" w:rsidR="00DC5A8F" w:rsidRDefault="00DC5A8F" w:rsidP="00FD4069">
      <w:pPr>
        <w:jc w:val="both"/>
        <w:rPr>
          <w:rFonts w:ascii="Arial" w:hAnsi="Arial" w:cs="Arial"/>
        </w:rPr>
      </w:pPr>
    </w:p>
    <w:p w14:paraId="2660A1D9" w14:textId="7D621095" w:rsidR="0084142B" w:rsidRDefault="0084142B" w:rsidP="0084142B">
      <w:pPr>
        <w:pStyle w:val="Caption"/>
        <w:spacing w:after="0"/>
        <w:rPr>
          <w:rFonts w:ascii="Arial" w:hAnsi="Arial" w:cs="Arial"/>
          <w:b w:val="0"/>
          <w:sz w:val="22"/>
          <w:szCs w:val="22"/>
        </w:rPr>
      </w:pPr>
      <w:bookmarkStart w:id="19" w:name="_Toc310170106"/>
      <w:r w:rsidRPr="00623545">
        <w:rPr>
          <w:rFonts w:ascii="Arial" w:hAnsi="Arial" w:cs="Arial"/>
          <w:b w:val="0"/>
          <w:sz w:val="22"/>
          <w:szCs w:val="22"/>
        </w:rPr>
        <w:lastRenderedPageBreak/>
        <w:t xml:space="preserve">Figure </w:t>
      </w:r>
      <w:r w:rsidRPr="00623545">
        <w:rPr>
          <w:rFonts w:ascii="Arial" w:hAnsi="Arial" w:cs="Arial"/>
          <w:b w:val="0"/>
          <w:sz w:val="22"/>
          <w:szCs w:val="22"/>
        </w:rPr>
        <w:fldChar w:fldCharType="begin"/>
      </w:r>
      <w:r w:rsidRPr="00623545">
        <w:rPr>
          <w:rFonts w:ascii="Arial" w:hAnsi="Arial" w:cs="Arial"/>
          <w:b w:val="0"/>
          <w:sz w:val="22"/>
          <w:szCs w:val="22"/>
        </w:rPr>
        <w:instrText xml:space="preserve"> SEQ Figure \* ARABIC </w:instrText>
      </w:r>
      <w:r w:rsidRPr="00623545">
        <w:rPr>
          <w:rFonts w:ascii="Arial" w:hAnsi="Arial" w:cs="Arial"/>
          <w:b w:val="0"/>
          <w:sz w:val="22"/>
          <w:szCs w:val="22"/>
        </w:rPr>
        <w:fldChar w:fldCharType="separate"/>
      </w:r>
      <w:r>
        <w:rPr>
          <w:rFonts w:ascii="Arial" w:hAnsi="Arial" w:cs="Arial"/>
          <w:b w:val="0"/>
          <w:noProof/>
          <w:sz w:val="22"/>
          <w:szCs w:val="22"/>
        </w:rPr>
        <w:t>1</w:t>
      </w:r>
      <w:r w:rsidRPr="00623545">
        <w:rPr>
          <w:rFonts w:ascii="Arial" w:hAnsi="Arial" w:cs="Arial"/>
          <w:b w:val="0"/>
          <w:sz w:val="22"/>
          <w:szCs w:val="22"/>
        </w:rPr>
        <w:fldChar w:fldCharType="end"/>
      </w:r>
      <w:r w:rsidRPr="00623545">
        <w:rPr>
          <w:rFonts w:ascii="Arial" w:hAnsi="Arial" w:cs="Arial"/>
          <w:b w:val="0"/>
          <w:sz w:val="22"/>
          <w:szCs w:val="22"/>
        </w:rPr>
        <w:t xml:space="preserve">: Percentage of outpatient </w:t>
      </w:r>
      <w:r>
        <w:rPr>
          <w:rFonts w:ascii="Arial" w:hAnsi="Arial" w:cs="Arial"/>
          <w:b w:val="0"/>
          <w:sz w:val="22"/>
          <w:szCs w:val="22"/>
        </w:rPr>
        <w:t xml:space="preserve">and inpatient </w:t>
      </w:r>
      <w:r w:rsidRPr="00623545">
        <w:rPr>
          <w:rFonts w:ascii="Arial" w:hAnsi="Arial" w:cs="Arial"/>
          <w:b w:val="0"/>
          <w:sz w:val="22"/>
          <w:szCs w:val="22"/>
        </w:rPr>
        <w:t>service utilization</w:t>
      </w:r>
      <w:r>
        <w:rPr>
          <w:rFonts w:ascii="Arial" w:hAnsi="Arial" w:cs="Arial"/>
          <w:b w:val="0"/>
          <w:sz w:val="22"/>
          <w:szCs w:val="22"/>
        </w:rPr>
        <w:t xml:space="preserve"> upon reported needs, 2009</w:t>
      </w:r>
      <w:r w:rsidRPr="00623545">
        <w:rPr>
          <w:rFonts w:ascii="Arial" w:hAnsi="Arial" w:cs="Arial"/>
          <w:b w:val="0"/>
          <w:sz w:val="22"/>
          <w:szCs w:val="22"/>
        </w:rPr>
        <w:t>-2012</w:t>
      </w:r>
      <w:bookmarkEnd w:id="19"/>
    </w:p>
    <w:p w14:paraId="750044E9" w14:textId="77777777" w:rsidR="0084142B" w:rsidRDefault="0084142B" w:rsidP="00FD4069">
      <w:pPr>
        <w:jc w:val="both"/>
        <w:rPr>
          <w:rFonts w:ascii="Arial" w:hAnsi="Arial" w:cs="Arial"/>
        </w:rPr>
      </w:pPr>
    </w:p>
    <w:p w14:paraId="306A023F" w14:textId="335F6CD9" w:rsidR="00DC5A8F" w:rsidRPr="00DB51B0" w:rsidRDefault="003F3C31" w:rsidP="00DC5A8F">
      <w:pPr>
        <w:jc w:val="center"/>
        <w:rPr>
          <w:rFonts w:ascii="Arial" w:hAnsi="Arial"/>
        </w:rPr>
      </w:pPr>
      <w:r>
        <w:rPr>
          <w:rFonts w:ascii="Arial" w:hAnsi="Arial" w:cs="Arial"/>
        </w:rPr>
        <w:pict w14:anchorId="5176A1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5.2pt;height:158.65pt">
            <v:imagedata r:id="rId11" o:title=""/>
          </v:shape>
        </w:pict>
      </w:r>
    </w:p>
    <w:p w14:paraId="33E9FCC0" w14:textId="362318DE" w:rsidR="0084142B" w:rsidRPr="008B7EA0" w:rsidRDefault="0084142B" w:rsidP="0084142B">
      <w:pPr>
        <w:ind w:left="720"/>
        <w:rPr>
          <w:i/>
          <w:sz w:val="22"/>
          <w:lang w:val="en-GB"/>
        </w:rPr>
      </w:pPr>
      <w:r>
        <w:rPr>
          <w:i/>
          <w:sz w:val="22"/>
          <w:lang w:val="en-GB"/>
        </w:rPr>
        <w:t xml:space="preserve">       </w:t>
      </w:r>
      <w:r w:rsidRPr="008B7EA0">
        <w:rPr>
          <w:i/>
          <w:sz w:val="22"/>
          <w:lang w:val="en-GB"/>
        </w:rPr>
        <w:t>Source: Mongolia Household Socio-Economic Surveys, 20</w:t>
      </w:r>
      <w:r>
        <w:rPr>
          <w:i/>
          <w:sz w:val="22"/>
          <w:lang w:val="en-GB"/>
        </w:rPr>
        <w:t>09</w:t>
      </w:r>
      <w:r w:rsidRPr="008B7EA0">
        <w:rPr>
          <w:i/>
          <w:sz w:val="22"/>
          <w:lang w:val="en-GB"/>
        </w:rPr>
        <w:t>-2012</w:t>
      </w:r>
    </w:p>
    <w:p w14:paraId="7A1B5C0E" w14:textId="77777777" w:rsidR="00BF6225" w:rsidRPr="00A668EF" w:rsidRDefault="00BF6225" w:rsidP="00A668EF"/>
    <w:p w14:paraId="06A786F1" w14:textId="77777777" w:rsidR="00580844" w:rsidRPr="009712D5" w:rsidRDefault="00580844" w:rsidP="00A668EF">
      <w:pPr>
        <w:numPr>
          <w:ilvl w:val="0"/>
          <w:numId w:val="2"/>
        </w:numPr>
        <w:jc w:val="both"/>
        <w:rPr>
          <w:rFonts w:ascii="Arial" w:hAnsi="Arial" w:cs="Arial"/>
          <w:sz w:val="22"/>
          <w:lang w:val="en-GB"/>
        </w:rPr>
      </w:pPr>
      <w:r w:rsidRPr="009712D5">
        <w:rPr>
          <w:rFonts w:ascii="Arial" w:hAnsi="Arial" w:cs="Arial"/>
          <w:sz w:val="22"/>
          <w:lang w:val="en-GB"/>
        </w:rPr>
        <w:t>Distribution of utilization among different socio-economic groups</w:t>
      </w:r>
    </w:p>
    <w:p w14:paraId="7F6C68A5" w14:textId="77777777" w:rsidR="00DB51B0" w:rsidRDefault="00DB51B0" w:rsidP="00D32CE6">
      <w:pPr>
        <w:jc w:val="both"/>
        <w:rPr>
          <w:rFonts w:ascii="Arial" w:hAnsi="Arial"/>
        </w:rPr>
      </w:pPr>
    </w:p>
    <w:p w14:paraId="1B09CF71" w14:textId="20445E30" w:rsidR="0098119C" w:rsidRPr="00D32CE6" w:rsidRDefault="003F5DCC" w:rsidP="00D32CE6">
      <w:pPr>
        <w:jc w:val="both"/>
        <w:rPr>
          <w:rFonts w:ascii="Arial" w:hAnsi="Arial"/>
        </w:rPr>
      </w:pPr>
      <w:r w:rsidRPr="00D66F3C">
        <w:rPr>
          <w:rFonts w:ascii="Arial" w:hAnsi="Arial"/>
        </w:rPr>
        <w:t xml:space="preserve">Analyses of the utilization patterns across expenditure quintiles show that outpatient and inpatient utilization rates increase the </w:t>
      </w:r>
      <w:r w:rsidR="00D32CE6">
        <w:rPr>
          <w:rFonts w:ascii="Arial" w:hAnsi="Arial"/>
        </w:rPr>
        <w:t>higher the expenditure quintile (</w:t>
      </w:r>
      <w:r w:rsidR="0098119C" w:rsidRPr="0097673D">
        <w:rPr>
          <w:rFonts w:ascii="Arial" w:hAnsi="Arial" w:cs="Arial"/>
        </w:rPr>
        <w:t xml:space="preserve">Figure </w:t>
      </w:r>
      <w:r w:rsidR="0084142B">
        <w:rPr>
          <w:rFonts w:ascii="Arial" w:hAnsi="Arial" w:cs="Arial"/>
        </w:rPr>
        <w:t>2</w:t>
      </w:r>
      <w:r w:rsidR="0054343F">
        <w:rPr>
          <w:rFonts w:ascii="Arial" w:hAnsi="Arial" w:cs="Arial"/>
        </w:rPr>
        <w:t xml:space="preserve"> and </w:t>
      </w:r>
      <w:r w:rsidR="0084142B">
        <w:rPr>
          <w:rFonts w:ascii="Arial" w:hAnsi="Arial" w:cs="Arial"/>
        </w:rPr>
        <w:t>4</w:t>
      </w:r>
      <w:r w:rsidR="00D32CE6">
        <w:rPr>
          <w:rFonts w:ascii="Arial" w:hAnsi="Arial" w:cs="Arial"/>
        </w:rPr>
        <w:t xml:space="preserve">). </w:t>
      </w:r>
      <w:r w:rsidR="000E0DF4" w:rsidRPr="00D66F3C">
        <w:rPr>
          <w:rFonts w:ascii="Arial" w:hAnsi="Arial"/>
        </w:rPr>
        <w:t xml:space="preserve">The lowest expenditure quintile had the lowest utilization rate </w:t>
      </w:r>
      <w:r w:rsidR="00D32CE6">
        <w:rPr>
          <w:rFonts w:ascii="Arial" w:hAnsi="Arial"/>
        </w:rPr>
        <w:t xml:space="preserve">for outpatient services </w:t>
      </w:r>
      <w:r w:rsidR="000E0DF4" w:rsidRPr="00D66F3C">
        <w:rPr>
          <w:rFonts w:ascii="Arial" w:hAnsi="Arial"/>
        </w:rPr>
        <w:t xml:space="preserve">at </w:t>
      </w:r>
      <w:r w:rsidR="0084142B">
        <w:rPr>
          <w:rFonts w:ascii="Arial" w:hAnsi="Arial"/>
        </w:rPr>
        <w:t>69</w:t>
      </w:r>
      <w:r w:rsidR="000E0DF4" w:rsidRPr="00D66F3C">
        <w:rPr>
          <w:rFonts w:ascii="Arial" w:hAnsi="Arial"/>
        </w:rPr>
        <w:t>% compared to the highest expenditure quintile that had the highest utilization rate at 8</w:t>
      </w:r>
      <w:r w:rsidR="0084142B">
        <w:rPr>
          <w:rFonts w:ascii="Arial" w:hAnsi="Arial"/>
        </w:rPr>
        <w:t>3</w:t>
      </w:r>
      <w:r w:rsidR="000E0DF4" w:rsidRPr="00D66F3C">
        <w:rPr>
          <w:rFonts w:ascii="Arial" w:hAnsi="Arial"/>
        </w:rPr>
        <w:t>%</w:t>
      </w:r>
      <w:r w:rsidR="0084142B">
        <w:rPr>
          <w:rFonts w:ascii="Arial" w:hAnsi="Arial"/>
        </w:rPr>
        <w:t xml:space="preserve"> in 2009</w:t>
      </w:r>
      <w:r w:rsidR="00DE5B74" w:rsidRPr="00D66F3C">
        <w:rPr>
          <w:rFonts w:ascii="Arial" w:hAnsi="Arial"/>
        </w:rPr>
        <w:t xml:space="preserve"> and 77% and 84% in 2012</w:t>
      </w:r>
      <w:r w:rsidR="0084142B">
        <w:rPr>
          <w:rFonts w:ascii="Arial" w:hAnsi="Arial"/>
        </w:rPr>
        <w:t xml:space="preserve"> respectively</w:t>
      </w:r>
      <w:r w:rsidR="000E0DF4" w:rsidRPr="00D66F3C">
        <w:rPr>
          <w:rFonts w:ascii="Arial" w:hAnsi="Arial"/>
        </w:rPr>
        <w:t xml:space="preserve">. </w:t>
      </w:r>
      <w:r w:rsidR="0098119C" w:rsidRPr="00D66F3C">
        <w:rPr>
          <w:rFonts w:ascii="Arial" w:hAnsi="Arial" w:cs="Arial"/>
        </w:rPr>
        <w:t xml:space="preserve">However, access to </w:t>
      </w:r>
      <w:r w:rsidR="001917BA">
        <w:rPr>
          <w:rFonts w:ascii="Arial" w:hAnsi="Arial" w:cs="Arial"/>
        </w:rPr>
        <w:t>outpatient</w:t>
      </w:r>
      <w:r w:rsidR="0098119C" w:rsidRPr="00D66F3C">
        <w:rPr>
          <w:rFonts w:ascii="Arial" w:hAnsi="Arial" w:cs="Arial"/>
        </w:rPr>
        <w:t xml:space="preserve"> services by poor people increased at faster rate than the richest quintile.</w:t>
      </w:r>
    </w:p>
    <w:p w14:paraId="6267F465" w14:textId="77777777" w:rsidR="0054343F" w:rsidRDefault="0054343F" w:rsidP="00A75168">
      <w:pPr>
        <w:pStyle w:val="Caption"/>
        <w:spacing w:after="0"/>
        <w:rPr>
          <w:rFonts w:ascii="Arial" w:hAnsi="Arial" w:cs="Arial"/>
          <w:sz w:val="22"/>
          <w:szCs w:val="22"/>
        </w:rPr>
      </w:pPr>
    </w:p>
    <w:p w14:paraId="2E0B49D3" w14:textId="6DB3376B" w:rsidR="00736172" w:rsidRPr="00D13005" w:rsidRDefault="00736172" w:rsidP="00D13005">
      <w:pPr>
        <w:pStyle w:val="Caption"/>
        <w:spacing w:after="0"/>
        <w:rPr>
          <w:rFonts w:ascii="Arial" w:hAnsi="Arial" w:cs="Arial"/>
          <w:b w:val="0"/>
          <w:sz w:val="22"/>
          <w:szCs w:val="22"/>
        </w:rPr>
      </w:pPr>
      <w:bookmarkStart w:id="20" w:name="_Toc310170107"/>
      <w:r w:rsidRPr="00623545">
        <w:rPr>
          <w:rFonts w:ascii="Arial" w:hAnsi="Arial" w:cs="Arial"/>
          <w:b w:val="0"/>
          <w:sz w:val="22"/>
          <w:szCs w:val="22"/>
        </w:rPr>
        <w:t xml:space="preserve">Figure </w:t>
      </w:r>
      <w:r w:rsidR="00CB191B" w:rsidRPr="00623545">
        <w:rPr>
          <w:rFonts w:ascii="Arial" w:hAnsi="Arial" w:cs="Arial"/>
          <w:b w:val="0"/>
          <w:sz w:val="22"/>
          <w:szCs w:val="22"/>
        </w:rPr>
        <w:fldChar w:fldCharType="begin"/>
      </w:r>
      <w:r w:rsidRPr="00623545">
        <w:rPr>
          <w:rFonts w:ascii="Arial" w:hAnsi="Arial" w:cs="Arial"/>
          <w:b w:val="0"/>
          <w:sz w:val="22"/>
          <w:szCs w:val="22"/>
        </w:rPr>
        <w:instrText xml:space="preserve"> SEQ Figure \* ARABIC </w:instrText>
      </w:r>
      <w:r w:rsidR="00CB191B" w:rsidRPr="00623545">
        <w:rPr>
          <w:rFonts w:ascii="Arial" w:hAnsi="Arial" w:cs="Arial"/>
          <w:b w:val="0"/>
          <w:sz w:val="22"/>
          <w:szCs w:val="22"/>
        </w:rPr>
        <w:fldChar w:fldCharType="separate"/>
      </w:r>
      <w:r w:rsidR="0084142B">
        <w:rPr>
          <w:rFonts w:ascii="Arial" w:hAnsi="Arial" w:cs="Arial"/>
          <w:b w:val="0"/>
          <w:noProof/>
          <w:sz w:val="22"/>
          <w:szCs w:val="22"/>
        </w:rPr>
        <w:t>2</w:t>
      </w:r>
      <w:r w:rsidR="00CB191B" w:rsidRPr="00623545">
        <w:rPr>
          <w:rFonts w:ascii="Arial" w:hAnsi="Arial" w:cs="Arial"/>
          <w:b w:val="0"/>
          <w:sz w:val="22"/>
          <w:szCs w:val="22"/>
        </w:rPr>
        <w:fldChar w:fldCharType="end"/>
      </w:r>
      <w:r w:rsidRPr="00623545">
        <w:rPr>
          <w:rFonts w:ascii="Arial" w:hAnsi="Arial" w:cs="Arial"/>
          <w:b w:val="0"/>
          <w:sz w:val="22"/>
          <w:szCs w:val="22"/>
        </w:rPr>
        <w:t>: Percentage distribution of outpatient service utilization by expenditure quintiles, 2010-2012</w:t>
      </w:r>
      <w:bookmarkEnd w:id="20"/>
    </w:p>
    <w:p w14:paraId="021BF2C8" w14:textId="1AB5D6C4" w:rsidR="00A75168" w:rsidRDefault="00D13005" w:rsidP="00D13005">
      <w:pPr>
        <w:jc w:val="both"/>
        <w:rPr>
          <w:lang w:val="en-GB"/>
        </w:rPr>
      </w:pPr>
      <w:r w:rsidRPr="00D13005">
        <w:rPr>
          <w:noProof/>
        </w:rPr>
        <w:drawing>
          <wp:inline distT="0" distB="0" distL="0" distR="0" wp14:anchorId="5F42EC6D" wp14:editId="5BB0EBA0">
            <wp:extent cx="5490210" cy="2533664"/>
            <wp:effectExtent l="0" t="0" r="0" b="6350"/>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90210" cy="2533664"/>
                    </a:xfrm>
                    <a:prstGeom prst="rect">
                      <a:avLst/>
                    </a:prstGeom>
                    <a:noFill/>
                    <a:ln>
                      <a:noFill/>
                    </a:ln>
                  </pic:spPr>
                </pic:pic>
              </a:graphicData>
            </a:graphic>
          </wp:inline>
        </w:drawing>
      </w:r>
    </w:p>
    <w:p w14:paraId="053D8EF1" w14:textId="77777777" w:rsidR="00453010" w:rsidRPr="008B7EA0" w:rsidRDefault="00453010" w:rsidP="00453010">
      <w:pPr>
        <w:ind w:left="720"/>
        <w:rPr>
          <w:i/>
          <w:sz w:val="22"/>
          <w:lang w:val="en-GB"/>
        </w:rPr>
      </w:pPr>
      <w:r w:rsidRPr="008B7EA0">
        <w:rPr>
          <w:i/>
          <w:sz w:val="22"/>
          <w:lang w:val="en-GB"/>
        </w:rPr>
        <w:t>Source: Mongolia Household Socio-Economic Surveys, 20</w:t>
      </w:r>
      <w:r w:rsidR="00D32CE6">
        <w:rPr>
          <w:i/>
          <w:sz w:val="22"/>
          <w:lang w:val="en-GB"/>
        </w:rPr>
        <w:t>10</w:t>
      </w:r>
      <w:r w:rsidRPr="008B7EA0">
        <w:rPr>
          <w:i/>
          <w:sz w:val="22"/>
          <w:lang w:val="en-GB"/>
        </w:rPr>
        <w:t>-2012</w:t>
      </w:r>
    </w:p>
    <w:p w14:paraId="4733BCB7" w14:textId="77777777" w:rsidR="002F3DB0" w:rsidRDefault="002F3DB0" w:rsidP="00FC7058">
      <w:pPr>
        <w:pStyle w:val="Caption"/>
        <w:rPr>
          <w:rFonts w:ascii="Arial" w:hAnsi="Arial" w:cs="Arial"/>
          <w:b w:val="0"/>
          <w:bCs w:val="0"/>
          <w:sz w:val="22"/>
          <w:szCs w:val="22"/>
        </w:rPr>
      </w:pPr>
    </w:p>
    <w:p w14:paraId="27E1FCDC" w14:textId="68E8496D" w:rsidR="00DB51B0" w:rsidRDefault="00DB51B0" w:rsidP="00DB51B0">
      <w:pPr>
        <w:jc w:val="both"/>
        <w:rPr>
          <w:rFonts w:ascii="Arial" w:hAnsi="Arial" w:cs="Arial"/>
        </w:rPr>
      </w:pPr>
      <w:bookmarkStart w:id="21" w:name="_GoBack"/>
      <w:r>
        <w:rPr>
          <w:rFonts w:ascii="Arial" w:hAnsi="Arial" w:cs="Arial"/>
        </w:rPr>
        <w:lastRenderedPageBreak/>
        <w:t>Moreover, t</w:t>
      </w:r>
      <w:r w:rsidRPr="00916F7A">
        <w:rPr>
          <w:rFonts w:ascii="Arial" w:hAnsi="Arial" w:cs="Arial"/>
        </w:rPr>
        <w:t xml:space="preserve">he utilization of outpatient </w:t>
      </w:r>
      <w:r w:rsidR="00244E37">
        <w:rPr>
          <w:rFonts w:ascii="Arial" w:hAnsi="Arial" w:cs="Arial"/>
        </w:rPr>
        <w:t>care</w:t>
      </w:r>
      <w:r w:rsidRPr="00916F7A">
        <w:rPr>
          <w:rFonts w:ascii="Arial" w:hAnsi="Arial" w:cs="Arial"/>
        </w:rPr>
        <w:t xml:space="preserve"> in highland</w:t>
      </w:r>
      <w:r>
        <w:rPr>
          <w:rFonts w:ascii="Arial" w:hAnsi="Arial" w:cs="Arial"/>
        </w:rPr>
        <w:t>s</w:t>
      </w:r>
      <w:r w:rsidRPr="00916F7A">
        <w:rPr>
          <w:rFonts w:ascii="Arial" w:hAnsi="Arial" w:cs="Arial"/>
        </w:rPr>
        <w:t xml:space="preserve"> and central regions </w:t>
      </w:r>
      <w:bookmarkEnd w:id="21"/>
      <w:r w:rsidRPr="00916F7A">
        <w:rPr>
          <w:rFonts w:ascii="Arial" w:hAnsi="Arial" w:cs="Arial"/>
        </w:rPr>
        <w:t xml:space="preserve">increased but for other parts of Mongolia it </w:t>
      </w:r>
      <w:r w:rsidR="0084142B">
        <w:rPr>
          <w:rFonts w:ascii="Arial" w:hAnsi="Arial" w:cs="Arial"/>
        </w:rPr>
        <w:t>has</w:t>
      </w:r>
      <w:r w:rsidRPr="00916F7A">
        <w:rPr>
          <w:rFonts w:ascii="Arial" w:hAnsi="Arial" w:cs="Arial"/>
        </w:rPr>
        <w:t xml:space="preserve"> dropped. </w:t>
      </w:r>
      <w:r>
        <w:rPr>
          <w:rFonts w:ascii="Arial" w:hAnsi="Arial" w:cs="Arial"/>
        </w:rPr>
        <w:t>In western region</w:t>
      </w:r>
      <w:r w:rsidR="006C18EC">
        <w:rPr>
          <w:rFonts w:ascii="Arial" w:hAnsi="Arial" w:cs="Arial"/>
        </w:rPr>
        <w:t>,</w:t>
      </w:r>
      <w:r>
        <w:rPr>
          <w:rFonts w:ascii="Arial" w:hAnsi="Arial" w:cs="Arial"/>
        </w:rPr>
        <w:t xml:space="preserve"> </w:t>
      </w:r>
      <w:r w:rsidR="006C18EC">
        <w:rPr>
          <w:rFonts w:ascii="Arial" w:hAnsi="Arial" w:cs="Arial"/>
        </w:rPr>
        <w:t xml:space="preserve">82% of people reported </w:t>
      </w:r>
      <w:r w:rsidR="00244E37">
        <w:rPr>
          <w:rFonts w:ascii="Arial" w:hAnsi="Arial" w:cs="Arial"/>
        </w:rPr>
        <w:t>being ill</w:t>
      </w:r>
      <w:r>
        <w:rPr>
          <w:rFonts w:ascii="Arial" w:hAnsi="Arial" w:cs="Arial"/>
        </w:rPr>
        <w:t xml:space="preserve"> </w:t>
      </w:r>
      <w:r w:rsidR="006C18EC">
        <w:rPr>
          <w:rFonts w:ascii="Arial" w:hAnsi="Arial" w:cs="Arial"/>
        </w:rPr>
        <w:t xml:space="preserve">used </w:t>
      </w:r>
      <w:r>
        <w:rPr>
          <w:rFonts w:ascii="Arial" w:hAnsi="Arial" w:cs="Arial"/>
        </w:rPr>
        <w:t xml:space="preserve">outpatient care </w:t>
      </w:r>
      <w:r w:rsidR="006C18EC">
        <w:rPr>
          <w:rFonts w:ascii="Arial" w:hAnsi="Arial" w:cs="Arial"/>
        </w:rPr>
        <w:t xml:space="preserve">in 2010 but </w:t>
      </w:r>
      <w:r w:rsidR="00244E37">
        <w:rPr>
          <w:rFonts w:ascii="Arial" w:hAnsi="Arial" w:cs="Arial"/>
        </w:rPr>
        <w:t xml:space="preserve">it </w:t>
      </w:r>
      <w:r w:rsidR="006C18EC">
        <w:rPr>
          <w:rFonts w:ascii="Arial" w:hAnsi="Arial" w:cs="Arial"/>
        </w:rPr>
        <w:t>fell</w:t>
      </w:r>
      <w:r>
        <w:rPr>
          <w:rFonts w:ascii="Arial" w:hAnsi="Arial" w:cs="Arial"/>
        </w:rPr>
        <w:t xml:space="preserve"> sharply </w:t>
      </w:r>
      <w:r w:rsidR="006C18EC">
        <w:rPr>
          <w:rFonts w:ascii="Arial" w:hAnsi="Arial" w:cs="Arial"/>
        </w:rPr>
        <w:t xml:space="preserve">to 75% in 2011 and 76% in 2012 </w:t>
      </w:r>
      <w:r w:rsidR="000B5169">
        <w:rPr>
          <w:rFonts w:ascii="Arial" w:hAnsi="Arial" w:cs="Arial"/>
        </w:rPr>
        <w:t>(Table 6</w:t>
      </w:r>
      <w:r>
        <w:rPr>
          <w:rFonts w:ascii="Arial" w:hAnsi="Arial" w:cs="Arial"/>
        </w:rPr>
        <w:t>).</w:t>
      </w:r>
      <w:r w:rsidR="00121E66">
        <w:rPr>
          <w:rFonts w:ascii="Arial" w:hAnsi="Arial" w:cs="Arial"/>
        </w:rPr>
        <w:t xml:space="preserve"> When compared to 2009 data, outpatient care utilization grew in all geographic areas except Ulaanbaatar. </w:t>
      </w:r>
    </w:p>
    <w:p w14:paraId="23AE4317" w14:textId="77777777" w:rsidR="00DB51B0" w:rsidRPr="00916F7A" w:rsidRDefault="00DB51B0" w:rsidP="00DB51B0">
      <w:pPr>
        <w:rPr>
          <w:rFonts w:ascii="Arial" w:hAnsi="Arial" w:cs="Arial"/>
        </w:rPr>
      </w:pPr>
    </w:p>
    <w:p w14:paraId="25A17471" w14:textId="64B2A38D" w:rsidR="000851AB" w:rsidRPr="00FC7058" w:rsidRDefault="00FC7058" w:rsidP="00FC7058">
      <w:pPr>
        <w:pStyle w:val="Caption"/>
        <w:rPr>
          <w:rFonts w:ascii="Arial" w:hAnsi="Arial" w:cs="Arial"/>
          <w:b w:val="0"/>
          <w:bCs w:val="0"/>
          <w:sz w:val="22"/>
          <w:szCs w:val="22"/>
        </w:rPr>
      </w:pPr>
      <w:bookmarkStart w:id="22" w:name="_Toc310170089"/>
      <w:r w:rsidRPr="0055231E">
        <w:rPr>
          <w:rFonts w:ascii="Arial" w:hAnsi="Arial" w:cs="Arial"/>
          <w:b w:val="0"/>
          <w:bCs w:val="0"/>
          <w:sz w:val="22"/>
          <w:szCs w:val="22"/>
        </w:rPr>
        <w:t xml:space="preserve">Table </w:t>
      </w:r>
      <w:r w:rsidR="00CB191B" w:rsidRPr="0055231E">
        <w:rPr>
          <w:rFonts w:ascii="Arial" w:hAnsi="Arial" w:cs="Arial"/>
          <w:b w:val="0"/>
          <w:bCs w:val="0"/>
          <w:sz w:val="22"/>
          <w:szCs w:val="22"/>
        </w:rPr>
        <w:fldChar w:fldCharType="begin"/>
      </w:r>
      <w:r w:rsidRPr="0055231E">
        <w:rPr>
          <w:rFonts w:ascii="Arial" w:hAnsi="Arial" w:cs="Arial"/>
          <w:b w:val="0"/>
          <w:bCs w:val="0"/>
          <w:sz w:val="22"/>
          <w:szCs w:val="22"/>
        </w:rPr>
        <w:instrText xml:space="preserve"> SEQ Table \* ARABIC </w:instrText>
      </w:r>
      <w:r w:rsidR="00CB191B" w:rsidRPr="0055231E">
        <w:rPr>
          <w:rFonts w:ascii="Arial" w:hAnsi="Arial" w:cs="Arial"/>
          <w:b w:val="0"/>
          <w:bCs w:val="0"/>
          <w:sz w:val="22"/>
          <w:szCs w:val="22"/>
        </w:rPr>
        <w:fldChar w:fldCharType="separate"/>
      </w:r>
      <w:r w:rsidR="000B5169">
        <w:rPr>
          <w:rFonts w:ascii="Arial" w:hAnsi="Arial" w:cs="Arial"/>
          <w:b w:val="0"/>
          <w:bCs w:val="0"/>
          <w:noProof/>
          <w:sz w:val="22"/>
          <w:szCs w:val="22"/>
        </w:rPr>
        <w:t>6</w:t>
      </w:r>
      <w:r w:rsidR="00CB191B" w:rsidRPr="0055231E">
        <w:rPr>
          <w:rFonts w:ascii="Arial" w:hAnsi="Arial" w:cs="Arial"/>
          <w:b w:val="0"/>
          <w:bCs w:val="0"/>
          <w:sz w:val="22"/>
          <w:szCs w:val="22"/>
        </w:rPr>
        <w:fldChar w:fldCharType="end"/>
      </w:r>
      <w:r w:rsidRPr="0055231E">
        <w:rPr>
          <w:rFonts w:ascii="Arial" w:hAnsi="Arial" w:cs="Arial"/>
          <w:b w:val="0"/>
          <w:bCs w:val="0"/>
          <w:sz w:val="22"/>
          <w:szCs w:val="22"/>
        </w:rPr>
        <w:t xml:space="preserve">: </w:t>
      </w:r>
      <w:r w:rsidRPr="00623545">
        <w:rPr>
          <w:rFonts w:ascii="Arial" w:hAnsi="Arial" w:cs="Arial"/>
          <w:b w:val="0"/>
          <w:sz w:val="22"/>
          <w:szCs w:val="22"/>
        </w:rPr>
        <w:t xml:space="preserve">Percentage distribution of outpatient service utilization by </w:t>
      </w:r>
      <w:r>
        <w:rPr>
          <w:rFonts w:ascii="Arial" w:hAnsi="Arial" w:cs="Arial"/>
          <w:b w:val="0"/>
          <w:sz w:val="22"/>
          <w:szCs w:val="22"/>
        </w:rPr>
        <w:t>geographic regions</w:t>
      </w:r>
      <w:r w:rsidR="00DD5601">
        <w:rPr>
          <w:rStyle w:val="FootnoteReference"/>
          <w:rFonts w:ascii="Arial" w:hAnsi="Arial" w:cs="Arial"/>
          <w:b w:val="0"/>
          <w:sz w:val="22"/>
          <w:szCs w:val="22"/>
        </w:rPr>
        <w:footnoteReference w:id="4"/>
      </w:r>
      <w:r w:rsidRPr="00623545">
        <w:rPr>
          <w:rFonts w:ascii="Arial" w:hAnsi="Arial" w:cs="Arial"/>
          <w:b w:val="0"/>
          <w:sz w:val="22"/>
          <w:szCs w:val="22"/>
        </w:rPr>
        <w:t>, 2010-2012</w:t>
      </w:r>
      <w:bookmarkEnd w:id="22"/>
    </w:p>
    <w:tbl>
      <w:tblPr>
        <w:tblW w:w="8478" w:type="dxa"/>
        <w:tblBorders>
          <w:top w:val="single" w:sz="4" w:space="0" w:color="auto"/>
          <w:bottom w:val="single" w:sz="4" w:space="0" w:color="auto"/>
        </w:tblBorders>
        <w:tblLayout w:type="fixed"/>
        <w:tblLook w:val="04A0" w:firstRow="1" w:lastRow="0" w:firstColumn="1" w:lastColumn="0" w:noHBand="0" w:noVBand="1"/>
      </w:tblPr>
      <w:tblGrid>
        <w:gridCol w:w="1998"/>
        <w:gridCol w:w="1620"/>
        <w:gridCol w:w="1620"/>
        <w:gridCol w:w="1620"/>
        <w:gridCol w:w="1620"/>
      </w:tblGrid>
      <w:tr w:rsidR="00CC2E6C" w:rsidRPr="003538DA" w14:paraId="5408C32D" w14:textId="77777777" w:rsidTr="00DC5463">
        <w:trPr>
          <w:trHeight w:val="240"/>
        </w:trPr>
        <w:tc>
          <w:tcPr>
            <w:tcW w:w="1998" w:type="dxa"/>
            <w:tcBorders>
              <w:top w:val="single" w:sz="4" w:space="0" w:color="auto"/>
              <w:bottom w:val="single" w:sz="4" w:space="0" w:color="auto"/>
            </w:tcBorders>
            <w:shd w:val="clear" w:color="auto" w:fill="auto"/>
            <w:noWrap/>
            <w:vAlign w:val="bottom"/>
            <w:hideMark/>
          </w:tcPr>
          <w:p w14:paraId="3DFCE90F" w14:textId="2175AE2F" w:rsidR="00CC2E6C" w:rsidRPr="00FC7058" w:rsidRDefault="00CC2E6C" w:rsidP="003538DA">
            <w:pPr>
              <w:rPr>
                <w:rFonts w:ascii="Arial Narrow" w:hAnsi="Arial Narrow" w:cs="Arial"/>
                <w:sz w:val="22"/>
                <w:szCs w:val="20"/>
              </w:rPr>
            </w:pPr>
            <w:r>
              <w:rPr>
                <w:rFonts w:ascii="Arial Narrow" w:hAnsi="Arial Narrow" w:cs="Arial"/>
                <w:sz w:val="22"/>
                <w:szCs w:val="20"/>
              </w:rPr>
              <w:t>Geographic regions</w:t>
            </w:r>
          </w:p>
        </w:tc>
        <w:tc>
          <w:tcPr>
            <w:tcW w:w="1620" w:type="dxa"/>
            <w:tcBorders>
              <w:top w:val="single" w:sz="4" w:space="0" w:color="auto"/>
              <w:bottom w:val="single" w:sz="4" w:space="0" w:color="auto"/>
            </w:tcBorders>
          </w:tcPr>
          <w:p w14:paraId="7A333311" w14:textId="02A4B4DF" w:rsidR="00CC2E6C" w:rsidRPr="00FC7058" w:rsidRDefault="00CC2E6C" w:rsidP="000B5169">
            <w:pPr>
              <w:jc w:val="center"/>
              <w:rPr>
                <w:rFonts w:ascii="Arial Narrow" w:hAnsi="Arial Narrow" w:cs="Arial"/>
                <w:b/>
                <w:bCs/>
                <w:sz w:val="22"/>
                <w:szCs w:val="20"/>
              </w:rPr>
            </w:pPr>
            <w:r>
              <w:rPr>
                <w:rFonts w:ascii="Arial Narrow" w:hAnsi="Arial Narrow" w:cs="Arial"/>
                <w:b/>
                <w:bCs/>
                <w:sz w:val="22"/>
                <w:szCs w:val="20"/>
              </w:rPr>
              <w:t>2009</w:t>
            </w:r>
          </w:p>
        </w:tc>
        <w:tc>
          <w:tcPr>
            <w:tcW w:w="1620" w:type="dxa"/>
            <w:tcBorders>
              <w:top w:val="single" w:sz="4" w:space="0" w:color="auto"/>
              <w:bottom w:val="single" w:sz="4" w:space="0" w:color="auto"/>
            </w:tcBorders>
            <w:shd w:val="clear" w:color="auto" w:fill="auto"/>
            <w:noWrap/>
            <w:hideMark/>
          </w:tcPr>
          <w:p w14:paraId="2A85C31F" w14:textId="343F447D" w:rsidR="00CC2E6C" w:rsidRPr="00FC7058" w:rsidRDefault="00CC2E6C" w:rsidP="000B5169">
            <w:pPr>
              <w:jc w:val="center"/>
              <w:rPr>
                <w:rFonts w:ascii="Arial Narrow" w:hAnsi="Arial Narrow" w:cs="Arial"/>
                <w:b/>
                <w:bCs/>
                <w:sz w:val="22"/>
                <w:szCs w:val="20"/>
              </w:rPr>
            </w:pPr>
            <w:r w:rsidRPr="00FC7058">
              <w:rPr>
                <w:rFonts w:ascii="Arial Narrow" w:hAnsi="Arial Narrow" w:cs="Arial"/>
                <w:b/>
                <w:bCs/>
                <w:sz w:val="22"/>
                <w:szCs w:val="20"/>
              </w:rPr>
              <w:t>2010</w:t>
            </w:r>
          </w:p>
        </w:tc>
        <w:tc>
          <w:tcPr>
            <w:tcW w:w="1620" w:type="dxa"/>
            <w:tcBorders>
              <w:top w:val="single" w:sz="4" w:space="0" w:color="auto"/>
              <w:bottom w:val="single" w:sz="4" w:space="0" w:color="auto"/>
            </w:tcBorders>
            <w:shd w:val="clear" w:color="auto" w:fill="auto"/>
            <w:noWrap/>
            <w:hideMark/>
          </w:tcPr>
          <w:p w14:paraId="689B562C" w14:textId="13A4E345" w:rsidR="00CC2E6C" w:rsidRPr="00FC7058" w:rsidRDefault="00CC2E6C" w:rsidP="000B5169">
            <w:pPr>
              <w:tabs>
                <w:tab w:val="center" w:pos="702"/>
              </w:tabs>
              <w:jc w:val="center"/>
              <w:rPr>
                <w:rFonts w:ascii="Arial Narrow" w:hAnsi="Arial Narrow" w:cs="Arial"/>
                <w:b/>
                <w:bCs/>
                <w:sz w:val="22"/>
                <w:szCs w:val="20"/>
              </w:rPr>
            </w:pPr>
            <w:r w:rsidRPr="00FC7058">
              <w:rPr>
                <w:rFonts w:ascii="Arial Narrow" w:hAnsi="Arial Narrow" w:cs="Arial"/>
                <w:b/>
                <w:bCs/>
                <w:sz w:val="22"/>
                <w:szCs w:val="20"/>
              </w:rPr>
              <w:t>2011</w:t>
            </w:r>
          </w:p>
        </w:tc>
        <w:tc>
          <w:tcPr>
            <w:tcW w:w="1620" w:type="dxa"/>
            <w:tcBorders>
              <w:top w:val="single" w:sz="4" w:space="0" w:color="auto"/>
              <w:bottom w:val="single" w:sz="4" w:space="0" w:color="auto"/>
            </w:tcBorders>
            <w:shd w:val="clear" w:color="auto" w:fill="auto"/>
            <w:noWrap/>
            <w:hideMark/>
          </w:tcPr>
          <w:p w14:paraId="2A45D4FD" w14:textId="77777777" w:rsidR="00CC2E6C" w:rsidRPr="00FC7058" w:rsidRDefault="00CC2E6C" w:rsidP="000B5169">
            <w:pPr>
              <w:jc w:val="center"/>
              <w:rPr>
                <w:rFonts w:ascii="Arial Narrow" w:hAnsi="Arial Narrow" w:cs="Arial"/>
                <w:b/>
                <w:bCs/>
                <w:sz w:val="22"/>
                <w:szCs w:val="20"/>
              </w:rPr>
            </w:pPr>
            <w:r w:rsidRPr="00FC7058">
              <w:rPr>
                <w:rFonts w:ascii="Arial Narrow" w:hAnsi="Arial Narrow" w:cs="Arial"/>
                <w:b/>
                <w:bCs/>
                <w:sz w:val="22"/>
                <w:szCs w:val="20"/>
              </w:rPr>
              <w:t>2012</w:t>
            </w:r>
          </w:p>
        </w:tc>
      </w:tr>
      <w:tr w:rsidR="00CC2E6C" w:rsidRPr="003538DA" w14:paraId="604FF076" w14:textId="77777777" w:rsidTr="00DC5463">
        <w:trPr>
          <w:trHeight w:val="240"/>
        </w:trPr>
        <w:tc>
          <w:tcPr>
            <w:tcW w:w="1998" w:type="dxa"/>
            <w:tcBorders>
              <w:top w:val="single" w:sz="4" w:space="0" w:color="auto"/>
            </w:tcBorders>
            <w:shd w:val="clear" w:color="auto" w:fill="auto"/>
            <w:noWrap/>
            <w:vAlign w:val="bottom"/>
            <w:hideMark/>
          </w:tcPr>
          <w:p w14:paraId="6F348A4F" w14:textId="77777777" w:rsidR="00CC2E6C" w:rsidRPr="00FC7058" w:rsidRDefault="00CC2E6C" w:rsidP="003538DA">
            <w:pPr>
              <w:rPr>
                <w:rFonts w:ascii="Arial Narrow" w:hAnsi="Arial Narrow" w:cs="Arial"/>
                <w:sz w:val="22"/>
                <w:szCs w:val="20"/>
              </w:rPr>
            </w:pPr>
            <w:r w:rsidRPr="00FC7058">
              <w:rPr>
                <w:rFonts w:ascii="Arial Narrow" w:hAnsi="Arial Narrow" w:cs="Arial"/>
                <w:sz w:val="22"/>
                <w:szCs w:val="20"/>
              </w:rPr>
              <w:t>West</w:t>
            </w:r>
          </w:p>
        </w:tc>
        <w:tc>
          <w:tcPr>
            <w:tcW w:w="1620" w:type="dxa"/>
            <w:tcBorders>
              <w:top w:val="single" w:sz="4" w:space="0" w:color="auto"/>
            </w:tcBorders>
            <w:vAlign w:val="center"/>
          </w:tcPr>
          <w:p w14:paraId="0C3C1CAD" w14:textId="68D614E7" w:rsidR="00CC2E6C" w:rsidRPr="00FC7058" w:rsidRDefault="00CC2E6C" w:rsidP="003538DA">
            <w:pPr>
              <w:jc w:val="center"/>
              <w:rPr>
                <w:rFonts w:ascii="Arial Narrow" w:hAnsi="Arial Narrow" w:cs="Arial"/>
                <w:sz w:val="22"/>
                <w:szCs w:val="20"/>
              </w:rPr>
            </w:pPr>
            <w:r>
              <w:rPr>
                <w:rFonts w:ascii="Arial Narrow" w:hAnsi="Arial Narrow"/>
                <w:sz w:val="22"/>
                <w:szCs w:val="22"/>
              </w:rPr>
              <w:t>70%</w:t>
            </w:r>
          </w:p>
        </w:tc>
        <w:tc>
          <w:tcPr>
            <w:tcW w:w="1620" w:type="dxa"/>
            <w:tcBorders>
              <w:top w:val="single" w:sz="4" w:space="0" w:color="auto"/>
            </w:tcBorders>
            <w:shd w:val="clear" w:color="auto" w:fill="auto"/>
            <w:noWrap/>
            <w:vAlign w:val="bottom"/>
            <w:hideMark/>
          </w:tcPr>
          <w:p w14:paraId="4DAAE74B" w14:textId="193B1FB5" w:rsidR="00CC2E6C" w:rsidRPr="00FC7058" w:rsidRDefault="00CC2E6C" w:rsidP="003538DA">
            <w:pPr>
              <w:jc w:val="center"/>
              <w:rPr>
                <w:rFonts w:ascii="Arial Narrow" w:hAnsi="Arial Narrow" w:cs="Arial"/>
                <w:sz w:val="22"/>
                <w:szCs w:val="20"/>
              </w:rPr>
            </w:pPr>
            <w:r w:rsidRPr="00FC7058">
              <w:rPr>
                <w:rFonts w:ascii="Arial Narrow" w:hAnsi="Arial Narrow" w:cs="Arial"/>
                <w:sz w:val="22"/>
                <w:szCs w:val="20"/>
              </w:rPr>
              <w:t>82%</w:t>
            </w:r>
          </w:p>
        </w:tc>
        <w:tc>
          <w:tcPr>
            <w:tcW w:w="1620" w:type="dxa"/>
            <w:tcBorders>
              <w:top w:val="single" w:sz="4" w:space="0" w:color="auto"/>
            </w:tcBorders>
            <w:shd w:val="clear" w:color="auto" w:fill="auto"/>
            <w:noWrap/>
            <w:vAlign w:val="bottom"/>
            <w:hideMark/>
          </w:tcPr>
          <w:p w14:paraId="307805FC" w14:textId="77777777" w:rsidR="00CC2E6C" w:rsidRPr="00FC7058" w:rsidRDefault="00CC2E6C" w:rsidP="003538DA">
            <w:pPr>
              <w:jc w:val="center"/>
              <w:rPr>
                <w:rFonts w:ascii="Arial Narrow" w:hAnsi="Arial Narrow" w:cs="Arial"/>
                <w:sz w:val="22"/>
                <w:szCs w:val="20"/>
              </w:rPr>
            </w:pPr>
            <w:r w:rsidRPr="00FC7058">
              <w:rPr>
                <w:rFonts w:ascii="Arial Narrow" w:hAnsi="Arial Narrow" w:cs="Arial"/>
                <w:sz w:val="22"/>
                <w:szCs w:val="20"/>
              </w:rPr>
              <w:t>75%</w:t>
            </w:r>
          </w:p>
        </w:tc>
        <w:tc>
          <w:tcPr>
            <w:tcW w:w="1620" w:type="dxa"/>
            <w:tcBorders>
              <w:top w:val="single" w:sz="4" w:space="0" w:color="auto"/>
            </w:tcBorders>
            <w:shd w:val="clear" w:color="auto" w:fill="auto"/>
            <w:noWrap/>
            <w:vAlign w:val="bottom"/>
            <w:hideMark/>
          </w:tcPr>
          <w:p w14:paraId="078A50F1" w14:textId="77777777" w:rsidR="00CC2E6C" w:rsidRPr="00FC7058" w:rsidRDefault="00CC2E6C" w:rsidP="003538DA">
            <w:pPr>
              <w:jc w:val="center"/>
              <w:rPr>
                <w:rFonts w:ascii="Arial Narrow" w:hAnsi="Arial Narrow" w:cs="Arial"/>
                <w:sz w:val="22"/>
                <w:szCs w:val="20"/>
              </w:rPr>
            </w:pPr>
            <w:r w:rsidRPr="00FC7058">
              <w:rPr>
                <w:rFonts w:ascii="Arial Narrow" w:hAnsi="Arial Narrow" w:cs="Arial"/>
                <w:sz w:val="22"/>
                <w:szCs w:val="20"/>
              </w:rPr>
              <w:t>76%</w:t>
            </w:r>
          </w:p>
        </w:tc>
      </w:tr>
      <w:tr w:rsidR="00CC2E6C" w:rsidRPr="003538DA" w14:paraId="1AE2AD1B" w14:textId="77777777" w:rsidTr="00DC5463">
        <w:trPr>
          <w:trHeight w:val="240"/>
        </w:trPr>
        <w:tc>
          <w:tcPr>
            <w:tcW w:w="1998" w:type="dxa"/>
            <w:shd w:val="clear" w:color="auto" w:fill="auto"/>
            <w:noWrap/>
            <w:vAlign w:val="bottom"/>
            <w:hideMark/>
          </w:tcPr>
          <w:p w14:paraId="75C8C092" w14:textId="4F7BB08A" w:rsidR="00CC2E6C" w:rsidRPr="00FC7058" w:rsidRDefault="00CC2E6C" w:rsidP="003538DA">
            <w:pPr>
              <w:rPr>
                <w:rFonts w:ascii="Arial Narrow" w:hAnsi="Arial Narrow" w:cs="Arial"/>
                <w:sz w:val="22"/>
                <w:szCs w:val="20"/>
              </w:rPr>
            </w:pPr>
            <w:r w:rsidRPr="00FC7058">
              <w:rPr>
                <w:rFonts w:ascii="Arial Narrow" w:hAnsi="Arial Narrow" w:cs="Arial"/>
                <w:sz w:val="22"/>
                <w:szCs w:val="20"/>
              </w:rPr>
              <w:t>Highland</w:t>
            </w:r>
            <w:r>
              <w:rPr>
                <w:rFonts w:ascii="Arial Narrow" w:hAnsi="Arial Narrow" w:cs="Arial"/>
                <w:sz w:val="22"/>
                <w:szCs w:val="20"/>
              </w:rPr>
              <w:t>s</w:t>
            </w:r>
          </w:p>
        </w:tc>
        <w:tc>
          <w:tcPr>
            <w:tcW w:w="1620" w:type="dxa"/>
            <w:vAlign w:val="center"/>
          </w:tcPr>
          <w:p w14:paraId="161822CC" w14:textId="77ECC293" w:rsidR="00CC2E6C" w:rsidRPr="00FC7058" w:rsidRDefault="00CC2E6C" w:rsidP="003538DA">
            <w:pPr>
              <w:jc w:val="center"/>
              <w:rPr>
                <w:rFonts w:ascii="Arial Narrow" w:hAnsi="Arial Narrow" w:cs="Arial"/>
                <w:sz w:val="22"/>
                <w:szCs w:val="20"/>
              </w:rPr>
            </w:pPr>
            <w:r>
              <w:rPr>
                <w:rFonts w:ascii="Arial Narrow" w:hAnsi="Arial Narrow"/>
                <w:sz w:val="22"/>
                <w:szCs w:val="22"/>
              </w:rPr>
              <w:t>69%</w:t>
            </w:r>
          </w:p>
        </w:tc>
        <w:tc>
          <w:tcPr>
            <w:tcW w:w="1620" w:type="dxa"/>
            <w:shd w:val="clear" w:color="auto" w:fill="auto"/>
            <w:noWrap/>
            <w:vAlign w:val="bottom"/>
            <w:hideMark/>
          </w:tcPr>
          <w:p w14:paraId="31909BD9" w14:textId="7924DBFB" w:rsidR="00CC2E6C" w:rsidRPr="00FC7058" w:rsidRDefault="00CC2E6C" w:rsidP="003538DA">
            <w:pPr>
              <w:jc w:val="center"/>
              <w:rPr>
                <w:rFonts w:ascii="Arial Narrow" w:hAnsi="Arial Narrow" w:cs="Arial"/>
                <w:sz w:val="22"/>
                <w:szCs w:val="20"/>
              </w:rPr>
            </w:pPr>
            <w:r w:rsidRPr="00FC7058">
              <w:rPr>
                <w:rFonts w:ascii="Arial Narrow" w:hAnsi="Arial Narrow" w:cs="Arial"/>
                <w:sz w:val="22"/>
                <w:szCs w:val="20"/>
              </w:rPr>
              <w:t>65%</w:t>
            </w:r>
          </w:p>
        </w:tc>
        <w:tc>
          <w:tcPr>
            <w:tcW w:w="1620" w:type="dxa"/>
            <w:shd w:val="clear" w:color="auto" w:fill="auto"/>
            <w:noWrap/>
            <w:vAlign w:val="bottom"/>
            <w:hideMark/>
          </w:tcPr>
          <w:p w14:paraId="13B7A296" w14:textId="77777777" w:rsidR="00CC2E6C" w:rsidRPr="00FC7058" w:rsidRDefault="00CC2E6C" w:rsidP="003538DA">
            <w:pPr>
              <w:jc w:val="center"/>
              <w:rPr>
                <w:rFonts w:ascii="Arial Narrow" w:hAnsi="Arial Narrow" w:cs="Arial"/>
                <w:sz w:val="22"/>
                <w:szCs w:val="20"/>
              </w:rPr>
            </w:pPr>
            <w:r w:rsidRPr="00FC7058">
              <w:rPr>
                <w:rFonts w:ascii="Arial Narrow" w:hAnsi="Arial Narrow" w:cs="Arial"/>
                <w:sz w:val="22"/>
                <w:szCs w:val="20"/>
              </w:rPr>
              <w:t>75%</w:t>
            </w:r>
          </w:p>
        </w:tc>
        <w:tc>
          <w:tcPr>
            <w:tcW w:w="1620" w:type="dxa"/>
            <w:shd w:val="clear" w:color="auto" w:fill="auto"/>
            <w:noWrap/>
            <w:vAlign w:val="bottom"/>
            <w:hideMark/>
          </w:tcPr>
          <w:p w14:paraId="06E5044D" w14:textId="77777777" w:rsidR="00CC2E6C" w:rsidRPr="00FC7058" w:rsidRDefault="00CC2E6C" w:rsidP="003538DA">
            <w:pPr>
              <w:jc w:val="center"/>
              <w:rPr>
                <w:rFonts w:ascii="Arial Narrow" w:hAnsi="Arial Narrow" w:cs="Arial"/>
                <w:sz w:val="22"/>
                <w:szCs w:val="20"/>
              </w:rPr>
            </w:pPr>
            <w:r w:rsidRPr="00FC7058">
              <w:rPr>
                <w:rFonts w:ascii="Arial Narrow" w:hAnsi="Arial Narrow" w:cs="Arial"/>
                <w:sz w:val="22"/>
                <w:szCs w:val="20"/>
              </w:rPr>
              <w:t>76%</w:t>
            </w:r>
          </w:p>
        </w:tc>
      </w:tr>
      <w:tr w:rsidR="00CC2E6C" w:rsidRPr="003538DA" w14:paraId="238F47A4" w14:textId="77777777" w:rsidTr="00DC5463">
        <w:trPr>
          <w:trHeight w:val="240"/>
        </w:trPr>
        <w:tc>
          <w:tcPr>
            <w:tcW w:w="1998" w:type="dxa"/>
            <w:shd w:val="clear" w:color="auto" w:fill="auto"/>
            <w:noWrap/>
            <w:vAlign w:val="bottom"/>
            <w:hideMark/>
          </w:tcPr>
          <w:p w14:paraId="0517A1F4" w14:textId="77777777" w:rsidR="00CC2E6C" w:rsidRPr="00FC7058" w:rsidRDefault="00CC2E6C" w:rsidP="003538DA">
            <w:pPr>
              <w:rPr>
                <w:rFonts w:ascii="Arial Narrow" w:hAnsi="Arial Narrow" w:cs="Arial"/>
                <w:sz w:val="22"/>
                <w:szCs w:val="20"/>
              </w:rPr>
            </w:pPr>
            <w:r w:rsidRPr="00FC7058">
              <w:rPr>
                <w:rFonts w:ascii="Arial Narrow" w:hAnsi="Arial Narrow" w:cs="Arial"/>
                <w:sz w:val="22"/>
                <w:szCs w:val="20"/>
              </w:rPr>
              <w:t>Central</w:t>
            </w:r>
          </w:p>
        </w:tc>
        <w:tc>
          <w:tcPr>
            <w:tcW w:w="1620" w:type="dxa"/>
            <w:vAlign w:val="center"/>
          </w:tcPr>
          <w:p w14:paraId="713F6B78" w14:textId="50F16761" w:rsidR="00CC2E6C" w:rsidRPr="00FC7058" w:rsidRDefault="00CC2E6C" w:rsidP="003538DA">
            <w:pPr>
              <w:jc w:val="center"/>
              <w:rPr>
                <w:rFonts w:ascii="Arial Narrow" w:hAnsi="Arial Narrow" w:cs="Arial"/>
                <w:sz w:val="22"/>
                <w:szCs w:val="20"/>
              </w:rPr>
            </w:pPr>
            <w:r>
              <w:rPr>
                <w:rFonts w:ascii="Arial Narrow" w:hAnsi="Arial Narrow"/>
                <w:sz w:val="22"/>
                <w:szCs w:val="22"/>
              </w:rPr>
              <w:t>84%</w:t>
            </w:r>
          </w:p>
        </w:tc>
        <w:tc>
          <w:tcPr>
            <w:tcW w:w="1620" w:type="dxa"/>
            <w:shd w:val="clear" w:color="auto" w:fill="auto"/>
            <w:noWrap/>
            <w:vAlign w:val="bottom"/>
            <w:hideMark/>
          </w:tcPr>
          <w:p w14:paraId="76ACC981" w14:textId="36FBB444" w:rsidR="00CC2E6C" w:rsidRPr="00FC7058" w:rsidRDefault="00CC2E6C" w:rsidP="003538DA">
            <w:pPr>
              <w:jc w:val="center"/>
              <w:rPr>
                <w:rFonts w:ascii="Arial Narrow" w:hAnsi="Arial Narrow" w:cs="Arial"/>
                <w:sz w:val="22"/>
                <w:szCs w:val="20"/>
              </w:rPr>
            </w:pPr>
            <w:r w:rsidRPr="00FC7058">
              <w:rPr>
                <w:rFonts w:ascii="Arial Narrow" w:hAnsi="Arial Narrow" w:cs="Arial"/>
                <w:sz w:val="22"/>
                <w:szCs w:val="20"/>
              </w:rPr>
              <w:t>84%</w:t>
            </w:r>
          </w:p>
        </w:tc>
        <w:tc>
          <w:tcPr>
            <w:tcW w:w="1620" w:type="dxa"/>
            <w:shd w:val="clear" w:color="auto" w:fill="auto"/>
            <w:noWrap/>
            <w:vAlign w:val="bottom"/>
            <w:hideMark/>
          </w:tcPr>
          <w:p w14:paraId="5DBB5F16" w14:textId="77777777" w:rsidR="00CC2E6C" w:rsidRPr="00FC7058" w:rsidRDefault="00CC2E6C" w:rsidP="003538DA">
            <w:pPr>
              <w:jc w:val="center"/>
              <w:rPr>
                <w:rFonts w:ascii="Arial Narrow" w:hAnsi="Arial Narrow" w:cs="Arial"/>
                <w:sz w:val="22"/>
                <w:szCs w:val="20"/>
              </w:rPr>
            </w:pPr>
            <w:r w:rsidRPr="00FC7058">
              <w:rPr>
                <w:rFonts w:ascii="Arial Narrow" w:hAnsi="Arial Narrow" w:cs="Arial"/>
                <w:sz w:val="22"/>
                <w:szCs w:val="20"/>
              </w:rPr>
              <w:t>81%</w:t>
            </w:r>
          </w:p>
        </w:tc>
        <w:tc>
          <w:tcPr>
            <w:tcW w:w="1620" w:type="dxa"/>
            <w:shd w:val="clear" w:color="auto" w:fill="auto"/>
            <w:noWrap/>
            <w:vAlign w:val="bottom"/>
            <w:hideMark/>
          </w:tcPr>
          <w:p w14:paraId="783BA754" w14:textId="77777777" w:rsidR="00CC2E6C" w:rsidRPr="00FC7058" w:rsidRDefault="00CC2E6C" w:rsidP="003538DA">
            <w:pPr>
              <w:jc w:val="center"/>
              <w:rPr>
                <w:rFonts w:ascii="Arial Narrow" w:hAnsi="Arial Narrow" w:cs="Arial"/>
                <w:sz w:val="22"/>
                <w:szCs w:val="20"/>
              </w:rPr>
            </w:pPr>
            <w:r w:rsidRPr="00FC7058">
              <w:rPr>
                <w:rFonts w:ascii="Arial Narrow" w:hAnsi="Arial Narrow" w:cs="Arial"/>
                <w:sz w:val="22"/>
                <w:szCs w:val="20"/>
              </w:rPr>
              <w:t>88%</w:t>
            </w:r>
          </w:p>
        </w:tc>
      </w:tr>
      <w:tr w:rsidR="00CC2E6C" w:rsidRPr="003538DA" w14:paraId="451F40B2" w14:textId="77777777" w:rsidTr="00DC5463">
        <w:trPr>
          <w:trHeight w:val="240"/>
        </w:trPr>
        <w:tc>
          <w:tcPr>
            <w:tcW w:w="1998" w:type="dxa"/>
            <w:shd w:val="clear" w:color="auto" w:fill="auto"/>
            <w:noWrap/>
            <w:vAlign w:val="bottom"/>
            <w:hideMark/>
          </w:tcPr>
          <w:p w14:paraId="4ABC1773" w14:textId="77777777" w:rsidR="00CC2E6C" w:rsidRPr="00FC7058" w:rsidRDefault="00CC2E6C" w:rsidP="003538DA">
            <w:pPr>
              <w:rPr>
                <w:rFonts w:ascii="Arial Narrow" w:hAnsi="Arial Narrow" w:cs="Arial"/>
                <w:sz w:val="22"/>
                <w:szCs w:val="20"/>
              </w:rPr>
            </w:pPr>
            <w:r w:rsidRPr="00FC7058">
              <w:rPr>
                <w:rFonts w:ascii="Arial Narrow" w:hAnsi="Arial Narrow" w:cs="Arial"/>
                <w:sz w:val="22"/>
                <w:szCs w:val="20"/>
              </w:rPr>
              <w:t>East</w:t>
            </w:r>
          </w:p>
        </w:tc>
        <w:tc>
          <w:tcPr>
            <w:tcW w:w="1620" w:type="dxa"/>
            <w:vAlign w:val="center"/>
          </w:tcPr>
          <w:p w14:paraId="1CAD0192" w14:textId="5817D651" w:rsidR="00CC2E6C" w:rsidRPr="00FC7058" w:rsidRDefault="00CC2E6C" w:rsidP="003538DA">
            <w:pPr>
              <w:jc w:val="center"/>
              <w:rPr>
                <w:rFonts w:ascii="Arial Narrow" w:hAnsi="Arial Narrow" w:cs="Arial"/>
                <w:sz w:val="22"/>
                <w:szCs w:val="20"/>
              </w:rPr>
            </w:pPr>
            <w:r>
              <w:rPr>
                <w:rFonts w:ascii="Arial Narrow" w:hAnsi="Arial Narrow"/>
                <w:sz w:val="22"/>
                <w:szCs w:val="22"/>
              </w:rPr>
              <w:t>81%</w:t>
            </w:r>
          </w:p>
        </w:tc>
        <w:tc>
          <w:tcPr>
            <w:tcW w:w="1620" w:type="dxa"/>
            <w:shd w:val="clear" w:color="auto" w:fill="auto"/>
            <w:noWrap/>
            <w:vAlign w:val="bottom"/>
            <w:hideMark/>
          </w:tcPr>
          <w:p w14:paraId="2CDC6B73" w14:textId="290AC179" w:rsidR="00CC2E6C" w:rsidRPr="00FC7058" w:rsidRDefault="00CC2E6C" w:rsidP="003538DA">
            <w:pPr>
              <w:jc w:val="center"/>
              <w:rPr>
                <w:rFonts w:ascii="Arial Narrow" w:hAnsi="Arial Narrow" w:cs="Arial"/>
                <w:sz w:val="22"/>
                <w:szCs w:val="20"/>
              </w:rPr>
            </w:pPr>
            <w:r w:rsidRPr="00FC7058">
              <w:rPr>
                <w:rFonts w:ascii="Arial Narrow" w:hAnsi="Arial Narrow" w:cs="Arial"/>
                <w:sz w:val="22"/>
                <w:szCs w:val="20"/>
              </w:rPr>
              <w:t>85%</w:t>
            </w:r>
          </w:p>
        </w:tc>
        <w:tc>
          <w:tcPr>
            <w:tcW w:w="1620" w:type="dxa"/>
            <w:shd w:val="clear" w:color="auto" w:fill="auto"/>
            <w:noWrap/>
            <w:vAlign w:val="bottom"/>
            <w:hideMark/>
          </w:tcPr>
          <w:p w14:paraId="1F12D7FF" w14:textId="77777777" w:rsidR="00CC2E6C" w:rsidRPr="00FC7058" w:rsidRDefault="00CC2E6C" w:rsidP="003538DA">
            <w:pPr>
              <w:jc w:val="center"/>
              <w:rPr>
                <w:rFonts w:ascii="Arial Narrow" w:hAnsi="Arial Narrow" w:cs="Arial"/>
                <w:sz w:val="22"/>
                <w:szCs w:val="20"/>
              </w:rPr>
            </w:pPr>
            <w:r w:rsidRPr="00FC7058">
              <w:rPr>
                <w:rFonts w:ascii="Arial Narrow" w:hAnsi="Arial Narrow" w:cs="Arial"/>
                <w:sz w:val="22"/>
                <w:szCs w:val="20"/>
              </w:rPr>
              <w:t>89%</w:t>
            </w:r>
          </w:p>
        </w:tc>
        <w:tc>
          <w:tcPr>
            <w:tcW w:w="1620" w:type="dxa"/>
            <w:shd w:val="clear" w:color="auto" w:fill="auto"/>
            <w:noWrap/>
            <w:vAlign w:val="bottom"/>
            <w:hideMark/>
          </w:tcPr>
          <w:p w14:paraId="30F51479" w14:textId="77777777" w:rsidR="00CC2E6C" w:rsidRPr="00FC7058" w:rsidRDefault="00CC2E6C" w:rsidP="003538DA">
            <w:pPr>
              <w:jc w:val="center"/>
              <w:rPr>
                <w:rFonts w:ascii="Arial Narrow" w:hAnsi="Arial Narrow" w:cs="Arial"/>
                <w:sz w:val="22"/>
                <w:szCs w:val="20"/>
              </w:rPr>
            </w:pPr>
            <w:r w:rsidRPr="00FC7058">
              <w:rPr>
                <w:rFonts w:ascii="Arial Narrow" w:hAnsi="Arial Narrow" w:cs="Arial"/>
                <w:sz w:val="22"/>
                <w:szCs w:val="20"/>
              </w:rPr>
              <w:t>84%</w:t>
            </w:r>
          </w:p>
        </w:tc>
      </w:tr>
      <w:tr w:rsidR="00CC2E6C" w:rsidRPr="003538DA" w14:paraId="5B96F7BD" w14:textId="77777777" w:rsidTr="00DC5463">
        <w:trPr>
          <w:trHeight w:val="240"/>
        </w:trPr>
        <w:tc>
          <w:tcPr>
            <w:tcW w:w="1998" w:type="dxa"/>
            <w:tcBorders>
              <w:bottom w:val="single" w:sz="4" w:space="0" w:color="auto"/>
            </w:tcBorders>
            <w:shd w:val="clear" w:color="auto" w:fill="auto"/>
            <w:noWrap/>
            <w:vAlign w:val="bottom"/>
            <w:hideMark/>
          </w:tcPr>
          <w:p w14:paraId="5B01C53A" w14:textId="77777777" w:rsidR="00CC2E6C" w:rsidRPr="00FC7058" w:rsidRDefault="00CC2E6C" w:rsidP="003538DA">
            <w:pPr>
              <w:rPr>
                <w:rFonts w:ascii="Arial Narrow" w:hAnsi="Arial Narrow" w:cs="Arial"/>
                <w:sz w:val="22"/>
                <w:szCs w:val="20"/>
              </w:rPr>
            </w:pPr>
            <w:r w:rsidRPr="00FC7058">
              <w:rPr>
                <w:rFonts w:ascii="Arial Narrow" w:hAnsi="Arial Narrow" w:cs="Arial"/>
                <w:sz w:val="22"/>
                <w:szCs w:val="20"/>
              </w:rPr>
              <w:t>Ulaanbaatar</w:t>
            </w:r>
          </w:p>
        </w:tc>
        <w:tc>
          <w:tcPr>
            <w:tcW w:w="1620" w:type="dxa"/>
            <w:tcBorders>
              <w:bottom w:val="single" w:sz="4" w:space="0" w:color="auto"/>
            </w:tcBorders>
            <w:vAlign w:val="center"/>
          </w:tcPr>
          <w:p w14:paraId="17FB66F1" w14:textId="2585D8B7" w:rsidR="00CC2E6C" w:rsidRPr="00FC7058" w:rsidRDefault="00CC2E6C" w:rsidP="003538DA">
            <w:pPr>
              <w:jc w:val="center"/>
              <w:rPr>
                <w:rFonts w:ascii="Arial Narrow" w:hAnsi="Arial Narrow" w:cs="Arial"/>
                <w:sz w:val="22"/>
                <w:szCs w:val="20"/>
              </w:rPr>
            </w:pPr>
            <w:r>
              <w:rPr>
                <w:rFonts w:ascii="Arial Narrow" w:hAnsi="Arial Narrow"/>
                <w:sz w:val="22"/>
                <w:szCs w:val="22"/>
              </w:rPr>
              <w:t>83%</w:t>
            </w:r>
          </w:p>
        </w:tc>
        <w:tc>
          <w:tcPr>
            <w:tcW w:w="1620" w:type="dxa"/>
            <w:tcBorders>
              <w:bottom w:val="single" w:sz="4" w:space="0" w:color="auto"/>
            </w:tcBorders>
            <w:shd w:val="clear" w:color="auto" w:fill="auto"/>
            <w:noWrap/>
            <w:vAlign w:val="bottom"/>
            <w:hideMark/>
          </w:tcPr>
          <w:p w14:paraId="6DF836BB" w14:textId="342203E0" w:rsidR="00CC2E6C" w:rsidRPr="00FC7058" w:rsidRDefault="00CC2E6C" w:rsidP="003538DA">
            <w:pPr>
              <w:jc w:val="center"/>
              <w:rPr>
                <w:rFonts w:ascii="Arial Narrow" w:hAnsi="Arial Narrow" w:cs="Arial"/>
                <w:sz w:val="22"/>
                <w:szCs w:val="20"/>
              </w:rPr>
            </w:pPr>
            <w:r w:rsidRPr="00FC7058">
              <w:rPr>
                <w:rFonts w:ascii="Arial Narrow" w:hAnsi="Arial Narrow" w:cs="Arial"/>
                <w:sz w:val="22"/>
                <w:szCs w:val="20"/>
              </w:rPr>
              <w:t>80%</w:t>
            </w:r>
          </w:p>
        </w:tc>
        <w:tc>
          <w:tcPr>
            <w:tcW w:w="1620" w:type="dxa"/>
            <w:tcBorders>
              <w:bottom w:val="single" w:sz="4" w:space="0" w:color="auto"/>
            </w:tcBorders>
            <w:shd w:val="clear" w:color="auto" w:fill="auto"/>
            <w:noWrap/>
            <w:vAlign w:val="bottom"/>
            <w:hideMark/>
          </w:tcPr>
          <w:p w14:paraId="66589D04" w14:textId="77777777" w:rsidR="00CC2E6C" w:rsidRPr="00FC7058" w:rsidRDefault="00CC2E6C" w:rsidP="003538DA">
            <w:pPr>
              <w:jc w:val="center"/>
              <w:rPr>
                <w:rFonts w:ascii="Arial Narrow" w:hAnsi="Arial Narrow" w:cs="Arial"/>
                <w:sz w:val="22"/>
                <w:szCs w:val="20"/>
              </w:rPr>
            </w:pPr>
            <w:r w:rsidRPr="00FC7058">
              <w:rPr>
                <w:rFonts w:ascii="Arial Narrow" w:hAnsi="Arial Narrow" w:cs="Arial"/>
                <w:sz w:val="22"/>
                <w:szCs w:val="20"/>
              </w:rPr>
              <w:t>77%</w:t>
            </w:r>
          </w:p>
        </w:tc>
        <w:tc>
          <w:tcPr>
            <w:tcW w:w="1620" w:type="dxa"/>
            <w:tcBorders>
              <w:bottom w:val="single" w:sz="4" w:space="0" w:color="auto"/>
            </w:tcBorders>
            <w:shd w:val="clear" w:color="auto" w:fill="auto"/>
            <w:noWrap/>
            <w:vAlign w:val="bottom"/>
            <w:hideMark/>
          </w:tcPr>
          <w:p w14:paraId="708C90AC" w14:textId="77777777" w:rsidR="00CC2E6C" w:rsidRPr="00FC7058" w:rsidRDefault="00CC2E6C" w:rsidP="003538DA">
            <w:pPr>
              <w:jc w:val="center"/>
              <w:rPr>
                <w:rFonts w:ascii="Arial Narrow" w:hAnsi="Arial Narrow" w:cs="Arial"/>
                <w:sz w:val="22"/>
                <w:szCs w:val="20"/>
              </w:rPr>
            </w:pPr>
            <w:r w:rsidRPr="00FC7058">
              <w:rPr>
                <w:rFonts w:ascii="Arial Narrow" w:hAnsi="Arial Narrow" w:cs="Arial"/>
                <w:sz w:val="22"/>
                <w:szCs w:val="20"/>
              </w:rPr>
              <w:t>77%</w:t>
            </w:r>
          </w:p>
        </w:tc>
      </w:tr>
      <w:tr w:rsidR="00CC2E6C" w:rsidRPr="003538DA" w14:paraId="78CCF451" w14:textId="77777777" w:rsidTr="00DC5463">
        <w:trPr>
          <w:trHeight w:val="240"/>
        </w:trPr>
        <w:tc>
          <w:tcPr>
            <w:tcW w:w="1998" w:type="dxa"/>
            <w:tcBorders>
              <w:top w:val="single" w:sz="4" w:space="0" w:color="auto"/>
              <w:bottom w:val="single" w:sz="4" w:space="0" w:color="auto"/>
            </w:tcBorders>
            <w:shd w:val="clear" w:color="auto" w:fill="auto"/>
            <w:noWrap/>
            <w:vAlign w:val="bottom"/>
            <w:hideMark/>
          </w:tcPr>
          <w:p w14:paraId="49AB052C" w14:textId="77777777" w:rsidR="00CC2E6C" w:rsidRPr="00FC7058" w:rsidRDefault="00CC2E6C" w:rsidP="003538DA">
            <w:pPr>
              <w:rPr>
                <w:rFonts w:ascii="Arial Narrow" w:hAnsi="Arial Narrow" w:cs="Arial"/>
                <w:sz w:val="22"/>
                <w:szCs w:val="20"/>
              </w:rPr>
            </w:pPr>
            <w:r w:rsidRPr="00FC7058">
              <w:rPr>
                <w:rFonts w:ascii="Arial Narrow" w:hAnsi="Arial Narrow" w:cs="Arial"/>
                <w:sz w:val="22"/>
                <w:szCs w:val="20"/>
              </w:rPr>
              <w:t xml:space="preserve">Total  </w:t>
            </w:r>
          </w:p>
        </w:tc>
        <w:tc>
          <w:tcPr>
            <w:tcW w:w="1620" w:type="dxa"/>
            <w:tcBorders>
              <w:top w:val="single" w:sz="4" w:space="0" w:color="auto"/>
              <w:bottom w:val="single" w:sz="4" w:space="0" w:color="auto"/>
            </w:tcBorders>
            <w:vAlign w:val="center"/>
          </w:tcPr>
          <w:p w14:paraId="475AD4DB" w14:textId="1AD79E8D" w:rsidR="00CC2E6C" w:rsidRPr="00FC7058" w:rsidRDefault="00CC2E6C" w:rsidP="003538DA">
            <w:pPr>
              <w:jc w:val="center"/>
              <w:rPr>
                <w:rFonts w:ascii="Arial Narrow" w:hAnsi="Arial Narrow" w:cs="Arial"/>
                <w:sz w:val="22"/>
                <w:szCs w:val="20"/>
              </w:rPr>
            </w:pPr>
            <w:r>
              <w:rPr>
                <w:rFonts w:ascii="Arial Narrow" w:hAnsi="Arial Narrow"/>
                <w:sz w:val="22"/>
                <w:szCs w:val="22"/>
              </w:rPr>
              <w:t>78%</w:t>
            </w:r>
          </w:p>
        </w:tc>
        <w:tc>
          <w:tcPr>
            <w:tcW w:w="1620" w:type="dxa"/>
            <w:tcBorders>
              <w:top w:val="single" w:sz="4" w:space="0" w:color="auto"/>
              <w:bottom w:val="single" w:sz="4" w:space="0" w:color="auto"/>
            </w:tcBorders>
            <w:shd w:val="clear" w:color="auto" w:fill="auto"/>
            <w:noWrap/>
            <w:vAlign w:val="bottom"/>
            <w:hideMark/>
          </w:tcPr>
          <w:p w14:paraId="40F237F6" w14:textId="22A8F8BB" w:rsidR="00CC2E6C" w:rsidRPr="00FC7058" w:rsidRDefault="00CC2E6C" w:rsidP="003538DA">
            <w:pPr>
              <w:jc w:val="center"/>
              <w:rPr>
                <w:rFonts w:ascii="Arial Narrow" w:hAnsi="Arial Narrow" w:cs="Arial"/>
                <w:sz w:val="22"/>
                <w:szCs w:val="20"/>
              </w:rPr>
            </w:pPr>
            <w:r w:rsidRPr="00FC7058">
              <w:rPr>
                <w:rFonts w:ascii="Arial Narrow" w:hAnsi="Arial Narrow" w:cs="Arial"/>
                <w:sz w:val="22"/>
                <w:szCs w:val="20"/>
              </w:rPr>
              <w:t>78%</w:t>
            </w:r>
          </w:p>
        </w:tc>
        <w:tc>
          <w:tcPr>
            <w:tcW w:w="1620" w:type="dxa"/>
            <w:tcBorders>
              <w:top w:val="single" w:sz="4" w:space="0" w:color="auto"/>
              <w:bottom w:val="single" w:sz="4" w:space="0" w:color="auto"/>
            </w:tcBorders>
            <w:shd w:val="clear" w:color="auto" w:fill="auto"/>
            <w:noWrap/>
            <w:vAlign w:val="bottom"/>
            <w:hideMark/>
          </w:tcPr>
          <w:p w14:paraId="27599D14" w14:textId="77777777" w:rsidR="00CC2E6C" w:rsidRPr="00FC7058" w:rsidRDefault="00CC2E6C" w:rsidP="003538DA">
            <w:pPr>
              <w:jc w:val="center"/>
              <w:rPr>
                <w:rFonts w:ascii="Arial Narrow" w:hAnsi="Arial Narrow" w:cs="Arial"/>
                <w:sz w:val="22"/>
                <w:szCs w:val="20"/>
              </w:rPr>
            </w:pPr>
            <w:r w:rsidRPr="00FC7058">
              <w:rPr>
                <w:rFonts w:ascii="Arial Narrow" w:hAnsi="Arial Narrow" w:cs="Arial"/>
                <w:sz w:val="22"/>
                <w:szCs w:val="20"/>
              </w:rPr>
              <w:t>79%</w:t>
            </w:r>
          </w:p>
        </w:tc>
        <w:tc>
          <w:tcPr>
            <w:tcW w:w="1620" w:type="dxa"/>
            <w:tcBorders>
              <w:top w:val="single" w:sz="4" w:space="0" w:color="auto"/>
              <w:bottom w:val="single" w:sz="4" w:space="0" w:color="auto"/>
            </w:tcBorders>
            <w:shd w:val="clear" w:color="auto" w:fill="auto"/>
            <w:noWrap/>
            <w:vAlign w:val="bottom"/>
            <w:hideMark/>
          </w:tcPr>
          <w:p w14:paraId="33EBD166" w14:textId="77777777" w:rsidR="00CC2E6C" w:rsidRPr="00FC7058" w:rsidRDefault="00CC2E6C" w:rsidP="003538DA">
            <w:pPr>
              <w:jc w:val="center"/>
              <w:rPr>
                <w:rFonts w:ascii="Arial Narrow" w:hAnsi="Arial Narrow" w:cs="Arial"/>
                <w:sz w:val="22"/>
                <w:szCs w:val="20"/>
              </w:rPr>
            </w:pPr>
            <w:r w:rsidRPr="00FC7058">
              <w:rPr>
                <w:rFonts w:ascii="Arial Narrow" w:hAnsi="Arial Narrow" w:cs="Arial"/>
                <w:sz w:val="22"/>
                <w:szCs w:val="20"/>
              </w:rPr>
              <w:t>80%</w:t>
            </w:r>
          </w:p>
        </w:tc>
      </w:tr>
    </w:tbl>
    <w:p w14:paraId="69C5C574" w14:textId="25DD7F0A" w:rsidR="003538DA" w:rsidRPr="004B0783" w:rsidRDefault="004B0783" w:rsidP="004B0783">
      <w:pPr>
        <w:ind w:left="720"/>
        <w:rPr>
          <w:i/>
          <w:sz w:val="22"/>
          <w:lang w:val="en-GB"/>
        </w:rPr>
      </w:pPr>
      <w:r w:rsidRPr="008B7EA0">
        <w:rPr>
          <w:i/>
          <w:sz w:val="22"/>
          <w:lang w:val="en-GB"/>
        </w:rPr>
        <w:t>Source: Mongolia Household Socio-Economic Surveys, 20</w:t>
      </w:r>
      <w:r>
        <w:rPr>
          <w:i/>
          <w:sz w:val="22"/>
          <w:lang w:val="en-GB"/>
        </w:rPr>
        <w:t>10</w:t>
      </w:r>
      <w:r w:rsidRPr="008B7EA0">
        <w:rPr>
          <w:i/>
          <w:sz w:val="22"/>
          <w:lang w:val="en-GB"/>
        </w:rPr>
        <w:t>-2012</w:t>
      </w:r>
    </w:p>
    <w:p w14:paraId="7D9AA7A4" w14:textId="77777777" w:rsidR="00A77E78" w:rsidRPr="00FC7058" w:rsidRDefault="00A77E78" w:rsidP="00FC7058"/>
    <w:p w14:paraId="54512D74" w14:textId="1F7621A7" w:rsidR="00244E37" w:rsidRDefault="006C18EC" w:rsidP="000A000B">
      <w:pPr>
        <w:jc w:val="both"/>
        <w:rPr>
          <w:rFonts w:ascii="Arial" w:hAnsi="Arial" w:cs="Arial"/>
          <w:lang w:val="en-GB"/>
        </w:rPr>
      </w:pPr>
      <w:r w:rsidRPr="000B5169">
        <w:rPr>
          <w:rFonts w:ascii="Arial" w:hAnsi="Arial" w:cs="Arial"/>
          <w:lang w:val="en-GB"/>
        </w:rPr>
        <w:t>The Figure</w:t>
      </w:r>
      <w:r w:rsidR="00121E66">
        <w:rPr>
          <w:rFonts w:ascii="Arial" w:hAnsi="Arial" w:cs="Arial"/>
          <w:lang w:val="en-GB"/>
        </w:rPr>
        <w:t xml:space="preserve"> 3</w:t>
      </w:r>
      <w:r w:rsidR="000A000B" w:rsidRPr="000B5169">
        <w:rPr>
          <w:rFonts w:ascii="Arial" w:hAnsi="Arial" w:cs="Arial"/>
          <w:lang w:val="en-GB"/>
        </w:rPr>
        <w:t xml:space="preserve"> </w:t>
      </w:r>
      <w:r w:rsidRPr="000B5169">
        <w:rPr>
          <w:rFonts w:ascii="Arial" w:hAnsi="Arial" w:cs="Arial"/>
          <w:lang w:val="en-GB"/>
        </w:rPr>
        <w:t>depicts</w:t>
      </w:r>
      <w:r w:rsidR="000A000B" w:rsidRPr="000B5169">
        <w:rPr>
          <w:rFonts w:ascii="Arial" w:hAnsi="Arial" w:cs="Arial"/>
          <w:lang w:val="en-GB"/>
        </w:rPr>
        <w:t xml:space="preserve"> </w:t>
      </w:r>
      <w:r w:rsidR="000A000B" w:rsidRPr="000B5169">
        <w:rPr>
          <w:rFonts w:ascii="Arial" w:hAnsi="Arial" w:cs="Arial"/>
        </w:rPr>
        <w:t>outpatient care utilization pattern</w:t>
      </w:r>
      <w:r w:rsidR="00244E37" w:rsidRPr="000B5169">
        <w:rPr>
          <w:rFonts w:ascii="Arial" w:hAnsi="Arial" w:cs="Arial"/>
        </w:rPr>
        <w:t>s</w:t>
      </w:r>
      <w:r w:rsidR="000A000B" w:rsidRPr="000B5169">
        <w:rPr>
          <w:rFonts w:ascii="Arial" w:hAnsi="Arial" w:cs="Arial"/>
        </w:rPr>
        <w:t xml:space="preserve"> </w:t>
      </w:r>
      <w:r w:rsidRPr="000B5169">
        <w:rPr>
          <w:rFonts w:ascii="Arial" w:hAnsi="Arial" w:cs="Arial"/>
        </w:rPr>
        <w:t>of</w:t>
      </w:r>
      <w:r w:rsidR="000A000B" w:rsidRPr="000B5169">
        <w:rPr>
          <w:rFonts w:ascii="Arial" w:hAnsi="Arial" w:cs="Arial"/>
        </w:rPr>
        <w:t xml:space="preserve"> the lowest and highest expenditure quintiles. </w:t>
      </w:r>
      <w:r w:rsidR="000A000B" w:rsidRPr="000B5169">
        <w:rPr>
          <w:rFonts w:ascii="Arial" w:hAnsi="Arial" w:cs="Arial"/>
          <w:lang w:val="en-GB"/>
        </w:rPr>
        <w:t xml:space="preserve">The poorest of poor use mostly primary health care facilities rather than the </w:t>
      </w:r>
      <w:r w:rsidRPr="000B5169">
        <w:rPr>
          <w:rFonts w:ascii="Arial" w:hAnsi="Arial" w:cs="Arial"/>
          <w:lang w:val="en-GB"/>
        </w:rPr>
        <w:t xml:space="preserve">specialized </w:t>
      </w:r>
      <w:proofErr w:type="spellStart"/>
      <w:r w:rsidRPr="000B5169">
        <w:rPr>
          <w:rFonts w:ascii="Arial" w:hAnsi="Arial" w:cs="Arial"/>
          <w:lang w:val="en-GB"/>
        </w:rPr>
        <w:t>centers</w:t>
      </w:r>
      <w:proofErr w:type="spellEnd"/>
      <w:r w:rsidRPr="000B5169">
        <w:rPr>
          <w:rFonts w:ascii="Arial" w:hAnsi="Arial" w:cs="Arial"/>
          <w:lang w:val="en-GB"/>
        </w:rPr>
        <w:t xml:space="preserve"> and clinical hospitals of </w:t>
      </w:r>
      <w:r w:rsidR="000A000B" w:rsidRPr="000B5169">
        <w:rPr>
          <w:rFonts w:ascii="Arial" w:hAnsi="Arial" w:cs="Arial"/>
          <w:lang w:val="en-GB"/>
        </w:rPr>
        <w:t xml:space="preserve">tertiary </w:t>
      </w:r>
      <w:r w:rsidRPr="000B5169">
        <w:rPr>
          <w:rFonts w:ascii="Arial" w:hAnsi="Arial" w:cs="Arial"/>
          <w:lang w:val="en-GB"/>
        </w:rPr>
        <w:t xml:space="preserve">care </w:t>
      </w:r>
      <w:r w:rsidR="000A000B" w:rsidRPr="000B5169">
        <w:rPr>
          <w:rFonts w:ascii="Arial" w:hAnsi="Arial" w:cs="Arial"/>
          <w:lang w:val="en-GB"/>
        </w:rPr>
        <w:t xml:space="preserve">level. </w:t>
      </w:r>
      <w:r w:rsidR="00244E37" w:rsidRPr="000B5169">
        <w:rPr>
          <w:rFonts w:ascii="Arial" w:hAnsi="Arial" w:cs="Arial"/>
          <w:lang w:val="en-GB"/>
        </w:rPr>
        <w:t xml:space="preserve">Despite being relatively </w:t>
      </w:r>
      <w:r w:rsidR="009041EA" w:rsidRPr="000B5169">
        <w:rPr>
          <w:rFonts w:ascii="Arial" w:hAnsi="Arial" w:cs="Arial"/>
          <w:lang w:val="en-GB"/>
        </w:rPr>
        <w:t>limited</w:t>
      </w:r>
      <w:r w:rsidR="00244E37" w:rsidRPr="000B5169">
        <w:rPr>
          <w:rFonts w:ascii="Arial" w:hAnsi="Arial" w:cs="Arial"/>
          <w:lang w:val="en-GB"/>
        </w:rPr>
        <w:t>,</w:t>
      </w:r>
      <w:r w:rsidR="009041EA" w:rsidRPr="000B5169">
        <w:rPr>
          <w:rFonts w:ascii="Arial" w:hAnsi="Arial" w:cs="Arial"/>
          <w:lang w:val="en-GB"/>
        </w:rPr>
        <w:t xml:space="preserve"> t</w:t>
      </w:r>
      <w:r w:rsidR="000A000B" w:rsidRPr="000B5169">
        <w:rPr>
          <w:rFonts w:ascii="Arial" w:hAnsi="Arial" w:cs="Arial"/>
          <w:lang w:val="en-GB"/>
        </w:rPr>
        <w:t xml:space="preserve">he use of private health facilities </w:t>
      </w:r>
      <w:r w:rsidR="009041EA" w:rsidRPr="000B5169">
        <w:rPr>
          <w:rFonts w:ascii="Arial" w:hAnsi="Arial" w:cs="Arial"/>
          <w:lang w:val="en-GB"/>
        </w:rPr>
        <w:t>increased</w:t>
      </w:r>
      <w:r w:rsidR="000A000B" w:rsidRPr="000B5169">
        <w:rPr>
          <w:rFonts w:ascii="Arial" w:hAnsi="Arial" w:cs="Arial"/>
          <w:lang w:val="en-GB"/>
        </w:rPr>
        <w:t xml:space="preserve"> </w:t>
      </w:r>
      <w:r w:rsidR="009041EA" w:rsidRPr="000B5169">
        <w:rPr>
          <w:rFonts w:ascii="Arial" w:hAnsi="Arial" w:cs="Arial"/>
          <w:lang w:val="en-GB"/>
        </w:rPr>
        <w:t>for</w:t>
      </w:r>
      <w:r w:rsidR="000A000B" w:rsidRPr="000B5169">
        <w:rPr>
          <w:rFonts w:ascii="Arial" w:hAnsi="Arial" w:cs="Arial"/>
          <w:lang w:val="en-GB"/>
        </w:rPr>
        <w:t xml:space="preserve"> </w:t>
      </w:r>
      <w:r w:rsidR="00244E37" w:rsidRPr="000B5169">
        <w:rPr>
          <w:rFonts w:ascii="Arial" w:hAnsi="Arial" w:cs="Arial"/>
          <w:lang w:val="en-GB"/>
        </w:rPr>
        <w:t xml:space="preserve">the poorest population in Mongolia. </w:t>
      </w:r>
      <w:r w:rsidR="000A000B" w:rsidRPr="000B5169">
        <w:rPr>
          <w:rFonts w:ascii="Arial" w:hAnsi="Arial" w:cs="Arial"/>
          <w:lang w:val="en-GB"/>
        </w:rPr>
        <w:t xml:space="preserve">They attend </w:t>
      </w:r>
      <w:proofErr w:type="spellStart"/>
      <w:r w:rsidR="000A000B" w:rsidRPr="000B5169">
        <w:rPr>
          <w:rFonts w:ascii="Arial" w:hAnsi="Arial" w:cs="Arial"/>
          <w:lang w:val="en-GB"/>
        </w:rPr>
        <w:t>Soum</w:t>
      </w:r>
      <w:proofErr w:type="spellEnd"/>
      <w:r w:rsidR="000A000B" w:rsidRPr="000B5169">
        <w:rPr>
          <w:rFonts w:ascii="Arial" w:hAnsi="Arial" w:cs="Arial"/>
          <w:lang w:val="en-GB"/>
        </w:rPr>
        <w:t xml:space="preserve"> and</w:t>
      </w:r>
      <w:r w:rsidR="009041EA" w:rsidRPr="000B5169">
        <w:rPr>
          <w:rFonts w:ascii="Arial" w:hAnsi="Arial" w:cs="Arial"/>
          <w:lang w:val="en-GB"/>
        </w:rPr>
        <w:t xml:space="preserve"> Family health </w:t>
      </w:r>
      <w:proofErr w:type="spellStart"/>
      <w:r w:rsidR="009041EA" w:rsidRPr="000B5169">
        <w:rPr>
          <w:rFonts w:ascii="Arial" w:hAnsi="Arial" w:cs="Arial"/>
          <w:lang w:val="en-GB"/>
        </w:rPr>
        <w:t>centers</w:t>
      </w:r>
      <w:proofErr w:type="spellEnd"/>
      <w:r w:rsidR="009041EA" w:rsidRPr="000B5169">
        <w:rPr>
          <w:rFonts w:ascii="Arial" w:hAnsi="Arial" w:cs="Arial"/>
          <w:lang w:val="en-GB"/>
        </w:rPr>
        <w:t xml:space="preserve"> twice </w:t>
      </w:r>
      <w:r w:rsidR="000A000B" w:rsidRPr="000B5169">
        <w:rPr>
          <w:rFonts w:ascii="Arial" w:hAnsi="Arial" w:cs="Arial"/>
          <w:lang w:val="en-GB"/>
        </w:rPr>
        <w:t xml:space="preserve">more than the richest people and 5-10 times less the private </w:t>
      </w:r>
      <w:r w:rsidR="00CC2E6C">
        <w:rPr>
          <w:rFonts w:ascii="Arial" w:hAnsi="Arial" w:cs="Arial"/>
          <w:lang w:val="en-GB"/>
        </w:rPr>
        <w:t xml:space="preserve">hospitals. </w:t>
      </w:r>
      <w:r w:rsidR="000A000B" w:rsidRPr="000B5169">
        <w:rPr>
          <w:rFonts w:ascii="Arial" w:hAnsi="Arial" w:cs="Arial"/>
          <w:lang w:val="en-GB"/>
        </w:rPr>
        <w:t>The</w:t>
      </w:r>
      <w:r w:rsidR="000A000B" w:rsidRPr="00D16F85">
        <w:rPr>
          <w:rFonts w:ascii="Arial" w:hAnsi="Arial" w:cs="Arial"/>
          <w:lang w:val="en-GB"/>
        </w:rPr>
        <w:t xml:space="preserve"> richest people accessed health services at central clinical hospitals and specialised </w:t>
      </w:r>
      <w:proofErr w:type="spellStart"/>
      <w:r w:rsidR="000A000B">
        <w:rPr>
          <w:rFonts w:ascii="Arial" w:hAnsi="Arial" w:cs="Arial"/>
          <w:lang w:val="en-GB"/>
        </w:rPr>
        <w:t>ce</w:t>
      </w:r>
      <w:r w:rsidR="000A000B" w:rsidRPr="00D16F85">
        <w:rPr>
          <w:rFonts w:ascii="Arial" w:hAnsi="Arial" w:cs="Arial"/>
          <w:lang w:val="en-GB"/>
        </w:rPr>
        <w:t>nters</w:t>
      </w:r>
      <w:proofErr w:type="spellEnd"/>
      <w:r w:rsidR="000A000B" w:rsidRPr="00D16F85">
        <w:rPr>
          <w:rFonts w:ascii="Arial" w:hAnsi="Arial" w:cs="Arial"/>
          <w:lang w:val="en-GB"/>
        </w:rPr>
        <w:t xml:space="preserve"> 2-3 times more than the poorest people. </w:t>
      </w:r>
    </w:p>
    <w:p w14:paraId="2583A2C4" w14:textId="77777777" w:rsidR="00244E37" w:rsidRDefault="00244E37" w:rsidP="000A000B">
      <w:pPr>
        <w:jc w:val="both"/>
        <w:rPr>
          <w:rFonts w:ascii="Arial" w:hAnsi="Arial" w:cs="Arial"/>
          <w:lang w:val="en-GB"/>
        </w:rPr>
      </w:pPr>
    </w:p>
    <w:p w14:paraId="311E4AEC" w14:textId="49498BC3" w:rsidR="000A000B" w:rsidRPr="00D16F85" w:rsidRDefault="000A000B" w:rsidP="000A000B">
      <w:pPr>
        <w:jc w:val="both"/>
        <w:rPr>
          <w:rFonts w:ascii="Arial" w:hAnsi="Arial" w:cs="Arial"/>
          <w:lang w:val="en-GB"/>
        </w:rPr>
      </w:pPr>
      <w:r>
        <w:rPr>
          <w:rFonts w:ascii="Arial" w:hAnsi="Arial" w:cs="Arial"/>
          <w:lang w:val="en-GB"/>
        </w:rPr>
        <w:t xml:space="preserve">Both poorest and richest expenditure quintiles had fairly equal access to the secondary level care providers such as </w:t>
      </w:r>
      <w:proofErr w:type="spellStart"/>
      <w:r>
        <w:rPr>
          <w:rFonts w:ascii="Arial" w:hAnsi="Arial" w:cs="Arial"/>
          <w:lang w:val="en-GB"/>
        </w:rPr>
        <w:t>aimag</w:t>
      </w:r>
      <w:proofErr w:type="spellEnd"/>
      <w:r>
        <w:rPr>
          <w:rFonts w:ascii="Arial" w:hAnsi="Arial" w:cs="Arial"/>
          <w:lang w:val="en-GB"/>
        </w:rPr>
        <w:t xml:space="preserve"> and district general hospitals. </w:t>
      </w:r>
    </w:p>
    <w:p w14:paraId="722CFB73" w14:textId="77777777" w:rsidR="000A000B" w:rsidRDefault="000A000B" w:rsidP="000A000B">
      <w:pPr>
        <w:jc w:val="both"/>
        <w:rPr>
          <w:lang w:val="en-GB"/>
        </w:rPr>
      </w:pPr>
    </w:p>
    <w:p w14:paraId="42B76210" w14:textId="17F70590" w:rsidR="000A000B" w:rsidRPr="00D16F85" w:rsidRDefault="000A000B" w:rsidP="000A000B">
      <w:pPr>
        <w:pStyle w:val="Caption"/>
        <w:spacing w:after="0"/>
        <w:rPr>
          <w:b w:val="0"/>
          <w:lang w:val="en-GB"/>
        </w:rPr>
      </w:pPr>
      <w:bookmarkStart w:id="23" w:name="_Toc310170108"/>
      <w:r w:rsidRPr="00623545">
        <w:rPr>
          <w:rFonts w:ascii="Arial" w:hAnsi="Arial" w:cs="Arial"/>
          <w:b w:val="0"/>
          <w:sz w:val="22"/>
          <w:szCs w:val="22"/>
        </w:rPr>
        <w:t xml:space="preserve">Figure </w:t>
      </w:r>
      <w:r w:rsidR="00CB191B" w:rsidRPr="00623545">
        <w:rPr>
          <w:rFonts w:ascii="Arial" w:hAnsi="Arial" w:cs="Arial"/>
          <w:b w:val="0"/>
          <w:sz w:val="22"/>
          <w:szCs w:val="22"/>
        </w:rPr>
        <w:fldChar w:fldCharType="begin"/>
      </w:r>
      <w:r w:rsidRPr="00623545">
        <w:rPr>
          <w:rFonts w:ascii="Arial" w:hAnsi="Arial" w:cs="Arial"/>
          <w:b w:val="0"/>
          <w:sz w:val="22"/>
          <w:szCs w:val="22"/>
        </w:rPr>
        <w:instrText xml:space="preserve"> SEQ Figure \* ARABIC </w:instrText>
      </w:r>
      <w:r w:rsidR="00CB191B" w:rsidRPr="00623545">
        <w:rPr>
          <w:rFonts w:ascii="Arial" w:hAnsi="Arial" w:cs="Arial"/>
          <w:b w:val="0"/>
          <w:sz w:val="22"/>
          <w:szCs w:val="22"/>
        </w:rPr>
        <w:fldChar w:fldCharType="separate"/>
      </w:r>
      <w:r w:rsidR="00F51B4E">
        <w:rPr>
          <w:rFonts w:ascii="Arial" w:hAnsi="Arial" w:cs="Arial"/>
          <w:b w:val="0"/>
          <w:noProof/>
          <w:sz w:val="22"/>
          <w:szCs w:val="22"/>
        </w:rPr>
        <w:t>3</w:t>
      </w:r>
      <w:r w:rsidR="00CB191B" w:rsidRPr="00623545">
        <w:rPr>
          <w:rFonts w:ascii="Arial" w:hAnsi="Arial" w:cs="Arial"/>
          <w:b w:val="0"/>
          <w:sz w:val="22"/>
          <w:szCs w:val="22"/>
        </w:rPr>
        <w:fldChar w:fldCharType="end"/>
      </w:r>
      <w:r w:rsidRPr="00623545">
        <w:rPr>
          <w:rFonts w:ascii="Arial" w:hAnsi="Arial" w:cs="Arial"/>
          <w:b w:val="0"/>
          <w:sz w:val="22"/>
          <w:szCs w:val="22"/>
        </w:rPr>
        <w:t>: Outpatient care utilization by the lowest and highest expenditure quintiles</w:t>
      </w:r>
      <w:r w:rsidR="00EE4084">
        <w:rPr>
          <w:rFonts w:ascii="Arial" w:hAnsi="Arial" w:cs="Arial"/>
          <w:b w:val="0"/>
          <w:sz w:val="22"/>
          <w:szCs w:val="22"/>
        </w:rPr>
        <w:t xml:space="preserve"> and by health facilities</w:t>
      </w:r>
      <w:bookmarkEnd w:id="23"/>
    </w:p>
    <w:p w14:paraId="1039E040" w14:textId="77777777" w:rsidR="000A000B" w:rsidRDefault="000A000B" w:rsidP="000A000B">
      <w:pPr>
        <w:jc w:val="both"/>
        <w:rPr>
          <w:lang w:val="en-GB"/>
        </w:rPr>
      </w:pPr>
    </w:p>
    <w:p w14:paraId="175CA1F6" w14:textId="77777777" w:rsidR="000A000B" w:rsidRPr="00ED4941" w:rsidRDefault="000A000B" w:rsidP="00ED4941">
      <w:pPr>
        <w:jc w:val="both"/>
        <w:rPr>
          <w:lang w:val="en-GB"/>
        </w:rPr>
      </w:pPr>
      <w:bookmarkStart w:id="24" w:name="OLE_LINK2"/>
      <w:r>
        <w:rPr>
          <w:noProof/>
        </w:rPr>
        <w:lastRenderedPageBreak/>
        <w:drawing>
          <wp:inline distT="0" distB="0" distL="0" distR="0" wp14:anchorId="2D3F06ED" wp14:editId="65F97E73">
            <wp:extent cx="2665908" cy="2010943"/>
            <wp:effectExtent l="19050" t="0" r="1092"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srcRect/>
                    <a:stretch>
                      <a:fillRect/>
                    </a:stretch>
                  </pic:blipFill>
                  <pic:spPr bwMode="auto">
                    <a:xfrm>
                      <a:off x="0" y="0"/>
                      <a:ext cx="2667520" cy="2012159"/>
                    </a:xfrm>
                    <a:prstGeom prst="rect">
                      <a:avLst/>
                    </a:prstGeom>
                    <a:noFill/>
                  </pic:spPr>
                </pic:pic>
              </a:graphicData>
            </a:graphic>
          </wp:inline>
        </w:drawing>
      </w:r>
      <w:r>
        <w:rPr>
          <w:noProof/>
        </w:rPr>
        <w:drawing>
          <wp:inline distT="0" distB="0" distL="0" distR="0" wp14:anchorId="2F74DF24" wp14:editId="31A127FE">
            <wp:extent cx="2664638" cy="2007586"/>
            <wp:effectExtent l="19050" t="0" r="2362" b="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a:stretch>
                      <a:fillRect/>
                    </a:stretch>
                  </pic:blipFill>
                  <pic:spPr bwMode="auto">
                    <a:xfrm>
                      <a:off x="0" y="0"/>
                      <a:ext cx="2664688" cy="2007624"/>
                    </a:xfrm>
                    <a:prstGeom prst="rect">
                      <a:avLst/>
                    </a:prstGeom>
                    <a:noFill/>
                  </pic:spPr>
                </pic:pic>
              </a:graphicData>
            </a:graphic>
          </wp:inline>
        </w:drawing>
      </w:r>
    </w:p>
    <w:bookmarkEnd w:id="24"/>
    <w:p w14:paraId="57BE225F" w14:textId="77777777" w:rsidR="000A000B" w:rsidRPr="008B7EA0" w:rsidRDefault="000A000B" w:rsidP="000A000B">
      <w:pPr>
        <w:rPr>
          <w:i/>
          <w:sz w:val="22"/>
          <w:lang w:val="en-GB"/>
        </w:rPr>
      </w:pPr>
      <w:r w:rsidRPr="008B7EA0">
        <w:rPr>
          <w:i/>
          <w:sz w:val="22"/>
          <w:lang w:val="en-GB"/>
        </w:rPr>
        <w:t>Source: Mongolia Household Socio-Economic Surveys, 20</w:t>
      </w:r>
      <w:r>
        <w:rPr>
          <w:i/>
          <w:sz w:val="22"/>
          <w:lang w:val="en-GB"/>
        </w:rPr>
        <w:t>10</w:t>
      </w:r>
      <w:r w:rsidRPr="008B7EA0">
        <w:rPr>
          <w:i/>
          <w:sz w:val="22"/>
          <w:lang w:val="en-GB"/>
        </w:rPr>
        <w:t>-2012</w:t>
      </w:r>
    </w:p>
    <w:p w14:paraId="343985B5" w14:textId="77777777" w:rsidR="00ED4941" w:rsidRDefault="00ED4941" w:rsidP="00D32CE6">
      <w:pPr>
        <w:pStyle w:val="Caption"/>
        <w:spacing w:after="0" w:line="240" w:lineRule="auto"/>
        <w:jc w:val="both"/>
        <w:rPr>
          <w:rFonts w:ascii="Arial" w:hAnsi="Arial" w:cs="Arial"/>
          <w:b w:val="0"/>
          <w:sz w:val="24"/>
          <w:szCs w:val="22"/>
        </w:rPr>
      </w:pPr>
    </w:p>
    <w:p w14:paraId="1DCB3983" w14:textId="0FE6C4A6" w:rsidR="0098119C" w:rsidRPr="00453010" w:rsidRDefault="009041EA" w:rsidP="00D32CE6">
      <w:pPr>
        <w:pStyle w:val="Caption"/>
        <w:spacing w:after="0" w:line="240" w:lineRule="auto"/>
        <w:jc w:val="both"/>
        <w:rPr>
          <w:rFonts w:ascii="Arial" w:hAnsi="Arial" w:cs="Arial"/>
          <w:b w:val="0"/>
          <w:sz w:val="24"/>
          <w:szCs w:val="22"/>
        </w:rPr>
      </w:pPr>
      <w:r>
        <w:rPr>
          <w:rFonts w:ascii="Arial" w:hAnsi="Arial" w:cs="Arial"/>
          <w:b w:val="0"/>
          <w:sz w:val="24"/>
          <w:szCs w:val="22"/>
        </w:rPr>
        <w:t>The utilization of inpatient care increased</w:t>
      </w:r>
      <w:r w:rsidR="00F51B4E">
        <w:rPr>
          <w:rFonts w:ascii="Arial" w:hAnsi="Arial" w:cs="Arial"/>
          <w:b w:val="0"/>
          <w:sz w:val="24"/>
          <w:szCs w:val="22"/>
        </w:rPr>
        <w:t xml:space="preserve"> as expenditure quintiles go up.</w:t>
      </w:r>
      <w:r>
        <w:rPr>
          <w:rFonts w:ascii="Arial" w:hAnsi="Arial" w:cs="Arial"/>
          <w:b w:val="0"/>
          <w:sz w:val="24"/>
          <w:szCs w:val="22"/>
        </w:rPr>
        <w:t xml:space="preserve"> </w:t>
      </w:r>
      <w:r w:rsidR="00FA2D3E">
        <w:rPr>
          <w:rFonts w:ascii="Arial" w:hAnsi="Arial" w:cs="Arial"/>
          <w:b w:val="0"/>
          <w:sz w:val="24"/>
          <w:szCs w:val="22"/>
        </w:rPr>
        <w:t xml:space="preserve">However, </w:t>
      </w:r>
      <w:r w:rsidR="00973BED">
        <w:rPr>
          <w:rFonts w:ascii="Arial" w:hAnsi="Arial" w:cs="Arial"/>
          <w:b w:val="0"/>
          <w:sz w:val="24"/>
          <w:szCs w:val="22"/>
        </w:rPr>
        <w:t>inpatient service utilization fluctuated</w:t>
      </w:r>
      <w:r w:rsidR="00FA2D3E">
        <w:rPr>
          <w:rFonts w:ascii="Arial" w:hAnsi="Arial" w:cs="Arial"/>
          <w:b w:val="0"/>
          <w:sz w:val="24"/>
          <w:szCs w:val="22"/>
        </w:rPr>
        <w:t xml:space="preserve"> </w:t>
      </w:r>
      <w:r>
        <w:rPr>
          <w:rFonts w:ascii="Arial" w:hAnsi="Arial" w:cs="Arial"/>
          <w:b w:val="0"/>
          <w:sz w:val="24"/>
          <w:szCs w:val="22"/>
        </w:rPr>
        <w:t>for all expenditure quintiles</w:t>
      </w:r>
      <w:r w:rsidR="00973BED">
        <w:rPr>
          <w:rFonts w:ascii="Arial" w:hAnsi="Arial" w:cs="Arial"/>
          <w:b w:val="0"/>
          <w:sz w:val="24"/>
          <w:szCs w:val="22"/>
        </w:rPr>
        <w:t xml:space="preserve"> over time</w:t>
      </w:r>
      <w:r>
        <w:rPr>
          <w:rFonts w:ascii="Arial" w:hAnsi="Arial" w:cs="Arial"/>
          <w:b w:val="0"/>
          <w:sz w:val="24"/>
          <w:szCs w:val="22"/>
        </w:rPr>
        <w:t xml:space="preserve">. </w:t>
      </w:r>
      <w:r w:rsidR="0001482B" w:rsidRPr="00453010">
        <w:rPr>
          <w:rFonts w:ascii="Arial" w:hAnsi="Arial" w:cs="Arial"/>
          <w:b w:val="0"/>
          <w:sz w:val="24"/>
          <w:szCs w:val="22"/>
        </w:rPr>
        <w:t xml:space="preserve">For example, </w:t>
      </w:r>
      <w:r w:rsidR="00E0176F" w:rsidRPr="00453010">
        <w:rPr>
          <w:rFonts w:ascii="Arial" w:hAnsi="Arial" w:cs="Arial"/>
          <w:b w:val="0"/>
          <w:sz w:val="24"/>
          <w:szCs w:val="22"/>
        </w:rPr>
        <w:t xml:space="preserve">the utilization by the </w:t>
      </w:r>
      <w:r w:rsidR="007E4249" w:rsidRPr="00453010">
        <w:rPr>
          <w:rFonts w:ascii="Arial" w:hAnsi="Arial" w:cs="Arial"/>
          <w:b w:val="0"/>
          <w:sz w:val="24"/>
          <w:szCs w:val="22"/>
        </w:rPr>
        <w:t>lowest expenditure quintile</w:t>
      </w:r>
      <w:r w:rsidR="00E0176F" w:rsidRPr="00453010">
        <w:rPr>
          <w:rFonts w:ascii="Arial" w:hAnsi="Arial" w:cs="Arial"/>
          <w:b w:val="0"/>
          <w:sz w:val="24"/>
          <w:szCs w:val="22"/>
        </w:rPr>
        <w:t xml:space="preserve"> </w:t>
      </w:r>
      <w:r w:rsidR="00973BED">
        <w:rPr>
          <w:rFonts w:ascii="Arial" w:hAnsi="Arial" w:cs="Arial"/>
          <w:b w:val="0"/>
          <w:sz w:val="24"/>
          <w:szCs w:val="22"/>
        </w:rPr>
        <w:t xml:space="preserve">increased from 7% in 2009 to </w:t>
      </w:r>
      <w:r w:rsidR="00973BED" w:rsidRPr="00453010">
        <w:rPr>
          <w:rFonts w:ascii="Arial" w:hAnsi="Arial" w:cs="Arial"/>
          <w:b w:val="0"/>
          <w:sz w:val="24"/>
          <w:szCs w:val="22"/>
        </w:rPr>
        <w:t>8.4%</w:t>
      </w:r>
      <w:r w:rsidR="00973BED">
        <w:rPr>
          <w:rFonts w:ascii="Arial" w:hAnsi="Arial" w:cs="Arial"/>
          <w:b w:val="0"/>
          <w:sz w:val="24"/>
          <w:szCs w:val="22"/>
        </w:rPr>
        <w:t xml:space="preserve"> in 2010</w:t>
      </w:r>
      <w:r w:rsidR="00973BED" w:rsidRPr="00453010">
        <w:rPr>
          <w:rFonts w:ascii="Arial" w:hAnsi="Arial" w:cs="Arial"/>
          <w:b w:val="0"/>
          <w:sz w:val="24"/>
          <w:szCs w:val="22"/>
        </w:rPr>
        <w:t xml:space="preserve"> </w:t>
      </w:r>
      <w:r w:rsidR="00973BED">
        <w:rPr>
          <w:rFonts w:ascii="Arial" w:hAnsi="Arial" w:cs="Arial"/>
          <w:b w:val="0"/>
          <w:sz w:val="24"/>
          <w:szCs w:val="22"/>
        </w:rPr>
        <w:t xml:space="preserve">but </w:t>
      </w:r>
      <w:r w:rsidR="00E0176F" w:rsidRPr="00453010">
        <w:rPr>
          <w:rFonts w:ascii="Arial" w:hAnsi="Arial" w:cs="Arial"/>
          <w:b w:val="0"/>
          <w:sz w:val="24"/>
          <w:szCs w:val="22"/>
        </w:rPr>
        <w:t>d</w:t>
      </w:r>
      <w:r w:rsidR="00973BED">
        <w:rPr>
          <w:rFonts w:ascii="Arial" w:hAnsi="Arial" w:cs="Arial"/>
          <w:b w:val="0"/>
          <w:sz w:val="24"/>
          <w:szCs w:val="22"/>
        </w:rPr>
        <w:t xml:space="preserve">ropped back </w:t>
      </w:r>
      <w:r w:rsidR="00E0176F" w:rsidRPr="00453010">
        <w:rPr>
          <w:rFonts w:ascii="Arial" w:hAnsi="Arial" w:cs="Arial"/>
          <w:b w:val="0"/>
          <w:sz w:val="24"/>
          <w:szCs w:val="22"/>
        </w:rPr>
        <w:t>to 7.2%</w:t>
      </w:r>
      <w:r w:rsidR="006840DE">
        <w:rPr>
          <w:rFonts w:ascii="Arial" w:hAnsi="Arial" w:cs="Arial"/>
          <w:b w:val="0"/>
          <w:sz w:val="24"/>
          <w:szCs w:val="22"/>
        </w:rPr>
        <w:t xml:space="preserve"> in 2012</w:t>
      </w:r>
      <w:r w:rsidR="00973BED">
        <w:rPr>
          <w:rFonts w:ascii="Arial" w:hAnsi="Arial" w:cs="Arial"/>
          <w:b w:val="0"/>
          <w:sz w:val="24"/>
          <w:szCs w:val="22"/>
        </w:rPr>
        <w:t xml:space="preserve"> </w:t>
      </w:r>
      <w:r w:rsidR="000B5169">
        <w:rPr>
          <w:rFonts w:ascii="Arial" w:hAnsi="Arial" w:cs="Arial"/>
          <w:b w:val="0"/>
          <w:sz w:val="24"/>
          <w:szCs w:val="22"/>
        </w:rPr>
        <w:t>(Figure</w:t>
      </w:r>
      <w:r w:rsidR="007C5DA0">
        <w:rPr>
          <w:rFonts w:ascii="Arial" w:hAnsi="Arial" w:cs="Arial"/>
          <w:b w:val="0"/>
          <w:sz w:val="24"/>
          <w:szCs w:val="22"/>
        </w:rPr>
        <w:t xml:space="preserve"> 4</w:t>
      </w:r>
      <w:r w:rsidR="000B5169">
        <w:rPr>
          <w:rFonts w:ascii="Arial" w:hAnsi="Arial" w:cs="Arial"/>
          <w:b w:val="0"/>
          <w:sz w:val="24"/>
          <w:szCs w:val="22"/>
        </w:rPr>
        <w:t>)</w:t>
      </w:r>
      <w:r w:rsidR="003A2F04">
        <w:rPr>
          <w:rFonts w:ascii="Arial" w:hAnsi="Arial" w:cs="Arial"/>
          <w:b w:val="0"/>
          <w:sz w:val="24"/>
          <w:szCs w:val="22"/>
        </w:rPr>
        <w:t xml:space="preserve">. </w:t>
      </w:r>
    </w:p>
    <w:p w14:paraId="0F0F4D2C" w14:textId="77777777" w:rsidR="006C18EC" w:rsidRDefault="006C18EC" w:rsidP="0098119C">
      <w:pPr>
        <w:pStyle w:val="Caption"/>
        <w:spacing w:after="0"/>
        <w:rPr>
          <w:rFonts w:ascii="Arial" w:hAnsi="Arial" w:cs="Arial"/>
          <w:b w:val="0"/>
          <w:sz w:val="22"/>
          <w:szCs w:val="22"/>
        </w:rPr>
      </w:pPr>
    </w:p>
    <w:p w14:paraId="39360726" w14:textId="222215DC" w:rsidR="0098119C" w:rsidRPr="00D13005" w:rsidRDefault="0098119C" w:rsidP="00D13005">
      <w:pPr>
        <w:pStyle w:val="Caption"/>
        <w:spacing w:after="0"/>
        <w:rPr>
          <w:rFonts w:ascii="Arial" w:hAnsi="Arial" w:cs="Arial"/>
          <w:b w:val="0"/>
          <w:sz w:val="22"/>
          <w:szCs w:val="22"/>
        </w:rPr>
      </w:pPr>
      <w:bookmarkStart w:id="25" w:name="_Toc310170109"/>
      <w:r w:rsidRPr="00D16F85">
        <w:rPr>
          <w:rFonts w:ascii="Arial" w:hAnsi="Arial" w:cs="Arial"/>
          <w:b w:val="0"/>
          <w:sz w:val="22"/>
          <w:szCs w:val="22"/>
        </w:rPr>
        <w:t xml:space="preserve">Figure </w:t>
      </w:r>
      <w:r w:rsidR="00CB191B" w:rsidRPr="00D16F85">
        <w:rPr>
          <w:rFonts w:ascii="Arial" w:hAnsi="Arial" w:cs="Arial"/>
          <w:b w:val="0"/>
          <w:sz w:val="22"/>
          <w:szCs w:val="22"/>
        </w:rPr>
        <w:fldChar w:fldCharType="begin"/>
      </w:r>
      <w:r w:rsidRPr="00D16F85">
        <w:rPr>
          <w:rFonts w:ascii="Arial" w:hAnsi="Arial" w:cs="Arial"/>
          <w:b w:val="0"/>
          <w:sz w:val="22"/>
          <w:szCs w:val="22"/>
        </w:rPr>
        <w:instrText xml:space="preserve"> SEQ Figure \* ARABIC </w:instrText>
      </w:r>
      <w:r w:rsidR="00CB191B" w:rsidRPr="00D16F85">
        <w:rPr>
          <w:rFonts w:ascii="Arial" w:hAnsi="Arial" w:cs="Arial"/>
          <w:b w:val="0"/>
          <w:sz w:val="22"/>
          <w:szCs w:val="22"/>
        </w:rPr>
        <w:fldChar w:fldCharType="separate"/>
      </w:r>
      <w:r w:rsidR="007C5DA0">
        <w:rPr>
          <w:rFonts w:ascii="Arial" w:hAnsi="Arial" w:cs="Arial"/>
          <w:b w:val="0"/>
          <w:noProof/>
          <w:sz w:val="22"/>
          <w:szCs w:val="22"/>
        </w:rPr>
        <w:t>4</w:t>
      </w:r>
      <w:r w:rsidR="00CB191B" w:rsidRPr="00D16F85">
        <w:rPr>
          <w:rFonts w:ascii="Arial" w:hAnsi="Arial" w:cs="Arial"/>
          <w:b w:val="0"/>
          <w:sz w:val="22"/>
          <w:szCs w:val="22"/>
        </w:rPr>
        <w:fldChar w:fldCharType="end"/>
      </w:r>
      <w:r w:rsidRPr="00D16F85">
        <w:rPr>
          <w:rFonts w:ascii="Arial" w:hAnsi="Arial" w:cs="Arial"/>
          <w:b w:val="0"/>
          <w:sz w:val="22"/>
          <w:szCs w:val="22"/>
        </w:rPr>
        <w:t xml:space="preserve">: </w:t>
      </w:r>
      <w:r w:rsidR="00D16F85">
        <w:rPr>
          <w:rFonts w:ascii="Arial" w:hAnsi="Arial" w:cs="Arial"/>
          <w:b w:val="0"/>
          <w:sz w:val="22"/>
          <w:szCs w:val="22"/>
        </w:rPr>
        <w:t>Percentage d</w:t>
      </w:r>
      <w:r w:rsidRPr="00D16F85">
        <w:rPr>
          <w:rFonts w:ascii="Arial" w:hAnsi="Arial" w:cs="Arial"/>
          <w:b w:val="0"/>
          <w:sz w:val="22"/>
          <w:szCs w:val="22"/>
        </w:rPr>
        <w:t>istribution of inpatient service utilization by expenditure quintile</w:t>
      </w:r>
      <w:bookmarkEnd w:id="25"/>
      <w:r w:rsidRPr="00D16F85">
        <w:rPr>
          <w:rFonts w:ascii="Arial" w:hAnsi="Arial" w:cs="Arial"/>
          <w:b w:val="0"/>
          <w:sz w:val="22"/>
          <w:szCs w:val="22"/>
        </w:rPr>
        <w:t xml:space="preserve"> </w:t>
      </w:r>
    </w:p>
    <w:p w14:paraId="68BD0256" w14:textId="09744365" w:rsidR="0098119C" w:rsidRDefault="00D13005" w:rsidP="000B5169">
      <w:pPr>
        <w:jc w:val="both"/>
        <w:rPr>
          <w:lang w:val="en-GB"/>
        </w:rPr>
      </w:pPr>
      <w:r w:rsidRPr="00D13005">
        <w:rPr>
          <w:noProof/>
        </w:rPr>
        <w:drawing>
          <wp:inline distT="0" distB="0" distL="0" distR="0" wp14:anchorId="5A4D9263" wp14:editId="55EDE2C9">
            <wp:extent cx="5490210" cy="2561488"/>
            <wp:effectExtent l="0" t="0" r="0" b="4445"/>
            <wp:docPr id="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90210" cy="2561488"/>
                    </a:xfrm>
                    <a:prstGeom prst="rect">
                      <a:avLst/>
                    </a:prstGeom>
                    <a:noFill/>
                    <a:ln>
                      <a:noFill/>
                    </a:ln>
                  </pic:spPr>
                </pic:pic>
              </a:graphicData>
            </a:graphic>
          </wp:inline>
        </w:drawing>
      </w:r>
    </w:p>
    <w:p w14:paraId="360F8CA9" w14:textId="796F965B" w:rsidR="00453010" w:rsidRPr="008B7EA0" w:rsidRDefault="00453010" w:rsidP="00453010">
      <w:pPr>
        <w:ind w:left="720"/>
        <w:rPr>
          <w:i/>
          <w:sz w:val="22"/>
          <w:lang w:val="en-GB"/>
        </w:rPr>
      </w:pPr>
      <w:r w:rsidRPr="008B7EA0">
        <w:rPr>
          <w:i/>
          <w:sz w:val="22"/>
          <w:lang w:val="en-GB"/>
        </w:rPr>
        <w:t>Source: Mongolia Household Socio-Economic Surveys, 20</w:t>
      </w:r>
      <w:r w:rsidR="009D3DE7">
        <w:rPr>
          <w:i/>
          <w:sz w:val="22"/>
          <w:lang w:val="en-GB"/>
        </w:rPr>
        <w:t>09</w:t>
      </w:r>
      <w:r w:rsidRPr="008B7EA0">
        <w:rPr>
          <w:i/>
          <w:sz w:val="22"/>
          <w:lang w:val="en-GB"/>
        </w:rPr>
        <w:t>-2012</w:t>
      </w:r>
    </w:p>
    <w:p w14:paraId="22817A7D" w14:textId="77777777" w:rsidR="00DC5A8F" w:rsidRDefault="00DC5A8F" w:rsidP="00EE4084">
      <w:pPr>
        <w:pStyle w:val="Caption"/>
        <w:rPr>
          <w:rFonts w:ascii="Arial" w:hAnsi="Arial" w:cs="Arial"/>
          <w:b w:val="0"/>
          <w:bCs w:val="0"/>
          <w:sz w:val="24"/>
          <w:szCs w:val="22"/>
        </w:rPr>
      </w:pPr>
    </w:p>
    <w:p w14:paraId="4866E4B0" w14:textId="75FF66B0" w:rsidR="006840DE" w:rsidRPr="00EE4084" w:rsidRDefault="004F1DF8" w:rsidP="00EE4084">
      <w:pPr>
        <w:pStyle w:val="Caption"/>
        <w:rPr>
          <w:rFonts w:ascii="Arial" w:hAnsi="Arial" w:cs="Arial"/>
          <w:b w:val="0"/>
          <w:bCs w:val="0"/>
          <w:sz w:val="24"/>
          <w:szCs w:val="22"/>
        </w:rPr>
      </w:pPr>
      <w:r w:rsidRPr="006840DE">
        <w:rPr>
          <w:rFonts w:ascii="Arial" w:hAnsi="Arial" w:cs="Arial"/>
          <w:b w:val="0"/>
          <w:bCs w:val="0"/>
          <w:sz w:val="24"/>
          <w:szCs w:val="22"/>
        </w:rPr>
        <w:t>Access to inpatient care increased in all regions</w:t>
      </w:r>
      <w:r w:rsidR="00073A37">
        <w:rPr>
          <w:rFonts w:ascii="Arial" w:hAnsi="Arial" w:cs="Arial"/>
          <w:b w:val="0"/>
          <w:bCs w:val="0"/>
          <w:sz w:val="24"/>
          <w:szCs w:val="22"/>
        </w:rPr>
        <w:t xml:space="preserve"> in Mongolia except in highlands</w:t>
      </w:r>
      <w:r w:rsidR="000B5169">
        <w:rPr>
          <w:rFonts w:ascii="Arial" w:hAnsi="Arial" w:cs="Arial"/>
          <w:b w:val="0"/>
          <w:bCs w:val="0"/>
          <w:sz w:val="24"/>
          <w:szCs w:val="22"/>
        </w:rPr>
        <w:t xml:space="preserve"> region (Table 7</w:t>
      </w:r>
      <w:r w:rsidRPr="006840DE">
        <w:rPr>
          <w:rFonts w:ascii="Arial" w:hAnsi="Arial" w:cs="Arial"/>
          <w:b w:val="0"/>
          <w:bCs w:val="0"/>
          <w:sz w:val="24"/>
          <w:szCs w:val="22"/>
        </w:rPr>
        <w:t xml:space="preserve">). </w:t>
      </w:r>
    </w:p>
    <w:p w14:paraId="55F0441D" w14:textId="77777777" w:rsidR="006038F0" w:rsidRPr="006038F0" w:rsidRDefault="006038F0" w:rsidP="006038F0">
      <w:pPr>
        <w:pStyle w:val="Caption"/>
        <w:rPr>
          <w:rFonts w:ascii="Arial" w:hAnsi="Arial" w:cs="Arial"/>
          <w:b w:val="0"/>
          <w:bCs w:val="0"/>
          <w:sz w:val="22"/>
          <w:szCs w:val="22"/>
        </w:rPr>
      </w:pPr>
      <w:bookmarkStart w:id="26" w:name="_Toc310170090"/>
      <w:r w:rsidRPr="0055231E">
        <w:rPr>
          <w:rFonts w:ascii="Arial" w:hAnsi="Arial" w:cs="Arial"/>
          <w:b w:val="0"/>
          <w:bCs w:val="0"/>
          <w:sz w:val="22"/>
          <w:szCs w:val="22"/>
        </w:rPr>
        <w:t xml:space="preserve">Table </w:t>
      </w:r>
      <w:r w:rsidR="00CB191B" w:rsidRPr="0055231E">
        <w:rPr>
          <w:rFonts w:ascii="Arial" w:hAnsi="Arial" w:cs="Arial"/>
          <w:b w:val="0"/>
          <w:bCs w:val="0"/>
          <w:sz w:val="22"/>
          <w:szCs w:val="22"/>
        </w:rPr>
        <w:fldChar w:fldCharType="begin"/>
      </w:r>
      <w:r w:rsidRPr="0055231E">
        <w:rPr>
          <w:rFonts w:ascii="Arial" w:hAnsi="Arial" w:cs="Arial"/>
          <w:b w:val="0"/>
          <w:bCs w:val="0"/>
          <w:sz w:val="22"/>
          <w:szCs w:val="22"/>
        </w:rPr>
        <w:instrText xml:space="preserve"> SEQ Table \* ARABIC </w:instrText>
      </w:r>
      <w:r w:rsidR="00CB191B" w:rsidRPr="0055231E">
        <w:rPr>
          <w:rFonts w:ascii="Arial" w:hAnsi="Arial" w:cs="Arial"/>
          <w:b w:val="0"/>
          <w:bCs w:val="0"/>
          <w:sz w:val="22"/>
          <w:szCs w:val="22"/>
        </w:rPr>
        <w:fldChar w:fldCharType="separate"/>
      </w:r>
      <w:r w:rsidR="000B5169">
        <w:rPr>
          <w:rFonts w:ascii="Arial" w:hAnsi="Arial" w:cs="Arial"/>
          <w:b w:val="0"/>
          <w:bCs w:val="0"/>
          <w:noProof/>
          <w:sz w:val="22"/>
          <w:szCs w:val="22"/>
        </w:rPr>
        <w:t>7</w:t>
      </w:r>
      <w:r w:rsidR="00CB191B" w:rsidRPr="0055231E">
        <w:rPr>
          <w:rFonts w:ascii="Arial" w:hAnsi="Arial" w:cs="Arial"/>
          <w:b w:val="0"/>
          <w:bCs w:val="0"/>
          <w:sz w:val="22"/>
          <w:szCs w:val="22"/>
        </w:rPr>
        <w:fldChar w:fldCharType="end"/>
      </w:r>
      <w:r w:rsidRPr="0055231E">
        <w:rPr>
          <w:rFonts w:ascii="Arial" w:hAnsi="Arial" w:cs="Arial"/>
          <w:b w:val="0"/>
          <w:bCs w:val="0"/>
          <w:sz w:val="22"/>
          <w:szCs w:val="22"/>
        </w:rPr>
        <w:t xml:space="preserve">: </w:t>
      </w:r>
      <w:r w:rsidRPr="00623545">
        <w:rPr>
          <w:rFonts w:ascii="Arial" w:hAnsi="Arial" w:cs="Arial"/>
          <w:b w:val="0"/>
          <w:sz w:val="22"/>
          <w:szCs w:val="22"/>
        </w:rPr>
        <w:t xml:space="preserve">Percentage distribution of </w:t>
      </w:r>
      <w:r>
        <w:rPr>
          <w:rFonts w:ascii="Arial" w:hAnsi="Arial" w:cs="Arial"/>
          <w:b w:val="0"/>
          <w:sz w:val="22"/>
          <w:szCs w:val="22"/>
        </w:rPr>
        <w:t>in</w:t>
      </w:r>
      <w:r w:rsidRPr="00623545">
        <w:rPr>
          <w:rFonts w:ascii="Arial" w:hAnsi="Arial" w:cs="Arial"/>
          <w:b w:val="0"/>
          <w:sz w:val="22"/>
          <w:szCs w:val="22"/>
        </w:rPr>
        <w:t xml:space="preserve">patient service utilization by </w:t>
      </w:r>
      <w:r>
        <w:rPr>
          <w:rFonts w:ascii="Arial" w:hAnsi="Arial" w:cs="Arial"/>
          <w:b w:val="0"/>
          <w:sz w:val="22"/>
          <w:szCs w:val="22"/>
        </w:rPr>
        <w:t>geographic regions</w:t>
      </w:r>
      <w:r w:rsidRPr="00623545">
        <w:rPr>
          <w:rFonts w:ascii="Arial" w:hAnsi="Arial" w:cs="Arial"/>
          <w:b w:val="0"/>
          <w:sz w:val="22"/>
          <w:szCs w:val="22"/>
        </w:rPr>
        <w:t>, 2010-2012</w:t>
      </w:r>
      <w:bookmarkEnd w:id="26"/>
    </w:p>
    <w:tbl>
      <w:tblPr>
        <w:tblW w:w="8438" w:type="dxa"/>
        <w:tblBorders>
          <w:top w:val="single" w:sz="4" w:space="0" w:color="auto"/>
          <w:bottom w:val="single" w:sz="4" w:space="0" w:color="auto"/>
        </w:tblBorders>
        <w:tblLayout w:type="fixed"/>
        <w:tblLook w:val="04A0" w:firstRow="1" w:lastRow="0" w:firstColumn="1" w:lastColumn="0" w:noHBand="0" w:noVBand="1"/>
      </w:tblPr>
      <w:tblGrid>
        <w:gridCol w:w="2358"/>
        <w:gridCol w:w="1520"/>
        <w:gridCol w:w="1520"/>
        <w:gridCol w:w="1520"/>
        <w:gridCol w:w="1520"/>
      </w:tblGrid>
      <w:tr w:rsidR="00B33661" w:rsidRPr="006038F0" w14:paraId="229364BE" w14:textId="77777777" w:rsidTr="00DC5463">
        <w:trPr>
          <w:trHeight w:val="240"/>
        </w:trPr>
        <w:tc>
          <w:tcPr>
            <w:tcW w:w="2358" w:type="dxa"/>
            <w:tcBorders>
              <w:top w:val="single" w:sz="4" w:space="0" w:color="auto"/>
              <w:bottom w:val="single" w:sz="4" w:space="0" w:color="auto"/>
            </w:tcBorders>
            <w:shd w:val="clear" w:color="auto" w:fill="auto"/>
            <w:noWrap/>
            <w:vAlign w:val="bottom"/>
            <w:hideMark/>
          </w:tcPr>
          <w:p w14:paraId="7D71E47F" w14:textId="0762F339" w:rsidR="00B33661" w:rsidRPr="000A000B" w:rsidRDefault="00B33661" w:rsidP="006038F0">
            <w:pPr>
              <w:rPr>
                <w:rFonts w:ascii="Arial Narrow" w:hAnsi="Arial Narrow" w:cs="Arial"/>
                <w:sz w:val="22"/>
                <w:szCs w:val="20"/>
              </w:rPr>
            </w:pPr>
            <w:r>
              <w:rPr>
                <w:rFonts w:ascii="Arial Narrow" w:hAnsi="Arial Narrow" w:cs="Arial"/>
                <w:sz w:val="22"/>
                <w:szCs w:val="20"/>
              </w:rPr>
              <w:t xml:space="preserve">Geographic </w:t>
            </w:r>
            <w:proofErr w:type="gramStart"/>
            <w:r>
              <w:rPr>
                <w:rFonts w:ascii="Arial Narrow" w:hAnsi="Arial Narrow" w:cs="Arial"/>
                <w:sz w:val="22"/>
                <w:szCs w:val="20"/>
              </w:rPr>
              <w:t>r</w:t>
            </w:r>
            <w:r w:rsidRPr="000A000B">
              <w:rPr>
                <w:rFonts w:ascii="Arial Narrow" w:hAnsi="Arial Narrow" w:cs="Arial"/>
                <w:sz w:val="22"/>
                <w:szCs w:val="20"/>
              </w:rPr>
              <w:t xml:space="preserve">egions  </w:t>
            </w:r>
            <w:proofErr w:type="gramEnd"/>
          </w:p>
        </w:tc>
        <w:tc>
          <w:tcPr>
            <w:tcW w:w="1520" w:type="dxa"/>
            <w:tcBorders>
              <w:top w:val="single" w:sz="4" w:space="0" w:color="auto"/>
              <w:bottom w:val="single" w:sz="4" w:space="0" w:color="auto"/>
            </w:tcBorders>
          </w:tcPr>
          <w:p w14:paraId="6084F07D" w14:textId="7D4639D8" w:rsidR="00B33661" w:rsidRPr="000B5169" w:rsidRDefault="00DC5463" w:rsidP="006038F0">
            <w:pPr>
              <w:jc w:val="center"/>
              <w:rPr>
                <w:rFonts w:ascii="Arial Narrow" w:hAnsi="Arial Narrow" w:cs="Arial"/>
                <w:b/>
                <w:sz w:val="22"/>
                <w:szCs w:val="20"/>
              </w:rPr>
            </w:pPr>
            <w:r>
              <w:rPr>
                <w:rFonts w:ascii="Arial Narrow" w:hAnsi="Arial Narrow" w:cs="Arial"/>
                <w:b/>
                <w:sz w:val="22"/>
                <w:szCs w:val="20"/>
              </w:rPr>
              <w:t>2009</w:t>
            </w:r>
          </w:p>
        </w:tc>
        <w:tc>
          <w:tcPr>
            <w:tcW w:w="1520" w:type="dxa"/>
            <w:tcBorders>
              <w:top w:val="single" w:sz="4" w:space="0" w:color="auto"/>
              <w:bottom w:val="single" w:sz="4" w:space="0" w:color="auto"/>
            </w:tcBorders>
            <w:shd w:val="clear" w:color="auto" w:fill="auto"/>
            <w:noWrap/>
            <w:vAlign w:val="bottom"/>
            <w:hideMark/>
          </w:tcPr>
          <w:p w14:paraId="1557E5C8" w14:textId="589B7FDC" w:rsidR="00B33661" w:rsidRPr="000B5169" w:rsidRDefault="00B33661" w:rsidP="006038F0">
            <w:pPr>
              <w:jc w:val="center"/>
              <w:rPr>
                <w:rFonts w:ascii="Arial Narrow" w:hAnsi="Arial Narrow" w:cs="Arial"/>
                <w:b/>
                <w:sz w:val="22"/>
                <w:szCs w:val="20"/>
              </w:rPr>
            </w:pPr>
            <w:r w:rsidRPr="000B5169">
              <w:rPr>
                <w:rFonts w:ascii="Arial Narrow" w:hAnsi="Arial Narrow" w:cs="Arial"/>
                <w:b/>
                <w:sz w:val="22"/>
                <w:szCs w:val="20"/>
              </w:rPr>
              <w:t>2010</w:t>
            </w:r>
          </w:p>
        </w:tc>
        <w:tc>
          <w:tcPr>
            <w:tcW w:w="1520" w:type="dxa"/>
            <w:tcBorders>
              <w:top w:val="single" w:sz="4" w:space="0" w:color="auto"/>
              <w:bottom w:val="single" w:sz="4" w:space="0" w:color="auto"/>
            </w:tcBorders>
            <w:shd w:val="clear" w:color="auto" w:fill="auto"/>
            <w:noWrap/>
            <w:vAlign w:val="bottom"/>
            <w:hideMark/>
          </w:tcPr>
          <w:p w14:paraId="6816F70E" w14:textId="77777777" w:rsidR="00B33661" w:rsidRPr="000B5169" w:rsidRDefault="00B33661" w:rsidP="006038F0">
            <w:pPr>
              <w:jc w:val="center"/>
              <w:rPr>
                <w:rFonts w:ascii="Arial Narrow" w:hAnsi="Arial Narrow" w:cs="Arial"/>
                <w:b/>
                <w:sz w:val="22"/>
                <w:szCs w:val="20"/>
              </w:rPr>
            </w:pPr>
            <w:r w:rsidRPr="000B5169">
              <w:rPr>
                <w:rFonts w:ascii="Arial Narrow" w:hAnsi="Arial Narrow" w:cs="Arial"/>
                <w:b/>
                <w:sz w:val="22"/>
                <w:szCs w:val="20"/>
              </w:rPr>
              <w:t>2011</w:t>
            </w:r>
          </w:p>
        </w:tc>
        <w:tc>
          <w:tcPr>
            <w:tcW w:w="1520" w:type="dxa"/>
            <w:tcBorders>
              <w:top w:val="single" w:sz="4" w:space="0" w:color="auto"/>
              <w:bottom w:val="single" w:sz="4" w:space="0" w:color="auto"/>
            </w:tcBorders>
            <w:shd w:val="clear" w:color="auto" w:fill="auto"/>
            <w:noWrap/>
            <w:vAlign w:val="bottom"/>
            <w:hideMark/>
          </w:tcPr>
          <w:p w14:paraId="5410C647" w14:textId="77777777" w:rsidR="00B33661" w:rsidRPr="000B5169" w:rsidRDefault="00B33661" w:rsidP="006038F0">
            <w:pPr>
              <w:jc w:val="center"/>
              <w:rPr>
                <w:rFonts w:ascii="Arial Narrow" w:hAnsi="Arial Narrow" w:cs="Arial"/>
                <w:b/>
                <w:sz w:val="22"/>
                <w:szCs w:val="20"/>
              </w:rPr>
            </w:pPr>
            <w:r w:rsidRPr="000B5169">
              <w:rPr>
                <w:rFonts w:ascii="Arial Narrow" w:hAnsi="Arial Narrow" w:cs="Arial"/>
                <w:b/>
                <w:sz w:val="22"/>
                <w:szCs w:val="20"/>
              </w:rPr>
              <w:t>2012</w:t>
            </w:r>
          </w:p>
        </w:tc>
      </w:tr>
      <w:tr w:rsidR="00DC5463" w:rsidRPr="006038F0" w14:paraId="683D8696" w14:textId="77777777" w:rsidTr="00DC5463">
        <w:trPr>
          <w:trHeight w:val="240"/>
        </w:trPr>
        <w:tc>
          <w:tcPr>
            <w:tcW w:w="2358" w:type="dxa"/>
            <w:tcBorders>
              <w:top w:val="single" w:sz="4" w:space="0" w:color="auto"/>
            </w:tcBorders>
            <w:shd w:val="clear" w:color="auto" w:fill="auto"/>
            <w:noWrap/>
            <w:vAlign w:val="bottom"/>
            <w:hideMark/>
          </w:tcPr>
          <w:p w14:paraId="0B8C836D" w14:textId="77777777" w:rsidR="00DC5463" w:rsidRPr="000A000B" w:rsidRDefault="00DC5463" w:rsidP="006038F0">
            <w:pPr>
              <w:rPr>
                <w:rFonts w:ascii="Arial Narrow" w:hAnsi="Arial Narrow" w:cs="Arial"/>
                <w:sz w:val="22"/>
                <w:szCs w:val="20"/>
              </w:rPr>
            </w:pPr>
            <w:r w:rsidRPr="000A000B">
              <w:rPr>
                <w:rFonts w:ascii="Arial Narrow" w:hAnsi="Arial Narrow" w:cs="Arial"/>
                <w:sz w:val="22"/>
                <w:szCs w:val="20"/>
              </w:rPr>
              <w:t>West</w:t>
            </w:r>
          </w:p>
        </w:tc>
        <w:tc>
          <w:tcPr>
            <w:tcW w:w="1520" w:type="dxa"/>
            <w:tcBorders>
              <w:top w:val="single" w:sz="4" w:space="0" w:color="auto"/>
            </w:tcBorders>
            <w:vAlign w:val="center"/>
          </w:tcPr>
          <w:p w14:paraId="25BC1D37" w14:textId="32056979" w:rsidR="00DC5463" w:rsidRPr="000A000B" w:rsidRDefault="00DC5463" w:rsidP="006038F0">
            <w:pPr>
              <w:jc w:val="center"/>
              <w:rPr>
                <w:rFonts w:ascii="Arial Narrow" w:hAnsi="Arial Narrow" w:cs="Arial"/>
                <w:sz w:val="22"/>
                <w:szCs w:val="20"/>
              </w:rPr>
            </w:pPr>
            <w:r>
              <w:rPr>
                <w:rFonts w:ascii="Arial Narrow" w:hAnsi="Arial Narrow" w:cs="Arial"/>
                <w:sz w:val="22"/>
                <w:szCs w:val="22"/>
              </w:rPr>
              <w:t>9%</w:t>
            </w:r>
          </w:p>
        </w:tc>
        <w:tc>
          <w:tcPr>
            <w:tcW w:w="1520" w:type="dxa"/>
            <w:tcBorders>
              <w:top w:val="single" w:sz="4" w:space="0" w:color="auto"/>
            </w:tcBorders>
            <w:shd w:val="clear" w:color="auto" w:fill="auto"/>
            <w:noWrap/>
            <w:vAlign w:val="bottom"/>
            <w:hideMark/>
          </w:tcPr>
          <w:p w14:paraId="289A9B21" w14:textId="670AD5E2" w:rsidR="00DC5463" w:rsidRPr="000A000B" w:rsidRDefault="00DC5463" w:rsidP="006038F0">
            <w:pPr>
              <w:jc w:val="center"/>
              <w:rPr>
                <w:rFonts w:ascii="Arial Narrow" w:hAnsi="Arial Narrow" w:cs="Arial"/>
                <w:sz w:val="22"/>
                <w:szCs w:val="20"/>
              </w:rPr>
            </w:pPr>
            <w:r w:rsidRPr="000A000B">
              <w:rPr>
                <w:rFonts w:ascii="Arial Narrow" w:hAnsi="Arial Narrow" w:cs="Arial"/>
                <w:sz w:val="22"/>
                <w:szCs w:val="20"/>
              </w:rPr>
              <w:t>10%</w:t>
            </w:r>
          </w:p>
        </w:tc>
        <w:tc>
          <w:tcPr>
            <w:tcW w:w="1520" w:type="dxa"/>
            <w:tcBorders>
              <w:top w:val="single" w:sz="4" w:space="0" w:color="auto"/>
            </w:tcBorders>
            <w:shd w:val="clear" w:color="auto" w:fill="auto"/>
            <w:noWrap/>
            <w:vAlign w:val="bottom"/>
            <w:hideMark/>
          </w:tcPr>
          <w:p w14:paraId="4E3E131C" w14:textId="77777777" w:rsidR="00DC5463" w:rsidRPr="000A000B" w:rsidRDefault="00DC5463" w:rsidP="006038F0">
            <w:pPr>
              <w:jc w:val="center"/>
              <w:rPr>
                <w:rFonts w:ascii="Arial Narrow" w:hAnsi="Arial Narrow" w:cs="Arial"/>
                <w:sz w:val="22"/>
                <w:szCs w:val="20"/>
              </w:rPr>
            </w:pPr>
            <w:r w:rsidRPr="000A000B">
              <w:rPr>
                <w:rFonts w:ascii="Arial Narrow" w:hAnsi="Arial Narrow" w:cs="Arial"/>
                <w:sz w:val="22"/>
                <w:szCs w:val="20"/>
              </w:rPr>
              <w:t>11%</w:t>
            </w:r>
          </w:p>
        </w:tc>
        <w:tc>
          <w:tcPr>
            <w:tcW w:w="1520" w:type="dxa"/>
            <w:tcBorders>
              <w:top w:val="single" w:sz="4" w:space="0" w:color="auto"/>
            </w:tcBorders>
            <w:shd w:val="clear" w:color="auto" w:fill="auto"/>
            <w:noWrap/>
            <w:vAlign w:val="bottom"/>
            <w:hideMark/>
          </w:tcPr>
          <w:p w14:paraId="3E6FF602" w14:textId="77777777" w:rsidR="00DC5463" w:rsidRPr="000A000B" w:rsidRDefault="00DC5463" w:rsidP="006038F0">
            <w:pPr>
              <w:jc w:val="center"/>
              <w:rPr>
                <w:rFonts w:ascii="Arial Narrow" w:hAnsi="Arial Narrow" w:cs="Arial"/>
                <w:sz w:val="22"/>
                <w:szCs w:val="20"/>
              </w:rPr>
            </w:pPr>
            <w:r w:rsidRPr="000A000B">
              <w:rPr>
                <w:rFonts w:ascii="Arial Narrow" w:hAnsi="Arial Narrow" w:cs="Arial"/>
                <w:sz w:val="22"/>
                <w:szCs w:val="20"/>
              </w:rPr>
              <w:t>14%</w:t>
            </w:r>
          </w:p>
        </w:tc>
      </w:tr>
      <w:tr w:rsidR="00DC5463" w:rsidRPr="006038F0" w14:paraId="1A041997" w14:textId="77777777" w:rsidTr="00DC5463">
        <w:trPr>
          <w:trHeight w:val="240"/>
        </w:trPr>
        <w:tc>
          <w:tcPr>
            <w:tcW w:w="2358" w:type="dxa"/>
            <w:shd w:val="clear" w:color="auto" w:fill="auto"/>
            <w:noWrap/>
            <w:vAlign w:val="bottom"/>
            <w:hideMark/>
          </w:tcPr>
          <w:p w14:paraId="1B611CDC" w14:textId="16AB94E4" w:rsidR="00DC5463" w:rsidRPr="000A000B" w:rsidRDefault="00DC5463" w:rsidP="006038F0">
            <w:pPr>
              <w:rPr>
                <w:rFonts w:ascii="Arial Narrow" w:hAnsi="Arial Narrow" w:cs="Arial"/>
                <w:sz w:val="22"/>
                <w:szCs w:val="20"/>
              </w:rPr>
            </w:pPr>
            <w:r w:rsidRPr="000A000B">
              <w:rPr>
                <w:rFonts w:ascii="Arial Narrow" w:hAnsi="Arial Narrow" w:cs="Arial"/>
                <w:sz w:val="22"/>
                <w:szCs w:val="20"/>
              </w:rPr>
              <w:t>Highland</w:t>
            </w:r>
            <w:r>
              <w:rPr>
                <w:rFonts w:ascii="Arial Narrow" w:hAnsi="Arial Narrow" w:cs="Arial"/>
                <w:sz w:val="22"/>
                <w:szCs w:val="20"/>
              </w:rPr>
              <w:t>s</w:t>
            </w:r>
          </w:p>
        </w:tc>
        <w:tc>
          <w:tcPr>
            <w:tcW w:w="1520" w:type="dxa"/>
            <w:vAlign w:val="center"/>
          </w:tcPr>
          <w:p w14:paraId="336AA2DE" w14:textId="14AC0560" w:rsidR="00DC5463" w:rsidRPr="000A000B" w:rsidRDefault="00DC5463" w:rsidP="006038F0">
            <w:pPr>
              <w:jc w:val="center"/>
              <w:rPr>
                <w:rFonts w:ascii="Arial Narrow" w:hAnsi="Arial Narrow" w:cs="Arial"/>
                <w:sz w:val="22"/>
                <w:szCs w:val="20"/>
              </w:rPr>
            </w:pPr>
            <w:r>
              <w:rPr>
                <w:rFonts w:ascii="Arial Narrow" w:hAnsi="Arial Narrow" w:cs="Arial"/>
                <w:sz w:val="22"/>
                <w:szCs w:val="22"/>
              </w:rPr>
              <w:t>10%</w:t>
            </w:r>
          </w:p>
        </w:tc>
        <w:tc>
          <w:tcPr>
            <w:tcW w:w="1520" w:type="dxa"/>
            <w:shd w:val="clear" w:color="auto" w:fill="auto"/>
            <w:noWrap/>
            <w:vAlign w:val="bottom"/>
            <w:hideMark/>
          </w:tcPr>
          <w:p w14:paraId="779CDAC4" w14:textId="3CB97FDA" w:rsidR="00DC5463" w:rsidRPr="000A000B" w:rsidRDefault="00DC5463" w:rsidP="006038F0">
            <w:pPr>
              <w:jc w:val="center"/>
              <w:rPr>
                <w:rFonts w:ascii="Arial Narrow" w:hAnsi="Arial Narrow" w:cs="Arial"/>
                <w:sz w:val="22"/>
                <w:szCs w:val="20"/>
              </w:rPr>
            </w:pPr>
            <w:r w:rsidRPr="000A000B">
              <w:rPr>
                <w:rFonts w:ascii="Arial Narrow" w:hAnsi="Arial Narrow" w:cs="Arial"/>
                <w:sz w:val="22"/>
                <w:szCs w:val="20"/>
              </w:rPr>
              <w:t>11%</w:t>
            </w:r>
          </w:p>
        </w:tc>
        <w:tc>
          <w:tcPr>
            <w:tcW w:w="1520" w:type="dxa"/>
            <w:shd w:val="clear" w:color="auto" w:fill="auto"/>
            <w:noWrap/>
            <w:vAlign w:val="bottom"/>
            <w:hideMark/>
          </w:tcPr>
          <w:p w14:paraId="57818FE8" w14:textId="77777777" w:rsidR="00DC5463" w:rsidRPr="000A000B" w:rsidRDefault="00DC5463" w:rsidP="006038F0">
            <w:pPr>
              <w:jc w:val="center"/>
              <w:rPr>
                <w:rFonts w:ascii="Arial Narrow" w:hAnsi="Arial Narrow" w:cs="Arial"/>
                <w:sz w:val="22"/>
                <w:szCs w:val="20"/>
              </w:rPr>
            </w:pPr>
            <w:r w:rsidRPr="000A000B">
              <w:rPr>
                <w:rFonts w:ascii="Arial Narrow" w:hAnsi="Arial Narrow" w:cs="Arial"/>
                <w:sz w:val="22"/>
                <w:szCs w:val="20"/>
              </w:rPr>
              <w:t>8%</w:t>
            </w:r>
          </w:p>
        </w:tc>
        <w:tc>
          <w:tcPr>
            <w:tcW w:w="1520" w:type="dxa"/>
            <w:shd w:val="clear" w:color="auto" w:fill="auto"/>
            <w:noWrap/>
            <w:vAlign w:val="bottom"/>
            <w:hideMark/>
          </w:tcPr>
          <w:p w14:paraId="207A971E" w14:textId="77777777" w:rsidR="00DC5463" w:rsidRPr="000A000B" w:rsidRDefault="00DC5463" w:rsidP="006038F0">
            <w:pPr>
              <w:jc w:val="center"/>
              <w:rPr>
                <w:rFonts w:ascii="Arial Narrow" w:hAnsi="Arial Narrow" w:cs="Arial"/>
                <w:sz w:val="22"/>
                <w:szCs w:val="20"/>
              </w:rPr>
            </w:pPr>
            <w:r w:rsidRPr="000A000B">
              <w:rPr>
                <w:rFonts w:ascii="Arial Narrow" w:hAnsi="Arial Narrow" w:cs="Arial"/>
                <w:sz w:val="22"/>
                <w:szCs w:val="20"/>
              </w:rPr>
              <w:t>8%</w:t>
            </w:r>
          </w:p>
        </w:tc>
      </w:tr>
      <w:tr w:rsidR="00DC5463" w:rsidRPr="006038F0" w14:paraId="7D4B70A0" w14:textId="77777777" w:rsidTr="00DC5463">
        <w:trPr>
          <w:trHeight w:val="240"/>
        </w:trPr>
        <w:tc>
          <w:tcPr>
            <w:tcW w:w="2358" w:type="dxa"/>
            <w:shd w:val="clear" w:color="auto" w:fill="auto"/>
            <w:noWrap/>
            <w:vAlign w:val="bottom"/>
            <w:hideMark/>
          </w:tcPr>
          <w:p w14:paraId="2A567878" w14:textId="77777777" w:rsidR="00DC5463" w:rsidRPr="000A000B" w:rsidRDefault="00DC5463" w:rsidP="006038F0">
            <w:pPr>
              <w:rPr>
                <w:rFonts w:ascii="Arial Narrow" w:hAnsi="Arial Narrow" w:cs="Arial"/>
                <w:sz w:val="22"/>
                <w:szCs w:val="20"/>
              </w:rPr>
            </w:pPr>
            <w:r w:rsidRPr="000A000B">
              <w:rPr>
                <w:rFonts w:ascii="Arial Narrow" w:hAnsi="Arial Narrow" w:cs="Arial"/>
                <w:sz w:val="22"/>
                <w:szCs w:val="20"/>
              </w:rPr>
              <w:t>Central</w:t>
            </w:r>
          </w:p>
        </w:tc>
        <w:tc>
          <w:tcPr>
            <w:tcW w:w="1520" w:type="dxa"/>
            <w:vAlign w:val="center"/>
          </w:tcPr>
          <w:p w14:paraId="455D967C" w14:textId="2656F31E" w:rsidR="00DC5463" w:rsidRPr="000A000B" w:rsidRDefault="00DC5463" w:rsidP="006038F0">
            <w:pPr>
              <w:jc w:val="center"/>
              <w:rPr>
                <w:rFonts w:ascii="Arial Narrow" w:hAnsi="Arial Narrow" w:cs="Arial"/>
                <w:sz w:val="22"/>
                <w:szCs w:val="20"/>
              </w:rPr>
            </w:pPr>
            <w:r>
              <w:rPr>
                <w:rFonts w:ascii="Arial Narrow" w:hAnsi="Arial Narrow" w:cs="Arial"/>
                <w:sz w:val="22"/>
                <w:szCs w:val="22"/>
              </w:rPr>
              <w:t>11%</w:t>
            </w:r>
          </w:p>
        </w:tc>
        <w:tc>
          <w:tcPr>
            <w:tcW w:w="1520" w:type="dxa"/>
            <w:shd w:val="clear" w:color="auto" w:fill="auto"/>
            <w:noWrap/>
            <w:vAlign w:val="bottom"/>
            <w:hideMark/>
          </w:tcPr>
          <w:p w14:paraId="5258596D" w14:textId="1CF6DBDE" w:rsidR="00DC5463" w:rsidRPr="000A000B" w:rsidRDefault="00DC5463" w:rsidP="006038F0">
            <w:pPr>
              <w:jc w:val="center"/>
              <w:rPr>
                <w:rFonts w:ascii="Arial Narrow" w:hAnsi="Arial Narrow" w:cs="Arial"/>
                <w:sz w:val="22"/>
                <w:szCs w:val="20"/>
              </w:rPr>
            </w:pPr>
            <w:r w:rsidRPr="000A000B">
              <w:rPr>
                <w:rFonts w:ascii="Arial Narrow" w:hAnsi="Arial Narrow" w:cs="Arial"/>
                <w:sz w:val="22"/>
                <w:szCs w:val="20"/>
              </w:rPr>
              <w:t>10%</w:t>
            </w:r>
          </w:p>
        </w:tc>
        <w:tc>
          <w:tcPr>
            <w:tcW w:w="1520" w:type="dxa"/>
            <w:shd w:val="clear" w:color="auto" w:fill="auto"/>
            <w:noWrap/>
            <w:vAlign w:val="bottom"/>
            <w:hideMark/>
          </w:tcPr>
          <w:p w14:paraId="226B8F87" w14:textId="77777777" w:rsidR="00DC5463" w:rsidRPr="000A000B" w:rsidRDefault="00DC5463" w:rsidP="006038F0">
            <w:pPr>
              <w:jc w:val="center"/>
              <w:rPr>
                <w:rFonts w:ascii="Arial Narrow" w:hAnsi="Arial Narrow" w:cs="Arial"/>
                <w:sz w:val="22"/>
                <w:szCs w:val="20"/>
              </w:rPr>
            </w:pPr>
            <w:r w:rsidRPr="000A000B">
              <w:rPr>
                <w:rFonts w:ascii="Arial Narrow" w:hAnsi="Arial Narrow" w:cs="Arial"/>
                <w:sz w:val="22"/>
                <w:szCs w:val="20"/>
              </w:rPr>
              <w:t>10%</w:t>
            </w:r>
          </w:p>
        </w:tc>
        <w:tc>
          <w:tcPr>
            <w:tcW w:w="1520" w:type="dxa"/>
            <w:shd w:val="clear" w:color="auto" w:fill="auto"/>
            <w:noWrap/>
            <w:vAlign w:val="bottom"/>
            <w:hideMark/>
          </w:tcPr>
          <w:p w14:paraId="136DFB39" w14:textId="77777777" w:rsidR="00DC5463" w:rsidRPr="000A000B" w:rsidRDefault="00DC5463" w:rsidP="006038F0">
            <w:pPr>
              <w:jc w:val="center"/>
              <w:rPr>
                <w:rFonts w:ascii="Arial Narrow" w:hAnsi="Arial Narrow" w:cs="Arial"/>
                <w:sz w:val="22"/>
                <w:szCs w:val="20"/>
              </w:rPr>
            </w:pPr>
            <w:r w:rsidRPr="000A000B">
              <w:rPr>
                <w:rFonts w:ascii="Arial Narrow" w:hAnsi="Arial Narrow" w:cs="Arial"/>
                <w:sz w:val="22"/>
                <w:szCs w:val="20"/>
              </w:rPr>
              <w:t>11%</w:t>
            </w:r>
          </w:p>
        </w:tc>
      </w:tr>
      <w:tr w:rsidR="00DC5463" w:rsidRPr="006038F0" w14:paraId="67B09349" w14:textId="77777777" w:rsidTr="00DC5463">
        <w:trPr>
          <w:trHeight w:val="240"/>
        </w:trPr>
        <w:tc>
          <w:tcPr>
            <w:tcW w:w="2358" w:type="dxa"/>
            <w:shd w:val="clear" w:color="auto" w:fill="auto"/>
            <w:noWrap/>
            <w:vAlign w:val="bottom"/>
            <w:hideMark/>
          </w:tcPr>
          <w:p w14:paraId="522CAFCC" w14:textId="77777777" w:rsidR="00DC5463" w:rsidRPr="000A000B" w:rsidRDefault="00DC5463" w:rsidP="006038F0">
            <w:pPr>
              <w:rPr>
                <w:rFonts w:ascii="Arial Narrow" w:hAnsi="Arial Narrow" w:cs="Arial"/>
                <w:sz w:val="22"/>
                <w:szCs w:val="20"/>
              </w:rPr>
            </w:pPr>
            <w:r w:rsidRPr="000A000B">
              <w:rPr>
                <w:rFonts w:ascii="Arial Narrow" w:hAnsi="Arial Narrow" w:cs="Arial"/>
                <w:sz w:val="22"/>
                <w:szCs w:val="20"/>
              </w:rPr>
              <w:lastRenderedPageBreak/>
              <w:t>East</w:t>
            </w:r>
          </w:p>
        </w:tc>
        <w:tc>
          <w:tcPr>
            <w:tcW w:w="1520" w:type="dxa"/>
            <w:vAlign w:val="center"/>
          </w:tcPr>
          <w:p w14:paraId="18491096" w14:textId="70B9850F" w:rsidR="00DC5463" w:rsidRPr="000A000B" w:rsidRDefault="00DC5463" w:rsidP="006038F0">
            <w:pPr>
              <w:jc w:val="center"/>
              <w:rPr>
                <w:rFonts w:ascii="Arial Narrow" w:hAnsi="Arial Narrow" w:cs="Arial"/>
                <w:sz w:val="22"/>
                <w:szCs w:val="20"/>
              </w:rPr>
            </w:pPr>
            <w:r>
              <w:rPr>
                <w:rFonts w:ascii="Arial Narrow" w:hAnsi="Arial Narrow" w:cs="Arial"/>
                <w:sz w:val="22"/>
                <w:szCs w:val="22"/>
              </w:rPr>
              <w:t>11%</w:t>
            </w:r>
          </w:p>
        </w:tc>
        <w:tc>
          <w:tcPr>
            <w:tcW w:w="1520" w:type="dxa"/>
            <w:shd w:val="clear" w:color="auto" w:fill="auto"/>
            <w:noWrap/>
            <w:vAlign w:val="bottom"/>
            <w:hideMark/>
          </w:tcPr>
          <w:p w14:paraId="176100C0" w14:textId="3262EDC9" w:rsidR="00DC5463" w:rsidRPr="000A000B" w:rsidRDefault="00DC5463" w:rsidP="006038F0">
            <w:pPr>
              <w:jc w:val="center"/>
              <w:rPr>
                <w:rFonts w:ascii="Arial Narrow" w:hAnsi="Arial Narrow" w:cs="Arial"/>
                <w:sz w:val="22"/>
                <w:szCs w:val="20"/>
              </w:rPr>
            </w:pPr>
            <w:r w:rsidRPr="000A000B">
              <w:rPr>
                <w:rFonts w:ascii="Arial Narrow" w:hAnsi="Arial Narrow" w:cs="Arial"/>
                <w:sz w:val="22"/>
                <w:szCs w:val="20"/>
              </w:rPr>
              <w:t>11%</w:t>
            </w:r>
          </w:p>
        </w:tc>
        <w:tc>
          <w:tcPr>
            <w:tcW w:w="1520" w:type="dxa"/>
            <w:shd w:val="clear" w:color="auto" w:fill="auto"/>
            <w:noWrap/>
            <w:vAlign w:val="bottom"/>
            <w:hideMark/>
          </w:tcPr>
          <w:p w14:paraId="7F667ED8" w14:textId="77777777" w:rsidR="00DC5463" w:rsidRPr="000A000B" w:rsidRDefault="00DC5463" w:rsidP="006038F0">
            <w:pPr>
              <w:jc w:val="center"/>
              <w:rPr>
                <w:rFonts w:ascii="Arial Narrow" w:hAnsi="Arial Narrow" w:cs="Arial"/>
                <w:sz w:val="22"/>
                <w:szCs w:val="20"/>
              </w:rPr>
            </w:pPr>
            <w:r w:rsidRPr="000A000B">
              <w:rPr>
                <w:rFonts w:ascii="Arial Narrow" w:hAnsi="Arial Narrow" w:cs="Arial"/>
                <w:sz w:val="22"/>
                <w:szCs w:val="20"/>
              </w:rPr>
              <w:t>12%</w:t>
            </w:r>
          </w:p>
        </w:tc>
        <w:tc>
          <w:tcPr>
            <w:tcW w:w="1520" w:type="dxa"/>
            <w:shd w:val="clear" w:color="auto" w:fill="auto"/>
            <w:noWrap/>
            <w:vAlign w:val="bottom"/>
            <w:hideMark/>
          </w:tcPr>
          <w:p w14:paraId="1A1D0E0C" w14:textId="77777777" w:rsidR="00DC5463" w:rsidRPr="000A000B" w:rsidRDefault="00DC5463" w:rsidP="006038F0">
            <w:pPr>
              <w:jc w:val="center"/>
              <w:rPr>
                <w:rFonts w:ascii="Arial Narrow" w:hAnsi="Arial Narrow" w:cs="Arial"/>
                <w:sz w:val="22"/>
                <w:szCs w:val="20"/>
              </w:rPr>
            </w:pPr>
            <w:r w:rsidRPr="000A000B">
              <w:rPr>
                <w:rFonts w:ascii="Arial Narrow" w:hAnsi="Arial Narrow" w:cs="Arial"/>
                <w:sz w:val="22"/>
                <w:szCs w:val="20"/>
              </w:rPr>
              <w:t>14%</w:t>
            </w:r>
          </w:p>
        </w:tc>
      </w:tr>
      <w:tr w:rsidR="00DC5463" w:rsidRPr="006038F0" w14:paraId="08083B11" w14:textId="77777777" w:rsidTr="00DC5463">
        <w:trPr>
          <w:trHeight w:val="240"/>
        </w:trPr>
        <w:tc>
          <w:tcPr>
            <w:tcW w:w="2358" w:type="dxa"/>
            <w:tcBorders>
              <w:bottom w:val="single" w:sz="4" w:space="0" w:color="auto"/>
            </w:tcBorders>
            <w:shd w:val="clear" w:color="auto" w:fill="auto"/>
            <w:noWrap/>
            <w:vAlign w:val="bottom"/>
            <w:hideMark/>
          </w:tcPr>
          <w:p w14:paraId="7C0F48CF" w14:textId="3E5F6189" w:rsidR="00DC5463" w:rsidRPr="000A000B" w:rsidRDefault="00DC5463" w:rsidP="006038F0">
            <w:pPr>
              <w:rPr>
                <w:rFonts w:ascii="Arial Narrow" w:hAnsi="Arial Narrow" w:cs="Arial"/>
                <w:sz w:val="22"/>
                <w:szCs w:val="20"/>
              </w:rPr>
            </w:pPr>
            <w:r>
              <w:rPr>
                <w:rFonts w:ascii="Arial Narrow" w:hAnsi="Arial Narrow" w:cs="Arial"/>
                <w:sz w:val="22"/>
                <w:szCs w:val="20"/>
              </w:rPr>
              <w:t>Ulaanbaatar</w:t>
            </w:r>
          </w:p>
        </w:tc>
        <w:tc>
          <w:tcPr>
            <w:tcW w:w="1520" w:type="dxa"/>
            <w:tcBorders>
              <w:bottom w:val="single" w:sz="4" w:space="0" w:color="auto"/>
            </w:tcBorders>
            <w:vAlign w:val="center"/>
          </w:tcPr>
          <w:p w14:paraId="25D9F678" w14:textId="18329560" w:rsidR="00DC5463" w:rsidRPr="000A000B" w:rsidRDefault="00DC5463" w:rsidP="006038F0">
            <w:pPr>
              <w:jc w:val="center"/>
              <w:rPr>
                <w:rFonts w:ascii="Arial Narrow" w:hAnsi="Arial Narrow" w:cs="Arial"/>
                <w:sz w:val="22"/>
                <w:szCs w:val="20"/>
              </w:rPr>
            </w:pPr>
            <w:r>
              <w:rPr>
                <w:rFonts w:ascii="Arial Narrow" w:hAnsi="Arial Narrow" w:cs="Arial"/>
                <w:sz w:val="22"/>
                <w:szCs w:val="22"/>
              </w:rPr>
              <w:t>8%</w:t>
            </w:r>
          </w:p>
        </w:tc>
        <w:tc>
          <w:tcPr>
            <w:tcW w:w="1520" w:type="dxa"/>
            <w:tcBorders>
              <w:bottom w:val="single" w:sz="4" w:space="0" w:color="auto"/>
            </w:tcBorders>
            <w:shd w:val="clear" w:color="auto" w:fill="auto"/>
            <w:noWrap/>
            <w:vAlign w:val="bottom"/>
            <w:hideMark/>
          </w:tcPr>
          <w:p w14:paraId="71691F9D" w14:textId="460E18CB" w:rsidR="00DC5463" w:rsidRPr="000A000B" w:rsidRDefault="00DC5463" w:rsidP="006038F0">
            <w:pPr>
              <w:jc w:val="center"/>
              <w:rPr>
                <w:rFonts w:ascii="Arial Narrow" w:hAnsi="Arial Narrow" w:cs="Arial"/>
                <w:sz w:val="22"/>
                <w:szCs w:val="20"/>
              </w:rPr>
            </w:pPr>
            <w:r w:rsidRPr="000A000B">
              <w:rPr>
                <w:rFonts w:ascii="Arial Narrow" w:hAnsi="Arial Narrow" w:cs="Arial"/>
                <w:sz w:val="22"/>
                <w:szCs w:val="20"/>
              </w:rPr>
              <w:t>8%</w:t>
            </w:r>
          </w:p>
        </w:tc>
        <w:tc>
          <w:tcPr>
            <w:tcW w:w="1520" w:type="dxa"/>
            <w:tcBorders>
              <w:bottom w:val="single" w:sz="4" w:space="0" w:color="auto"/>
            </w:tcBorders>
            <w:shd w:val="clear" w:color="auto" w:fill="auto"/>
            <w:noWrap/>
            <w:vAlign w:val="bottom"/>
            <w:hideMark/>
          </w:tcPr>
          <w:p w14:paraId="68EEB1F5" w14:textId="77777777" w:rsidR="00DC5463" w:rsidRPr="000A000B" w:rsidRDefault="00DC5463" w:rsidP="006038F0">
            <w:pPr>
              <w:jc w:val="center"/>
              <w:rPr>
                <w:rFonts w:ascii="Arial Narrow" w:hAnsi="Arial Narrow" w:cs="Arial"/>
                <w:sz w:val="22"/>
                <w:szCs w:val="20"/>
              </w:rPr>
            </w:pPr>
            <w:r w:rsidRPr="000A000B">
              <w:rPr>
                <w:rFonts w:ascii="Arial Narrow" w:hAnsi="Arial Narrow" w:cs="Arial"/>
                <w:sz w:val="22"/>
                <w:szCs w:val="20"/>
              </w:rPr>
              <w:t>7%</w:t>
            </w:r>
          </w:p>
        </w:tc>
        <w:tc>
          <w:tcPr>
            <w:tcW w:w="1520" w:type="dxa"/>
            <w:tcBorders>
              <w:bottom w:val="single" w:sz="4" w:space="0" w:color="auto"/>
            </w:tcBorders>
            <w:shd w:val="clear" w:color="auto" w:fill="auto"/>
            <w:noWrap/>
            <w:vAlign w:val="bottom"/>
            <w:hideMark/>
          </w:tcPr>
          <w:p w14:paraId="282E01CF" w14:textId="77777777" w:rsidR="00DC5463" w:rsidRPr="000A000B" w:rsidRDefault="00DC5463" w:rsidP="006038F0">
            <w:pPr>
              <w:jc w:val="center"/>
              <w:rPr>
                <w:rFonts w:ascii="Arial Narrow" w:hAnsi="Arial Narrow" w:cs="Arial"/>
                <w:sz w:val="22"/>
                <w:szCs w:val="20"/>
              </w:rPr>
            </w:pPr>
            <w:r w:rsidRPr="000A000B">
              <w:rPr>
                <w:rFonts w:ascii="Arial Narrow" w:hAnsi="Arial Narrow" w:cs="Arial"/>
                <w:sz w:val="22"/>
                <w:szCs w:val="20"/>
              </w:rPr>
              <w:t>9%</w:t>
            </w:r>
          </w:p>
        </w:tc>
      </w:tr>
      <w:tr w:rsidR="00DC5463" w:rsidRPr="006038F0" w14:paraId="04AD7C7C" w14:textId="77777777" w:rsidTr="00DC5463">
        <w:trPr>
          <w:trHeight w:val="240"/>
        </w:trPr>
        <w:tc>
          <w:tcPr>
            <w:tcW w:w="2358" w:type="dxa"/>
            <w:tcBorders>
              <w:top w:val="single" w:sz="4" w:space="0" w:color="auto"/>
              <w:bottom w:val="single" w:sz="4" w:space="0" w:color="auto"/>
            </w:tcBorders>
            <w:shd w:val="clear" w:color="auto" w:fill="auto"/>
            <w:noWrap/>
            <w:vAlign w:val="bottom"/>
            <w:hideMark/>
          </w:tcPr>
          <w:p w14:paraId="3ECEBEFC" w14:textId="77777777" w:rsidR="00DC5463" w:rsidRPr="000A000B" w:rsidRDefault="00DC5463" w:rsidP="006038F0">
            <w:pPr>
              <w:rPr>
                <w:rFonts w:ascii="Arial Narrow" w:hAnsi="Arial Narrow" w:cs="Arial"/>
                <w:sz w:val="22"/>
                <w:szCs w:val="20"/>
              </w:rPr>
            </w:pPr>
            <w:r w:rsidRPr="000A000B">
              <w:rPr>
                <w:rFonts w:ascii="Arial Narrow" w:hAnsi="Arial Narrow" w:cs="Arial"/>
                <w:sz w:val="22"/>
                <w:szCs w:val="20"/>
              </w:rPr>
              <w:t xml:space="preserve">Total  </w:t>
            </w:r>
          </w:p>
        </w:tc>
        <w:tc>
          <w:tcPr>
            <w:tcW w:w="1520" w:type="dxa"/>
            <w:tcBorders>
              <w:top w:val="single" w:sz="4" w:space="0" w:color="auto"/>
              <w:bottom w:val="single" w:sz="4" w:space="0" w:color="auto"/>
            </w:tcBorders>
            <w:vAlign w:val="center"/>
          </w:tcPr>
          <w:p w14:paraId="32FD1A09" w14:textId="67994057" w:rsidR="00DC5463" w:rsidRPr="000A000B" w:rsidRDefault="00DC5463" w:rsidP="006038F0">
            <w:pPr>
              <w:jc w:val="center"/>
              <w:rPr>
                <w:rFonts w:ascii="Arial Narrow" w:hAnsi="Arial Narrow" w:cs="Arial"/>
                <w:sz w:val="22"/>
                <w:szCs w:val="20"/>
              </w:rPr>
            </w:pPr>
            <w:r>
              <w:rPr>
                <w:rFonts w:ascii="Arial Narrow" w:hAnsi="Arial Narrow" w:cs="Arial"/>
                <w:sz w:val="22"/>
                <w:szCs w:val="22"/>
              </w:rPr>
              <w:t>9%</w:t>
            </w:r>
          </w:p>
        </w:tc>
        <w:tc>
          <w:tcPr>
            <w:tcW w:w="1520" w:type="dxa"/>
            <w:tcBorders>
              <w:top w:val="single" w:sz="4" w:space="0" w:color="auto"/>
              <w:bottom w:val="single" w:sz="4" w:space="0" w:color="auto"/>
            </w:tcBorders>
            <w:shd w:val="clear" w:color="auto" w:fill="auto"/>
            <w:noWrap/>
            <w:vAlign w:val="bottom"/>
            <w:hideMark/>
          </w:tcPr>
          <w:p w14:paraId="1C81B226" w14:textId="35D12173" w:rsidR="00DC5463" w:rsidRPr="000A000B" w:rsidRDefault="00DC5463" w:rsidP="006038F0">
            <w:pPr>
              <w:jc w:val="center"/>
              <w:rPr>
                <w:rFonts w:ascii="Arial Narrow" w:hAnsi="Arial Narrow" w:cs="Arial"/>
                <w:sz w:val="22"/>
                <w:szCs w:val="20"/>
              </w:rPr>
            </w:pPr>
            <w:r w:rsidRPr="000A000B">
              <w:rPr>
                <w:rFonts w:ascii="Arial Narrow" w:hAnsi="Arial Narrow" w:cs="Arial"/>
                <w:sz w:val="22"/>
                <w:szCs w:val="20"/>
              </w:rPr>
              <w:t>10%</w:t>
            </w:r>
          </w:p>
        </w:tc>
        <w:tc>
          <w:tcPr>
            <w:tcW w:w="1520" w:type="dxa"/>
            <w:tcBorders>
              <w:top w:val="single" w:sz="4" w:space="0" w:color="auto"/>
              <w:bottom w:val="single" w:sz="4" w:space="0" w:color="auto"/>
            </w:tcBorders>
            <w:shd w:val="clear" w:color="auto" w:fill="auto"/>
            <w:noWrap/>
            <w:vAlign w:val="bottom"/>
            <w:hideMark/>
          </w:tcPr>
          <w:p w14:paraId="369C2529" w14:textId="77777777" w:rsidR="00DC5463" w:rsidRPr="000A000B" w:rsidRDefault="00DC5463" w:rsidP="006038F0">
            <w:pPr>
              <w:jc w:val="center"/>
              <w:rPr>
                <w:rFonts w:ascii="Arial Narrow" w:hAnsi="Arial Narrow" w:cs="Arial"/>
                <w:sz w:val="22"/>
                <w:szCs w:val="20"/>
              </w:rPr>
            </w:pPr>
            <w:r w:rsidRPr="000A000B">
              <w:rPr>
                <w:rFonts w:ascii="Arial Narrow" w:hAnsi="Arial Narrow" w:cs="Arial"/>
                <w:sz w:val="22"/>
                <w:szCs w:val="20"/>
              </w:rPr>
              <w:t>9%</w:t>
            </w:r>
          </w:p>
        </w:tc>
        <w:tc>
          <w:tcPr>
            <w:tcW w:w="1520" w:type="dxa"/>
            <w:tcBorders>
              <w:top w:val="single" w:sz="4" w:space="0" w:color="auto"/>
              <w:bottom w:val="single" w:sz="4" w:space="0" w:color="auto"/>
            </w:tcBorders>
            <w:shd w:val="clear" w:color="auto" w:fill="auto"/>
            <w:noWrap/>
            <w:vAlign w:val="bottom"/>
            <w:hideMark/>
          </w:tcPr>
          <w:p w14:paraId="1F4A6911" w14:textId="77777777" w:rsidR="00DC5463" w:rsidRPr="000A000B" w:rsidRDefault="00DC5463" w:rsidP="006038F0">
            <w:pPr>
              <w:jc w:val="center"/>
              <w:rPr>
                <w:rFonts w:ascii="Arial Narrow" w:hAnsi="Arial Narrow" w:cs="Arial"/>
                <w:sz w:val="22"/>
                <w:szCs w:val="20"/>
              </w:rPr>
            </w:pPr>
            <w:r w:rsidRPr="000A000B">
              <w:rPr>
                <w:rFonts w:ascii="Arial Narrow" w:hAnsi="Arial Narrow" w:cs="Arial"/>
                <w:sz w:val="22"/>
                <w:szCs w:val="20"/>
              </w:rPr>
              <w:t>11%</w:t>
            </w:r>
          </w:p>
        </w:tc>
      </w:tr>
    </w:tbl>
    <w:p w14:paraId="0E8D4338" w14:textId="77777777" w:rsidR="004B0783" w:rsidRPr="008B7EA0" w:rsidRDefault="004B0783" w:rsidP="004B0783">
      <w:pPr>
        <w:ind w:left="720"/>
        <w:rPr>
          <w:i/>
          <w:sz w:val="22"/>
          <w:lang w:val="en-GB"/>
        </w:rPr>
      </w:pPr>
      <w:r>
        <w:rPr>
          <w:lang w:val="en-GB"/>
        </w:rPr>
        <w:tab/>
      </w:r>
      <w:r w:rsidRPr="008B7EA0">
        <w:rPr>
          <w:i/>
          <w:sz w:val="22"/>
          <w:lang w:val="en-GB"/>
        </w:rPr>
        <w:t>Source: Mongolia Household Socio-Economic Surveys, 20</w:t>
      </w:r>
      <w:r>
        <w:rPr>
          <w:i/>
          <w:sz w:val="22"/>
          <w:lang w:val="en-GB"/>
        </w:rPr>
        <w:t>10</w:t>
      </w:r>
      <w:r w:rsidRPr="008B7EA0">
        <w:rPr>
          <w:i/>
          <w:sz w:val="22"/>
          <w:lang w:val="en-GB"/>
        </w:rPr>
        <w:t>-2012</w:t>
      </w:r>
    </w:p>
    <w:p w14:paraId="46A34B57" w14:textId="77777777" w:rsidR="00ED4941" w:rsidRDefault="00ED4941" w:rsidP="00ED4941">
      <w:pPr>
        <w:jc w:val="both"/>
        <w:rPr>
          <w:lang w:val="en-GB"/>
        </w:rPr>
      </w:pPr>
    </w:p>
    <w:p w14:paraId="2E601040" w14:textId="77777777" w:rsidR="006840DE" w:rsidRDefault="006840DE" w:rsidP="00ED4941">
      <w:pPr>
        <w:jc w:val="both"/>
        <w:rPr>
          <w:lang w:val="en-GB"/>
        </w:rPr>
      </w:pPr>
    </w:p>
    <w:p w14:paraId="018E3362" w14:textId="77777777" w:rsidR="00580844" w:rsidRPr="00B15F95" w:rsidRDefault="00580844" w:rsidP="00A668EF">
      <w:pPr>
        <w:numPr>
          <w:ilvl w:val="0"/>
          <w:numId w:val="2"/>
        </w:numPr>
        <w:jc w:val="both"/>
        <w:rPr>
          <w:rFonts w:ascii="Arial" w:hAnsi="Arial" w:cs="Arial"/>
          <w:sz w:val="22"/>
          <w:lang w:val="en-GB"/>
        </w:rPr>
      </w:pPr>
      <w:r w:rsidRPr="00B15F95">
        <w:rPr>
          <w:rFonts w:ascii="Arial" w:hAnsi="Arial" w:cs="Arial"/>
          <w:sz w:val="22"/>
          <w:lang w:val="en-GB"/>
        </w:rPr>
        <w:t>Utilization patterns and health seeking behaviour</w:t>
      </w:r>
    </w:p>
    <w:p w14:paraId="4755E3DC" w14:textId="77777777" w:rsidR="00AB0027" w:rsidRDefault="00AB0027" w:rsidP="00E0176F">
      <w:pPr>
        <w:jc w:val="both"/>
      </w:pPr>
    </w:p>
    <w:p w14:paraId="0E31D11F" w14:textId="55670DBA" w:rsidR="0054343F" w:rsidRDefault="003B3655" w:rsidP="00736172">
      <w:pPr>
        <w:autoSpaceDE w:val="0"/>
        <w:autoSpaceDN w:val="0"/>
        <w:adjustRightInd w:val="0"/>
        <w:jc w:val="both"/>
        <w:rPr>
          <w:rFonts w:ascii="Arial" w:hAnsi="Arial" w:cs="Arial"/>
        </w:rPr>
      </w:pPr>
      <w:r w:rsidRPr="00D16F85">
        <w:rPr>
          <w:rFonts w:ascii="Arial" w:hAnsi="Arial" w:cs="Arial"/>
        </w:rPr>
        <w:t xml:space="preserve">Poor people </w:t>
      </w:r>
      <w:r>
        <w:rPr>
          <w:rFonts w:ascii="Arial" w:hAnsi="Arial" w:cs="Arial"/>
        </w:rPr>
        <w:t xml:space="preserve">are </w:t>
      </w:r>
      <w:r w:rsidRPr="00D16F85">
        <w:rPr>
          <w:rFonts w:ascii="Arial" w:hAnsi="Arial" w:cs="Arial"/>
        </w:rPr>
        <w:t xml:space="preserve">two or more times less likely to report about their need to seek health services than the richest quintile. </w:t>
      </w:r>
      <w:r w:rsidR="001B6AC3">
        <w:rPr>
          <w:rFonts w:ascii="Arial" w:hAnsi="Arial" w:cs="Arial"/>
        </w:rPr>
        <w:t>About</w:t>
      </w:r>
      <w:r w:rsidR="000E0DF4" w:rsidRPr="00D16F85">
        <w:rPr>
          <w:rFonts w:ascii="Arial" w:hAnsi="Arial" w:cs="Arial"/>
        </w:rPr>
        <w:t xml:space="preserve"> </w:t>
      </w:r>
      <w:r w:rsidR="001B6AC3" w:rsidRPr="00D16F85">
        <w:rPr>
          <w:rFonts w:ascii="Arial" w:hAnsi="Arial" w:cs="Arial"/>
        </w:rPr>
        <w:t>80%</w:t>
      </w:r>
      <w:r w:rsidR="001B6AC3">
        <w:rPr>
          <w:rFonts w:ascii="Arial" w:hAnsi="Arial" w:cs="Arial"/>
        </w:rPr>
        <w:t xml:space="preserve"> of </w:t>
      </w:r>
      <w:r w:rsidR="000E0DF4" w:rsidRPr="00D16F85">
        <w:rPr>
          <w:rFonts w:ascii="Arial" w:hAnsi="Arial" w:cs="Arial"/>
        </w:rPr>
        <w:t>the total population reporting illness in the past four weeks</w:t>
      </w:r>
      <w:r w:rsidR="001B6AC3">
        <w:rPr>
          <w:rFonts w:ascii="Arial" w:hAnsi="Arial" w:cs="Arial"/>
        </w:rPr>
        <w:t xml:space="preserve"> had </w:t>
      </w:r>
      <w:r w:rsidR="000E0DF4" w:rsidRPr="00D16F85">
        <w:rPr>
          <w:rFonts w:ascii="Arial" w:hAnsi="Arial" w:cs="Arial"/>
        </w:rPr>
        <w:t xml:space="preserve">sought health care in </w:t>
      </w:r>
      <w:r w:rsidR="003F5DCC" w:rsidRPr="00D16F85">
        <w:rPr>
          <w:rFonts w:ascii="Arial" w:hAnsi="Arial" w:cs="Arial"/>
        </w:rPr>
        <w:t>2010</w:t>
      </w:r>
      <w:r w:rsidR="001B6AC3">
        <w:rPr>
          <w:rFonts w:ascii="Arial" w:hAnsi="Arial" w:cs="Arial"/>
        </w:rPr>
        <w:t>-</w:t>
      </w:r>
      <w:r w:rsidR="003F5DCC" w:rsidRPr="00D16F85">
        <w:rPr>
          <w:rFonts w:ascii="Arial" w:hAnsi="Arial" w:cs="Arial"/>
        </w:rPr>
        <w:t>2012</w:t>
      </w:r>
      <w:r w:rsidR="000B5169">
        <w:rPr>
          <w:rFonts w:ascii="Arial" w:hAnsi="Arial" w:cs="Arial"/>
        </w:rPr>
        <w:t xml:space="preserve"> (Table 8)</w:t>
      </w:r>
      <w:r w:rsidR="003F5DCC" w:rsidRPr="00D16F85">
        <w:rPr>
          <w:rFonts w:ascii="Arial" w:hAnsi="Arial" w:cs="Arial"/>
        </w:rPr>
        <w:t xml:space="preserve">. </w:t>
      </w:r>
    </w:p>
    <w:p w14:paraId="2312C695" w14:textId="77777777" w:rsidR="007C5DA0" w:rsidRPr="007A1B5C" w:rsidRDefault="007C5DA0" w:rsidP="00736172">
      <w:pPr>
        <w:autoSpaceDE w:val="0"/>
        <w:autoSpaceDN w:val="0"/>
        <w:adjustRightInd w:val="0"/>
        <w:jc w:val="both"/>
        <w:rPr>
          <w:rFonts w:ascii="Arial" w:hAnsi="Arial" w:cs="Arial"/>
          <w:lang w:val="en-GB"/>
        </w:rPr>
      </w:pPr>
    </w:p>
    <w:p w14:paraId="28303960" w14:textId="77777777" w:rsidR="00E0176F" w:rsidRPr="00D16F85" w:rsidRDefault="0095486C" w:rsidP="0095486C">
      <w:pPr>
        <w:pStyle w:val="Caption"/>
        <w:rPr>
          <w:rFonts w:ascii="Arial" w:hAnsi="Arial" w:cs="Arial"/>
          <w:b w:val="0"/>
          <w:iCs/>
          <w:sz w:val="22"/>
          <w:szCs w:val="22"/>
        </w:rPr>
      </w:pPr>
      <w:bookmarkStart w:id="27" w:name="_Toc310170091"/>
      <w:r w:rsidRPr="00D16F85">
        <w:rPr>
          <w:rFonts w:ascii="Arial" w:hAnsi="Arial" w:cs="Arial"/>
          <w:b w:val="0"/>
          <w:iCs/>
          <w:sz w:val="22"/>
          <w:szCs w:val="22"/>
        </w:rPr>
        <w:t xml:space="preserve">Table </w:t>
      </w:r>
      <w:r w:rsidR="00CB191B" w:rsidRPr="00D16F85">
        <w:rPr>
          <w:rFonts w:ascii="Arial" w:hAnsi="Arial" w:cs="Arial"/>
          <w:b w:val="0"/>
          <w:iCs/>
          <w:sz w:val="22"/>
          <w:szCs w:val="22"/>
        </w:rPr>
        <w:fldChar w:fldCharType="begin"/>
      </w:r>
      <w:r w:rsidRPr="00D16F85">
        <w:rPr>
          <w:rFonts w:ascii="Arial" w:hAnsi="Arial" w:cs="Arial"/>
          <w:b w:val="0"/>
          <w:iCs/>
          <w:sz w:val="22"/>
          <w:szCs w:val="22"/>
        </w:rPr>
        <w:instrText xml:space="preserve"> SEQ Table \* ARABIC </w:instrText>
      </w:r>
      <w:r w:rsidR="00CB191B" w:rsidRPr="00D16F85">
        <w:rPr>
          <w:rFonts w:ascii="Arial" w:hAnsi="Arial" w:cs="Arial"/>
          <w:b w:val="0"/>
          <w:iCs/>
          <w:sz w:val="22"/>
          <w:szCs w:val="22"/>
        </w:rPr>
        <w:fldChar w:fldCharType="separate"/>
      </w:r>
      <w:r w:rsidR="000B5169">
        <w:rPr>
          <w:rFonts w:ascii="Arial" w:hAnsi="Arial" w:cs="Arial"/>
          <w:b w:val="0"/>
          <w:iCs/>
          <w:noProof/>
          <w:sz w:val="22"/>
          <w:szCs w:val="22"/>
        </w:rPr>
        <w:t>8</w:t>
      </w:r>
      <w:r w:rsidR="00CB191B" w:rsidRPr="00D16F85">
        <w:rPr>
          <w:rFonts w:ascii="Arial" w:hAnsi="Arial" w:cs="Arial"/>
          <w:b w:val="0"/>
          <w:iCs/>
          <w:sz w:val="22"/>
          <w:szCs w:val="22"/>
        </w:rPr>
        <w:fldChar w:fldCharType="end"/>
      </w:r>
      <w:r w:rsidRPr="00D16F85">
        <w:rPr>
          <w:rFonts w:ascii="Arial" w:hAnsi="Arial" w:cs="Arial"/>
          <w:b w:val="0"/>
          <w:iCs/>
          <w:sz w:val="22"/>
          <w:szCs w:val="22"/>
        </w:rPr>
        <w:t xml:space="preserve">: </w:t>
      </w:r>
      <w:r w:rsidR="00D16F85">
        <w:rPr>
          <w:rFonts w:ascii="Arial" w:hAnsi="Arial" w:cs="Arial"/>
          <w:b w:val="0"/>
          <w:iCs/>
          <w:sz w:val="22"/>
          <w:szCs w:val="22"/>
        </w:rPr>
        <w:t>Outpatient h</w:t>
      </w:r>
      <w:r w:rsidRPr="00D16F85">
        <w:rPr>
          <w:rFonts w:ascii="Arial" w:hAnsi="Arial" w:cs="Arial"/>
          <w:b w:val="0"/>
          <w:iCs/>
          <w:sz w:val="22"/>
          <w:szCs w:val="22"/>
        </w:rPr>
        <w:t>ealth services utilization</w:t>
      </w:r>
      <w:r w:rsidR="002017EC" w:rsidRPr="00D16F85">
        <w:rPr>
          <w:rFonts w:ascii="Arial" w:hAnsi="Arial" w:cs="Arial"/>
          <w:b w:val="0"/>
          <w:iCs/>
          <w:sz w:val="22"/>
          <w:szCs w:val="22"/>
        </w:rPr>
        <w:t xml:space="preserve"> and health seeking behavior </w:t>
      </w:r>
      <w:r w:rsidR="00CD332A">
        <w:rPr>
          <w:rFonts w:ascii="Arial" w:hAnsi="Arial" w:cs="Arial"/>
          <w:b w:val="0"/>
          <w:iCs/>
          <w:sz w:val="22"/>
          <w:szCs w:val="22"/>
        </w:rPr>
        <w:t xml:space="preserve">by </w:t>
      </w:r>
      <w:r w:rsidR="00790DA8">
        <w:rPr>
          <w:rFonts w:ascii="Arial" w:hAnsi="Arial" w:cs="Arial"/>
          <w:b w:val="0"/>
          <w:iCs/>
          <w:sz w:val="22"/>
          <w:szCs w:val="22"/>
        </w:rPr>
        <w:t xml:space="preserve">expenditure </w:t>
      </w:r>
      <w:r w:rsidR="00CD332A">
        <w:rPr>
          <w:rFonts w:ascii="Arial" w:hAnsi="Arial" w:cs="Arial"/>
          <w:b w:val="0"/>
          <w:iCs/>
          <w:sz w:val="22"/>
          <w:szCs w:val="22"/>
        </w:rPr>
        <w:t>quintile</w:t>
      </w:r>
      <w:r w:rsidR="00790DA8">
        <w:rPr>
          <w:rFonts w:ascii="Arial" w:hAnsi="Arial" w:cs="Arial"/>
          <w:b w:val="0"/>
          <w:iCs/>
          <w:sz w:val="22"/>
          <w:szCs w:val="22"/>
        </w:rPr>
        <w:t>, 2010-2012</w:t>
      </w:r>
      <w:bookmarkEnd w:id="27"/>
    </w:p>
    <w:tbl>
      <w:tblPr>
        <w:tblW w:w="8851" w:type="dxa"/>
        <w:tblInd w:w="93" w:type="dxa"/>
        <w:tblLayout w:type="fixed"/>
        <w:tblLook w:val="04A0" w:firstRow="1" w:lastRow="0" w:firstColumn="1" w:lastColumn="0" w:noHBand="0" w:noVBand="1"/>
      </w:tblPr>
      <w:tblGrid>
        <w:gridCol w:w="1291"/>
        <w:gridCol w:w="1260"/>
        <w:gridCol w:w="1260"/>
        <w:gridCol w:w="1260"/>
        <w:gridCol w:w="1260"/>
        <w:gridCol w:w="1260"/>
        <w:gridCol w:w="1260"/>
      </w:tblGrid>
      <w:tr w:rsidR="00E0176F" w:rsidRPr="00E0176F" w14:paraId="54048E37" w14:textId="77777777" w:rsidTr="00336474">
        <w:trPr>
          <w:trHeight w:val="240"/>
        </w:trPr>
        <w:tc>
          <w:tcPr>
            <w:tcW w:w="1291" w:type="dxa"/>
            <w:vMerge w:val="restart"/>
            <w:tcBorders>
              <w:top w:val="single" w:sz="4" w:space="0" w:color="auto"/>
              <w:left w:val="nil"/>
              <w:right w:val="nil"/>
            </w:tcBorders>
            <w:shd w:val="clear" w:color="auto" w:fill="auto"/>
            <w:noWrap/>
            <w:vAlign w:val="center"/>
            <w:hideMark/>
          </w:tcPr>
          <w:p w14:paraId="5D15EAAB" w14:textId="77777777" w:rsidR="00D16F85" w:rsidRPr="00EE4084" w:rsidRDefault="00D16F85" w:rsidP="00D16F85">
            <w:pPr>
              <w:jc w:val="center"/>
              <w:rPr>
                <w:rFonts w:ascii="Arial Narrow" w:hAnsi="Arial Narrow" w:cs="Arial"/>
                <w:sz w:val="22"/>
                <w:szCs w:val="20"/>
              </w:rPr>
            </w:pPr>
            <w:bookmarkStart w:id="28" w:name="OLE_LINK5"/>
            <w:r w:rsidRPr="00EE4084">
              <w:rPr>
                <w:rFonts w:ascii="Arial Narrow" w:hAnsi="Arial Narrow" w:cs="Arial"/>
                <w:sz w:val="22"/>
                <w:szCs w:val="20"/>
              </w:rPr>
              <w:t>Expenditure</w:t>
            </w:r>
          </w:p>
          <w:p w14:paraId="2CD8974F" w14:textId="77777777" w:rsidR="00E0176F" w:rsidRPr="00EE4084" w:rsidRDefault="00E0176F" w:rsidP="00D16F85">
            <w:pPr>
              <w:jc w:val="center"/>
              <w:rPr>
                <w:rFonts w:ascii="Arial Narrow" w:hAnsi="Arial Narrow" w:cs="Arial"/>
                <w:sz w:val="22"/>
                <w:szCs w:val="20"/>
              </w:rPr>
            </w:pPr>
            <w:proofErr w:type="gramStart"/>
            <w:r w:rsidRPr="00EE4084">
              <w:rPr>
                <w:rFonts w:ascii="Arial Narrow" w:hAnsi="Arial Narrow" w:cs="Arial"/>
                <w:sz w:val="22"/>
                <w:szCs w:val="20"/>
              </w:rPr>
              <w:t>quintile</w:t>
            </w:r>
            <w:proofErr w:type="gramEnd"/>
          </w:p>
        </w:tc>
        <w:tc>
          <w:tcPr>
            <w:tcW w:w="2520" w:type="dxa"/>
            <w:gridSpan w:val="2"/>
            <w:tcBorders>
              <w:top w:val="single" w:sz="4" w:space="0" w:color="auto"/>
              <w:left w:val="nil"/>
              <w:bottom w:val="single" w:sz="4" w:space="0" w:color="auto"/>
              <w:right w:val="nil"/>
            </w:tcBorders>
            <w:shd w:val="clear" w:color="auto" w:fill="auto"/>
            <w:noWrap/>
            <w:hideMark/>
          </w:tcPr>
          <w:p w14:paraId="0C318ED7" w14:textId="77777777" w:rsidR="00E0176F" w:rsidRPr="000B5169" w:rsidRDefault="00E0176F" w:rsidP="00D16F85">
            <w:pPr>
              <w:jc w:val="center"/>
              <w:rPr>
                <w:rFonts w:ascii="Arial Narrow" w:hAnsi="Arial Narrow" w:cs="Arial"/>
                <w:b/>
                <w:sz w:val="22"/>
                <w:szCs w:val="20"/>
              </w:rPr>
            </w:pPr>
            <w:r w:rsidRPr="000B5169">
              <w:rPr>
                <w:rFonts w:ascii="Arial Narrow" w:hAnsi="Arial Narrow" w:cs="Arial"/>
                <w:b/>
                <w:sz w:val="22"/>
                <w:szCs w:val="20"/>
              </w:rPr>
              <w:t>2010</w:t>
            </w:r>
          </w:p>
        </w:tc>
        <w:tc>
          <w:tcPr>
            <w:tcW w:w="2520" w:type="dxa"/>
            <w:gridSpan w:val="2"/>
            <w:tcBorders>
              <w:top w:val="single" w:sz="4" w:space="0" w:color="auto"/>
              <w:left w:val="nil"/>
              <w:bottom w:val="single" w:sz="4" w:space="0" w:color="auto"/>
              <w:right w:val="nil"/>
            </w:tcBorders>
            <w:shd w:val="clear" w:color="auto" w:fill="auto"/>
            <w:noWrap/>
            <w:hideMark/>
          </w:tcPr>
          <w:p w14:paraId="6441791D" w14:textId="77777777" w:rsidR="00E0176F" w:rsidRPr="000B5169" w:rsidRDefault="00E0176F" w:rsidP="00D16F85">
            <w:pPr>
              <w:jc w:val="center"/>
              <w:rPr>
                <w:rFonts w:ascii="Arial Narrow" w:hAnsi="Arial Narrow" w:cs="Arial"/>
                <w:b/>
                <w:sz w:val="22"/>
                <w:szCs w:val="20"/>
              </w:rPr>
            </w:pPr>
            <w:r w:rsidRPr="000B5169">
              <w:rPr>
                <w:rFonts w:ascii="Arial Narrow" w:hAnsi="Arial Narrow" w:cs="Arial"/>
                <w:b/>
                <w:sz w:val="22"/>
                <w:szCs w:val="20"/>
              </w:rPr>
              <w:t>2011</w:t>
            </w:r>
          </w:p>
        </w:tc>
        <w:tc>
          <w:tcPr>
            <w:tcW w:w="2520" w:type="dxa"/>
            <w:gridSpan w:val="2"/>
            <w:tcBorders>
              <w:top w:val="single" w:sz="4" w:space="0" w:color="auto"/>
              <w:left w:val="nil"/>
              <w:bottom w:val="single" w:sz="4" w:space="0" w:color="auto"/>
              <w:right w:val="nil"/>
            </w:tcBorders>
            <w:shd w:val="clear" w:color="auto" w:fill="auto"/>
            <w:noWrap/>
            <w:hideMark/>
          </w:tcPr>
          <w:p w14:paraId="3ED0316A" w14:textId="77777777" w:rsidR="00E0176F" w:rsidRPr="000B5169" w:rsidRDefault="00E0176F" w:rsidP="00D16F85">
            <w:pPr>
              <w:jc w:val="center"/>
              <w:rPr>
                <w:rFonts w:ascii="Arial Narrow" w:hAnsi="Arial Narrow" w:cs="Arial"/>
                <w:b/>
                <w:sz w:val="22"/>
                <w:szCs w:val="20"/>
              </w:rPr>
            </w:pPr>
            <w:r w:rsidRPr="000B5169">
              <w:rPr>
                <w:rFonts w:ascii="Arial Narrow" w:hAnsi="Arial Narrow" w:cs="Arial"/>
                <w:b/>
                <w:sz w:val="22"/>
                <w:szCs w:val="20"/>
              </w:rPr>
              <w:t>2012</w:t>
            </w:r>
          </w:p>
        </w:tc>
      </w:tr>
      <w:tr w:rsidR="00E0176F" w:rsidRPr="00E0176F" w14:paraId="4F4F9641" w14:textId="77777777" w:rsidTr="00336474">
        <w:trPr>
          <w:trHeight w:val="260"/>
        </w:trPr>
        <w:tc>
          <w:tcPr>
            <w:tcW w:w="1291" w:type="dxa"/>
            <w:vMerge/>
            <w:tcBorders>
              <w:left w:val="nil"/>
              <w:bottom w:val="single" w:sz="8" w:space="0" w:color="auto"/>
              <w:right w:val="nil"/>
            </w:tcBorders>
            <w:shd w:val="clear" w:color="auto" w:fill="auto"/>
            <w:noWrap/>
            <w:hideMark/>
          </w:tcPr>
          <w:p w14:paraId="4DD0C499" w14:textId="77777777" w:rsidR="00E0176F" w:rsidRPr="00EE4084" w:rsidRDefault="00E0176F" w:rsidP="00D16F85">
            <w:pPr>
              <w:jc w:val="center"/>
              <w:rPr>
                <w:rFonts w:ascii="Arial Narrow" w:hAnsi="Arial Narrow" w:cs="Arial"/>
                <w:sz w:val="22"/>
                <w:szCs w:val="20"/>
              </w:rPr>
            </w:pPr>
          </w:p>
        </w:tc>
        <w:tc>
          <w:tcPr>
            <w:tcW w:w="1260" w:type="dxa"/>
            <w:tcBorders>
              <w:top w:val="single" w:sz="4" w:space="0" w:color="auto"/>
              <w:left w:val="nil"/>
              <w:bottom w:val="single" w:sz="8" w:space="0" w:color="auto"/>
              <w:right w:val="nil"/>
            </w:tcBorders>
            <w:shd w:val="clear" w:color="auto" w:fill="auto"/>
            <w:noWrap/>
            <w:hideMark/>
          </w:tcPr>
          <w:p w14:paraId="5D12FBA5" w14:textId="77777777" w:rsidR="00E0176F" w:rsidRPr="00EE4084" w:rsidRDefault="00E0176F" w:rsidP="00D16F85">
            <w:pPr>
              <w:jc w:val="center"/>
              <w:rPr>
                <w:rFonts w:ascii="Arial Narrow" w:hAnsi="Arial Narrow" w:cs="Arial"/>
                <w:sz w:val="22"/>
                <w:szCs w:val="20"/>
              </w:rPr>
            </w:pPr>
            <w:proofErr w:type="gramStart"/>
            <w:r w:rsidRPr="00EE4084">
              <w:rPr>
                <w:rFonts w:ascii="Arial Narrow" w:hAnsi="Arial Narrow" w:cs="Arial"/>
                <w:sz w:val="22"/>
                <w:szCs w:val="20"/>
              </w:rPr>
              <w:t>reported</w:t>
            </w:r>
            <w:proofErr w:type="gramEnd"/>
            <w:r w:rsidRPr="00EE4084">
              <w:rPr>
                <w:rFonts w:ascii="Arial Narrow" w:hAnsi="Arial Narrow" w:cs="Arial"/>
                <w:sz w:val="22"/>
                <w:szCs w:val="20"/>
              </w:rPr>
              <w:t xml:space="preserve"> illness</w:t>
            </w:r>
          </w:p>
        </w:tc>
        <w:tc>
          <w:tcPr>
            <w:tcW w:w="1260" w:type="dxa"/>
            <w:tcBorders>
              <w:top w:val="single" w:sz="4" w:space="0" w:color="auto"/>
              <w:left w:val="nil"/>
              <w:bottom w:val="single" w:sz="8" w:space="0" w:color="auto"/>
              <w:right w:val="nil"/>
            </w:tcBorders>
            <w:shd w:val="clear" w:color="auto" w:fill="auto"/>
            <w:noWrap/>
            <w:hideMark/>
          </w:tcPr>
          <w:p w14:paraId="3C4CCF85" w14:textId="77777777" w:rsidR="00E0176F" w:rsidRPr="00EE4084" w:rsidRDefault="00D16F85" w:rsidP="00D16F85">
            <w:pPr>
              <w:jc w:val="center"/>
              <w:rPr>
                <w:rFonts w:ascii="Arial Narrow" w:hAnsi="Arial Narrow" w:cs="Arial"/>
                <w:sz w:val="22"/>
                <w:szCs w:val="20"/>
              </w:rPr>
            </w:pPr>
            <w:r w:rsidRPr="00EE4084">
              <w:rPr>
                <w:rFonts w:ascii="Arial Narrow" w:hAnsi="Arial Narrow" w:cs="Arial"/>
                <w:sz w:val="22"/>
                <w:szCs w:val="20"/>
              </w:rPr>
              <w:t>U</w:t>
            </w:r>
            <w:r w:rsidR="00E0176F" w:rsidRPr="00EE4084">
              <w:rPr>
                <w:rFonts w:ascii="Arial Narrow" w:hAnsi="Arial Narrow" w:cs="Arial"/>
                <w:sz w:val="22"/>
                <w:szCs w:val="20"/>
              </w:rPr>
              <w:t>se</w:t>
            </w:r>
          </w:p>
        </w:tc>
        <w:tc>
          <w:tcPr>
            <w:tcW w:w="1260" w:type="dxa"/>
            <w:tcBorders>
              <w:top w:val="single" w:sz="4" w:space="0" w:color="auto"/>
              <w:left w:val="nil"/>
              <w:bottom w:val="single" w:sz="8" w:space="0" w:color="auto"/>
              <w:right w:val="nil"/>
            </w:tcBorders>
            <w:shd w:val="clear" w:color="auto" w:fill="auto"/>
            <w:noWrap/>
            <w:hideMark/>
          </w:tcPr>
          <w:p w14:paraId="69C1EE57" w14:textId="77777777" w:rsidR="00E0176F" w:rsidRPr="00EE4084" w:rsidRDefault="00E0176F" w:rsidP="00D16F85">
            <w:pPr>
              <w:jc w:val="center"/>
              <w:rPr>
                <w:rFonts w:ascii="Arial Narrow" w:hAnsi="Arial Narrow" w:cs="Arial"/>
                <w:sz w:val="22"/>
                <w:szCs w:val="20"/>
              </w:rPr>
            </w:pPr>
            <w:proofErr w:type="gramStart"/>
            <w:r w:rsidRPr="00EE4084">
              <w:rPr>
                <w:rFonts w:ascii="Arial Narrow" w:hAnsi="Arial Narrow" w:cs="Arial"/>
                <w:sz w:val="22"/>
                <w:szCs w:val="20"/>
              </w:rPr>
              <w:t>reported</w:t>
            </w:r>
            <w:proofErr w:type="gramEnd"/>
            <w:r w:rsidRPr="00EE4084">
              <w:rPr>
                <w:rFonts w:ascii="Arial Narrow" w:hAnsi="Arial Narrow" w:cs="Arial"/>
                <w:sz w:val="22"/>
                <w:szCs w:val="20"/>
              </w:rPr>
              <w:t xml:space="preserve"> illness</w:t>
            </w:r>
          </w:p>
        </w:tc>
        <w:tc>
          <w:tcPr>
            <w:tcW w:w="1260" w:type="dxa"/>
            <w:tcBorders>
              <w:top w:val="single" w:sz="4" w:space="0" w:color="auto"/>
              <w:left w:val="nil"/>
              <w:bottom w:val="single" w:sz="8" w:space="0" w:color="auto"/>
              <w:right w:val="nil"/>
            </w:tcBorders>
            <w:shd w:val="clear" w:color="auto" w:fill="auto"/>
            <w:noWrap/>
            <w:hideMark/>
          </w:tcPr>
          <w:p w14:paraId="4FE17551" w14:textId="77777777" w:rsidR="00E0176F" w:rsidRPr="00EE4084" w:rsidRDefault="00D16F85" w:rsidP="00D16F85">
            <w:pPr>
              <w:jc w:val="center"/>
              <w:rPr>
                <w:rFonts w:ascii="Arial Narrow" w:hAnsi="Arial Narrow" w:cs="Arial"/>
                <w:sz w:val="22"/>
                <w:szCs w:val="20"/>
              </w:rPr>
            </w:pPr>
            <w:r w:rsidRPr="00EE4084">
              <w:rPr>
                <w:rFonts w:ascii="Arial Narrow" w:hAnsi="Arial Narrow" w:cs="Arial"/>
                <w:sz w:val="22"/>
                <w:szCs w:val="20"/>
              </w:rPr>
              <w:t>U</w:t>
            </w:r>
            <w:r w:rsidR="00E0176F" w:rsidRPr="00EE4084">
              <w:rPr>
                <w:rFonts w:ascii="Arial Narrow" w:hAnsi="Arial Narrow" w:cs="Arial"/>
                <w:sz w:val="22"/>
                <w:szCs w:val="20"/>
              </w:rPr>
              <w:t>se</w:t>
            </w:r>
          </w:p>
        </w:tc>
        <w:tc>
          <w:tcPr>
            <w:tcW w:w="1260" w:type="dxa"/>
            <w:tcBorders>
              <w:top w:val="single" w:sz="4" w:space="0" w:color="auto"/>
              <w:left w:val="nil"/>
              <w:bottom w:val="single" w:sz="8" w:space="0" w:color="auto"/>
              <w:right w:val="nil"/>
            </w:tcBorders>
            <w:shd w:val="clear" w:color="auto" w:fill="auto"/>
            <w:noWrap/>
            <w:hideMark/>
          </w:tcPr>
          <w:p w14:paraId="175E8BFB" w14:textId="77777777" w:rsidR="00E0176F" w:rsidRPr="00EE4084" w:rsidRDefault="00E0176F" w:rsidP="00D16F85">
            <w:pPr>
              <w:jc w:val="center"/>
              <w:rPr>
                <w:rFonts w:ascii="Arial Narrow" w:hAnsi="Arial Narrow" w:cs="Arial"/>
                <w:sz w:val="22"/>
                <w:szCs w:val="20"/>
              </w:rPr>
            </w:pPr>
            <w:proofErr w:type="gramStart"/>
            <w:r w:rsidRPr="00EE4084">
              <w:rPr>
                <w:rFonts w:ascii="Arial Narrow" w:hAnsi="Arial Narrow" w:cs="Arial"/>
                <w:sz w:val="22"/>
                <w:szCs w:val="20"/>
              </w:rPr>
              <w:t>reported</w:t>
            </w:r>
            <w:proofErr w:type="gramEnd"/>
            <w:r w:rsidRPr="00EE4084">
              <w:rPr>
                <w:rFonts w:ascii="Arial Narrow" w:hAnsi="Arial Narrow" w:cs="Arial"/>
                <w:sz w:val="22"/>
                <w:szCs w:val="20"/>
              </w:rPr>
              <w:t xml:space="preserve"> illness</w:t>
            </w:r>
          </w:p>
        </w:tc>
        <w:tc>
          <w:tcPr>
            <w:tcW w:w="1260" w:type="dxa"/>
            <w:tcBorders>
              <w:top w:val="single" w:sz="4" w:space="0" w:color="auto"/>
              <w:left w:val="nil"/>
              <w:bottom w:val="single" w:sz="8" w:space="0" w:color="auto"/>
              <w:right w:val="nil"/>
            </w:tcBorders>
            <w:shd w:val="clear" w:color="auto" w:fill="auto"/>
            <w:noWrap/>
            <w:hideMark/>
          </w:tcPr>
          <w:p w14:paraId="212CD0B6" w14:textId="77777777" w:rsidR="00E0176F" w:rsidRPr="00EE4084" w:rsidRDefault="00D16F85" w:rsidP="00D16F85">
            <w:pPr>
              <w:jc w:val="center"/>
              <w:rPr>
                <w:rFonts w:ascii="Arial Narrow" w:hAnsi="Arial Narrow" w:cs="Arial"/>
                <w:sz w:val="22"/>
                <w:szCs w:val="20"/>
              </w:rPr>
            </w:pPr>
            <w:r w:rsidRPr="00EE4084">
              <w:rPr>
                <w:rFonts w:ascii="Arial Narrow" w:hAnsi="Arial Narrow" w:cs="Arial"/>
                <w:sz w:val="22"/>
                <w:szCs w:val="20"/>
              </w:rPr>
              <w:t>U</w:t>
            </w:r>
            <w:r w:rsidR="00E0176F" w:rsidRPr="00EE4084">
              <w:rPr>
                <w:rFonts w:ascii="Arial Narrow" w:hAnsi="Arial Narrow" w:cs="Arial"/>
                <w:sz w:val="22"/>
                <w:szCs w:val="20"/>
              </w:rPr>
              <w:t>se</w:t>
            </w:r>
          </w:p>
        </w:tc>
      </w:tr>
      <w:tr w:rsidR="00E0176F" w:rsidRPr="00E0176F" w14:paraId="2C9AAABE" w14:textId="77777777" w:rsidTr="00D16F85">
        <w:trPr>
          <w:trHeight w:val="240"/>
        </w:trPr>
        <w:tc>
          <w:tcPr>
            <w:tcW w:w="1291" w:type="dxa"/>
            <w:tcBorders>
              <w:top w:val="nil"/>
              <w:left w:val="nil"/>
              <w:bottom w:val="nil"/>
              <w:right w:val="nil"/>
            </w:tcBorders>
            <w:shd w:val="clear" w:color="auto" w:fill="auto"/>
            <w:noWrap/>
            <w:vAlign w:val="bottom"/>
            <w:hideMark/>
          </w:tcPr>
          <w:p w14:paraId="3B442809" w14:textId="77777777" w:rsidR="00E0176F" w:rsidRPr="00EE4084" w:rsidRDefault="00E0176F" w:rsidP="0095486C">
            <w:pPr>
              <w:jc w:val="center"/>
              <w:rPr>
                <w:rFonts w:ascii="Arial Narrow" w:hAnsi="Arial Narrow" w:cs="Arial"/>
                <w:sz w:val="22"/>
                <w:szCs w:val="20"/>
              </w:rPr>
            </w:pPr>
            <w:r w:rsidRPr="00EE4084">
              <w:rPr>
                <w:rFonts w:ascii="Arial Narrow" w:hAnsi="Arial Narrow" w:cs="Arial"/>
                <w:sz w:val="22"/>
                <w:szCs w:val="20"/>
              </w:rPr>
              <w:t>1</w:t>
            </w:r>
          </w:p>
        </w:tc>
        <w:tc>
          <w:tcPr>
            <w:tcW w:w="1260" w:type="dxa"/>
            <w:tcBorders>
              <w:top w:val="nil"/>
              <w:left w:val="nil"/>
              <w:bottom w:val="nil"/>
              <w:right w:val="nil"/>
            </w:tcBorders>
            <w:shd w:val="clear" w:color="auto" w:fill="auto"/>
            <w:noWrap/>
            <w:vAlign w:val="bottom"/>
            <w:hideMark/>
          </w:tcPr>
          <w:p w14:paraId="40C0B4BD"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5%</w:t>
            </w:r>
          </w:p>
        </w:tc>
        <w:tc>
          <w:tcPr>
            <w:tcW w:w="1260" w:type="dxa"/>
            <w:tcBorders>
              <w:top w:val="nil"/>
              <w:left w:val="nil"/>
              <w:bottom w:val="nil"/>
              <w:right w:val="nil"/>
            </w:tcBorders>
            <w:shd w:val="clear" w:color="auto" w:fill="auto"/>
            <w:noWrap/>
            <w:vAlign w:val="bottom"/>
            <w:hideMark/>
          </w:tcPr>
          <w:p w14:paraId="3BE29DD6"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73%</w:t>
            </w:r>
          </w:p>
        </w:tc>
        <w:tc>
          <w:tcPr>
            <w:tcW w:w="1260" w:type="dxa"/>
            <w:tcBorders>
              <w:top w:val="nil"/>
              <w:left w:val="nil"/>
              <w:bottom w:val="nil"/>
              <w:right w:val="nil"/>
            </w:tcBorders>
            <w:shd w:val="clear" w:color="auto" w:fill="auto"/>
            <w:noWrap/>
            <w:vAlign w:val="bottom"/>
            <w:hideMark/>
          </w:tcPr>
          <w:p w14:paraId="7FCDF926"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4%</w:t>
            </w:r>
          </w:p>
        </w:tc>
        <w:tc>
          <w:tcPr>
            <w:tcW w:w="1260" w:type="dxa"/>
            <w:tcBorders>
              <w:top w:val="nil"/>
              <w:left w:val="nil"/>
              <w:bottom w:val="nil"/>
              <w:right w:val="nil"/>
            </w:tcBorders>
            <w:shd w:val="clear" w:color="auto" w:fill="auto"/>
            <w:noWrap/>
            <w:vAlign w:val="bottom"/>
            <w:hideMark/>
          </w:tcPr>
          <w:p w14:paraId="1BDC21EA"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75%</w:t>
            </w:r>
          </w:p>
        </w:tc>
        <w:tc>
          <w:tcPr>
            <w:tcW w:w="1260" w:type="dxa"/>
            <w:tcBorders>
              <w:top w:val="nil"/>
              <w:left w:val="nil"/>
              <w:bottom w:val="nil"/>
              <w:right w:val="nil"/>
            </w:tcBorders>
            <w:shd w:val="clear" w:color="auto" w:fill="auto"/>
            <w:noWrap/>
            <w:vAlign w:val="bottom"/>
            <w:hideMark/>
          </w:tcPr>
          <w:p w14:paraId="670DD244"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4%</w:t>
            </w:r>
          </w:p>
        </w:tc>
        <w:tc>
          <w:tcPr>
            <w:tcW w:w="1260" w:type="dxa"/>
            <w:tcBorders>
              <w:top w:val="nil"/>
              <w:left w:val="nil"/>
              <w:bottom w:val="nil"/>
              <w:right w:val="nil"/>
            </w:tcBorders>
            <w:shd w:val="clear" w:color="auto" w:fill="auto"/>
            <w:noWrap/>
            <w:vAlign w:val="bottom"/>
            <w:hideMark/>
          </w:tcPr>
          <w:p w14:paraId="184866C1"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77%</w:t>
            </w:r>
          </w:p>
        </w:tc>
      </w:tr>
      <w:tr w:rsidR="00E0176F" w:rsidRPr="00E0176F" w14:paraId="027E3C3A" w14:textId="77777777" w:rsidTr="00D16F85">
        <w:trPr>
          <w:trHeight w:val="240"/>
        </w:trPr>
        <w:tc>
          <w:tcPr>
            <w:tcW w:w="1291" w:type="dxa"/>
            <w:tcBorders>
              <w:top w:val="nil"/>
              <w:left w:val="nil"/>
              <w:bottom w:val="nil"/>
              <w:right w:val="nil"/>
            </w:tcBorders>
            <w:shd w:val="clear" w:color="auto" w:fill="auto"/>
            <w:noWrap/>
            <w:vAlign w:val="bottom"/>
            <w:hideMark/>
          </w:tcPr>
          <w:p w14:paraId="44951071" w14:textId="77777777" w:rsidR="00E0176F" w:rsidRPr="00EE4084" w:rsidRDefault="00E0176F" w:rsidP="0095486C">
            <w:pPr>
              <w:jc w:val="center"/>
              <w:rPr>
                <w:rFonts w:ascii="Arial Narrow" w:hAnsi="Arial Narrow" w:cs="Arial"/>
                <w:sz w:val="22"/>
                <w:szCs w:val="20"/>
              </w:rPr>
            </w:pPr>
            <w:r w:rsidRPr="00EE4084">
              <w:rPr>
                <w:rFonts w:ascii="Arial Narrow" w:hAnsi="Arial Narrow" w:cs="Arial"/>
                <w:sz w:val="22"/>
                <w:szCs w:val="20"/>
              </w:rPr>
              <w:t>2</w:t>
            </w:r>
          </w:p>
        </w:tc>
        <w:tc>
          <w:tcPr>
            <w:tcW w:w="1260" w:type="dxa"/>
            <w:tcBorders>
              <w:top w:val="nil"/>
              <w:left w:val="nil"/>
              <w:bottom w:val="nil"/>
              <w:right w:val="nil"/>
            </w:tcBorders>
            <w:shd w:val="clear" w:color="auto" w:fill="auto"/>
            <w:noWrap/>
            <w:vAlign w:val="bottom"/>
            <w:hideMark/>
          </w:tcPr>
          <w:p w14:paraId="25A49B97"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6%</w:t>
            </w:r>
          </w:p>
        </w:tc>
        <w:tc>
          <w:tcPr>
            <w:tcW w:w="1260" w:type="dxa"/>
            <w:tcBorders>
              <w:top w:val="nil"/>
              <w:left w:val="nil"/>
              <w:bottom w:val="nil"/>
              <w:right w:val="nil"/>
            </w:tcBorders>
            <w:shd w:val="clear" w:color="auto" w:fill="auto"/>
            <w:noWrap/>
            <w:vAlign w:val="bottom"/>
            <w:hideMark/>
          </w:tcPr>
          <w:p w14:paraId="36F1AFD8"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74%</w:t>
            </w:r>
          </w:p>
        </w:tc>
        <w:tc>
          <w:tcPr>
            <w:tcW w:w="1260" w:type="dxa"/>
            <w:tcBorders>
              <w:top w:val="nil"/>
              <w:left w:val="nil"/>
              <w:bottom w:val="nil"/>
              <w:right w:val="nil"/>
            </w:tcBorders>
            <w:shd w:val="clear" w:color="auto" w:fill="auto"/>
            <w:noWrap/>
            <w:vAlign w:val="bottom"/>
            <w:hideMark/>
          </w:tcPr>
          <w:p w14:paraId="70F3CFF3"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5%</w:t>
            </w:r>
          </w:p>
        </w:tc>
        <w:tc>
          <w:tcPr>
            <w:tcW w:w="1260" w:type="dxa"/>
            <w:tcBorders>
              <w:top w:val="nil"/>
              <w:left w:val="nil"/>
              <w:bottom w:val="nil"/>
              <w:right w:val="nil"/>
            </w:tcBorders>
            <w:shd w:val="clear" w:color="auto" w:fill="auto"/>
            <w:noWrap/>
            <w:vAlign w:val="bottom"/>
            <w:hideMark/>
          </w:tcPr>
          <w:p w14:paraId="547D9F5A"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78%</w:t>
            </w:r>
          </w:p>
        </w:tc>
        <w:tc>
          <w:tcPr>
            <w:tcW w:w="1260" w:type="dxa"/>
            <w:tcBorders>
              <w:top w:val="nil"/>
              <w:left w:val="nil"/>
              <w:bottom w:val="nil"/>
              <w:right w:val="nil"/>
            </w:tcBorders>
            <w:shd w:val="clear" w:color="auto" w:fill="auto"/>
            <w:noWrap/>
            <w:vAlign w:val="bottom"/>
            <w:hideMark/>
          </w:tcPr>
          <w:p w14:paraId="7257261F"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6%</w:t>
            </w:r>
          </w:p>
        </w:tc>
        <w:tc>
          <w:tcPr>
            <w:tcW w:w="1260" w:type="dxa"/>
            <w:tcBorders>
              <w:top w:val="nil"/>
              <w:left w:val="nil"/>
              <w:bottom w:val="nil"/>
              <w:right w:val="nil"/>
            </w:tcBorders>
            <w:shd w:val="clear" w:color="auto" w:fill="auto"/>
            <w:noWrap/>
            <w:vAlign w:val="bottom"/>
            <w:hideMark/>
          </w:tcPr>
          <w:p w14:paraId="145E58B8"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79%</w:t>
            </w:r>
          </w:p>
        </w:tc>
      </w:tr>
      <w:tr w:rsidR="00E0176F" w:rsidRPr="00E0176F" w14:paraId="45003FEF" w14:textId="77777777" w:rsidTr="00D16F85">
        <w:trPr>
          <w:trHeight w:val="240"/>
        </w:trPr>
        <w:tc>
          <w:tcPr>
            <w:tcW w:w="1291" w:type="dxa"/>
            <w:tcBorders>
              <w:top w:val="nil"/>
              <w:left w:val="nil"/>
              <w:bottom w:val="nil"/>
              <w:right w:val="nil"/>
            </w:tcBorders>
            <w:shd w:val="clear" w:color="auto" w:fill="auto"/>
            <w:noWrap/>
            <w:vAlign w:val="bottom"/>
            <w:hideMark/>
          </w:tcPr>
          <w:p w14:paraId="3FD92515" w14:textId="77777777" w:rsidR="00E0176F" w:rsidRPr="00EE4084" w:rsidRDefault="00E0176F" w:rsidP="0095486C">
            <w:pPr>
              <w:jc w:val="center"/>
              <w:rPr>
                <w:rFonts w:ascii="Arial Narrow" w:hAnsi="Arial Narrow" w:cs="Arial"/>
                <w:sz w:val="22"/>
                <w:szCs w:val="20"/>
              </w:rPr>
            </w:pPr>
            <w:r w:rsidRPr="00EE4084">
              <w:rPr>
                <w:rFonts w:ascii="Arial Narrow" w:hAnsi="Arial Narrow" w:cs="Arial"/>
                <w:sz w:val="22"/>
                <w:szCs w:val="20"/>
              </w:rPr>
              <w:t>3</w:t>
            </w:r>
          </w:p>
        </w:tc>
        <w:tc>
          <w:tcPr>
            <w:tcW w:w="1260" w:type="dxa"/>
            <w:tcBorders>
              <w:top w:val="nil"/>
              <w:left w:val="nil"/>
              <w:bottom w:val="nil"/>
              <w:right w:val="nil"/>
            </w:tcBorders>
            <w:shd w:val="clear" w:color="auto" w:fill="auto"/>
            <w:noWrap/>
            <w:vAlign w:val="bottom"/>
            <w:hideMark/>
          </w:tcPr>
          <w:p w14:paraId="08707053"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7%</w:t>
            </w:r>
          </w:p>
        </w:tc>
        <w:tc>
          <w:tcPr>
            <w:tcW w:w="1260" w:type="dxa"/>
            <w:tcBorders>
              <w:top w:val="nil"/>
              <w:left w:val="nil"/>
              <w:bottom w:val="nil"/>
              <w:right w:val="nil"/>
            </w:tcBorders>
            <w:shd w:val="clear" w:color="auto" w:fill="auto"/>
            <w:noWrap/>
            <w:vAlign w:val="bottom"/>
            <w:hideMark/>
          </w:tcPr>
          <w:p w14:paraId="5C91D487"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79%</w:t>
            </w:r>
          </w:p>
        </w:tc>
        <w:tc>
          <w:tcPr>
            <w:tcW w:w="1260" w:type="dxa"/>
            <w:tcBorders>
              <w:top w:val="nil"/>
              <w:left w:val="nil"/>
              <w:bottom w:val="nil"/>
              <w:right w:val="nil"/>
            </w:tcBorders>
            <w:shd w:val="clear" w:color="auto" w:fill="auto"/>
            <w:noWrap/>
            <w:vAlign w:val="bottom"/>
            <w:hideMark/>
          </w:tcPr>
          <w:p w14:paraId="6193179B"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6%</w:t>
            </w:r>
          </w:p>
        </w:tc>
        <w:tc>
          <w:tcPr>
            <w:tcW w:w="1260" w:type="dxa"/>
            <w:tcBorders>
              <w:top w:val="nil"/>
              <w:left w:val="nil"/>
              <w:bottom w:val="nil"/>
              <w:right w:val="nil"/>
            </w:tcBorders>
            <w:shd w:val="clear" w:color="auto" w:fill="auto"/>
            <w:noWrap/>
            <w:vAlign w:val="bottom"/>
            <w:hideMark/>
          </w:tcPr>
          <w:p w14:paraId="62FD89F8"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79%</w:t>
            </w:r>
          </w:p>
        </w:tc>
        <w:tc>
          <w:tcPr>
            <w:tcW w:w="1260" w:type="dxa"/>
            <w:tcBorders>
              <w:top w:val="nil"/>
              <w:left w:val="nil"/>
              <w:bottom w:val="nil"/>
              <w:right w:val="nil"/>
            </w:tcBorders>
            <w:shd w:val="clear" w:color="auto" w:fill="auto"/>
            <w:noWrap/>
            <w:vAlign w:val="bottom"/>
            <w:hideMark/>
          </w:tcPr>
          <w:p w14:paraId="33A2E82E"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7%</w:t>
            </w:r>
          </w:p>
        </w:tc>
        <w:tc>
          <w:tcPr>
            <w:tcW w:w="1260" w:type="dxa"/>
            <w:tcBorders>
              <w:top w:val="nil"/>
              <w:left w:val="nil"/>
              <w:bottom w:val="nil"/>
              <w:right w:val="nil"/>
            </w:tcBorders>
            <w:shd w:val="clear" w:color="auto" w:fill="auto"/>
            <w:noWrap/>
            <w:vAlign w:val="bottom"/>
            <w:hideMark/>
          </w:tcPr>
          <w:p w14:paraId="0BB1F492"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78%</w:t>
            </w:r>
          </w:p>
        </w:tc>
      </w:tr>
      <w:tr w:rsidR="00E0176F" w:rsidRPr="00E0176F" w14:paraId="10AE8D6E" w14:textId="77777777" w:rsidTr="00D16F85">
        <w:trPr>
          <w:trHeight w:val="240"/>
        </w:trPr>
        <w:tc>
          <w:tcPr>
            <w:tcW w:w="1291" w:type="dxa"/>
            <w:tcBorders>
              <w:top w:val="nil"/>
              <w:left w:val="nil"/>
              <w:bottom w:val="nil"/>
              <w:right w:val="nil"/>
            </w:tcBorders>
            <w:shd w:val="clear" w:color="auto" w:fill="auto"/>
            <w:noWrap/>
            <w:vAlign w:val="bottom"/>
            <w:hideMark/>
          </w:tcPr>
          <w:p w14:paraId="35A184D3" w14:textId="77777777" w:rsidR="00E0176F" w:rsidRPr="00EE4084" w:rsidRDefault="00E0176F" w:rsidP="0095486C">
            <w:pPr>
              <w:jc w:val="center"/>
              <w:rPr>
                <w:rFonts w:ascii="Arial Narrow" w:hAnsi="Arial Narrow" w:cs="Arial"/>
                <w:sz w:val="22"/>
                <w:szCs w:val="20"/>
              </w:rPr>
            </w:pPr>
            <w:r w:rsidRPr="00EE4084">
              <w:rPr>
                <w:rFonts w:ascii="Arial Narrow" w:hAnsi="Arial Narrow" w:cs="Arial"/>
                <w:sz w:val="22"/>
                <w:szCs w:val="20"/>
              </w:rPr>
              <w:t>4</w:t>
            </w:r>
          </w:p>
        </w:tc>
        <w:tc>
          <w:tcPr>
            <w:tcW w:w="1260" w:type="dxa"/>
            <w:tcBorders>
              <w:top w:val="nil"/>
              <w:left w:val="nil"/>
              <w:bottom w:val="nil"/>
              <w:right w:val="nil"/>
            </w:tcBorders>
            <w:shd w:val="clear" w:color="auto" w:fill="auto"/>
            <w:noWrap/>
            <w:vAlign w:val="bottom"/>
            <w:hideMark/>
          </w:tcPr>
          <w:p w14:paraId="107153B1"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8%</w:t>
            </w:r>
          </w:p>
        </w:tc>
        <w:tc>
          <w:tcPr>
            <w:tcW w:w="1260" w:type="dxa"/>
            <w:tcBorders>
              <w:top w:val="nil"/>
              <w:left w:val="nil"/>
              <w:bottom w:val="nil"/>
              <w:right w:val="nil"/>
            </w:tcBorders>
            <w:shd w:val="clear" w:color="auto" w:fill="auto"/>
            <w:noWrap/>
            <w:vAlign w:val="bottom"/>
            <w:hideMark/>
          </w:tcPr>
          <w:p w14:paraId="66A47A40"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81%</w:t>
            </w:r>
          </w:p>
        </w:tc>
        <w:tc>
          <w:tcPr>
            <w:tcW w:w="1260" w:type="dxa"/>
            <w:tcBorders>
              <w:top w:val="nil"/>
              <w:left w:val="nil"/>
              <w:bottom w:val="nil"/>
              <w:right w:val="nil"/>
            </w:tcBorders>
            <w:shd w:val="clear" w:color="auto" w:fill="auto"/>
            <w:noWrap/>
            <w:vAlign w:val="bottom"/>
            <w:hideMark/>
          </w:tcPr>
          <w:p w14:paraId="4EF2D7FE"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7%</w:t>
            </w:r>
          </w:p>
        </w:tc>
        <w:tc>
          <w:tcPr>
            <w:tcW w:w="1260" w:type="dxa"/>
            <w:tcBorders>
              <w:top w:val="nil"/>
              <w:left w:val="nil"/>
              <w:bottom w:val="nil"/>
              <w:right w:val="nil"/>
            </w:tcBorders>
            <w:shd w:val="clear" w:color="auto" w:fill="auto"/>
            <w:noWrap/>
            <w:vAlign w:val="bottom"/>
            <w:hideMark/>
          </w:tcPr>
          <w:p w14:paraId="555516F2"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79%</w:t>
            </w:r>
          </w:p>
        </w:tc>
        <w:tc>
          <w:tcPr>
            <w:tcW w:w="1260" w:type="dxa"/>
            <w:tcBorders>
              <w:top w:val="nil"/>
              <w:left w:val="nil"/>
              <w:bottom w:val="nil"/>
              <w:right w:val="nil"/>
            </w:tcBorders>
            <w:shd w:val="clear" w:color="auto" w:fill="auto"/>
            <w:noWrap/>
            <w:vAlign w:val="bottom"/>
            <w:hideMark/>
          </w:tcPr>
          <w:p w14:paraId="3C5E1C6E"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8%</w:t>
            </w:r>
          </w:p>
        </w:tc>
        <w:tc>
          <w:tcPr>
            <w:tcW w:w="1260" w:type="dxa"/>
            <w:tcBorders>
              <w:top w:val="nil"/>
              <w:left w:val="nil"/>
              <w:bottom w:val="nil"/>
              <w:right w:val="nil"/>
            </w:tcBorders>
            <w:shd w:val="clear" w:color="auto" w:fill="auto"/>
            <w:noWrap/>
            <w:vAlign w:val="bottom"/>
            <w:hideMark/>
          </w:tcPr>
          <w:p w14:paraId="01756BA0"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82%</w:t>
            </w:r>
          </w:p>
        </w:tc>
      </w:tr>
      <w:tr w:rsidR="00E0176F" w:rsidRPr="00E0176F" w14:paraId="1CE05BB0" w14:textId="77777777" w:rsidTr="000B5169">
        <w:trPr>
          <w:trHeight w:val="240"/>
        </w:trPr>
        <w:tc>
          <w:tcPr>
            <w:tcW w:w="1291" w:type="dxa"/>
            <w:tcBorders>
              <w:top w:val="nil"/>
              <w:left w:val="nil"/>
              <w:bottom w:val="single" w:sz="4" w:space="0" w:color="auto"/>
              <w:right w:val="nil"/>
            </w:tcBorders>
            <w:shd w:val="clear" w:color="auto" w:fill="auto"/>
            <w:noWrap/>
            <w:vAlign w:val="bottom"/>
            <w:hideMark/>
          </w:tcPr>
          <w:p w14:paraId="13746033" w14:textId="77777777" w:rsidR="00E0176F" w:rsidRPr="00EE4084" w:rsidRDefault="00E0176F" w:rsidP="0095486C">
            <w:pPr>
              <w:jc w:val="center"/>
              <w:rPr>
                <w:rFonts w:ascii="Arial Narrow" w:hAnsi="Arial Narrow" w:cs="Arial"/>
                <w:sz w:val="22"/>
                <w:szCs w:val="20"/>
              </w:rPr>
            </w:pPr>
            <w:r w:rsidRPr="00EE4084">
              <w:rPr>
                <w:rFonts w:ascii="Arial Narrow" w:hAnsi="Arial Narrow" w:cs="Arial"/>
                <w:sz w:val="22"/>
                <w:szCs w:val="20"/>
              </w:rPr>
              <w:t>5</w:t>
            </w:r>
          </w:p>
        </w:tc>
        <w:tc>
          <w:tcPr>
            <w:tcW w:w="1260" w:type="dxa"/>
            <w:tcBorders>
              <w:top w:val="nil"/>
              <w:left w:val="nil"/>
              <w:bottom w:val="single" w:sz="4" w:space="0" w:color="auto"/>
              <w:right w:val="nil"/>
            </w:tcBorders>
            <w:shd w:val="clear" w:color="auto" w:fill="auto"/>
            <w:noWrap/>
            <w:vAlign w:val="bottom"/>
            <w:hideMark/>
          </w:tcPr>
          <w:p w14:paraId="729B3C15"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10%</w:t>
            </w:r>
          </w:p>
        </w:tc>
        <w:tc>
          <w:tcPr>
            <w:tcW w:w="1260" w:type="dxa"/>
            <w:tcBorders>
              <w:top w:val="nil"/>
              <w:left w:val="nil"/>
              <w:bottom w:val="single" w:sz="4" w:space="0" w:color="auto"/>
              <w:right w:val="nil"/>
            </w:tcBorders>
            <w:shd w:val="clear" w:color="auto" w:fill="auto"/>
            <w:noWrap/>
            <w:vAlign w:val="bottom"/>
            <w:hideMark/>
          </w:tcPr>
          <w:p w14:paraId="485CF8FD"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82%</w:t>
            </w:r>
          </w:p>
        </w:tc>
        <w:tc>
          <w:tcPr>
            <w:tcW w:w="1260" w:type="dxa"/>
            <w:tcBorders>
              <w:top w:val="nil"/>
              <w:left w:val="nil"/>
              <w:bottom w:val="single" w:sz="4" w:space="0" w:color="auto"/>
              <w:right w:val="nil"/>
            </w:tcBorders>
            <w:shd w:val="clear" w:color="auto" w:fill="auto"/>
            <w:noWrap/>
            <w:vAlign w:val="bottom"/>
            <w:hideMark/>
          </w:tcPr>
          <w:p w14:paraId="31C8CDD0"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10%</w:t>
            </w:r>
          </w:p>
        </w:tc>
        <w:tc>
          <w:tcPr>
            <w:tcW w:w="1260" w:type="dxa"/>
            <w:tcBorders>
              <w:top w:val="nil"/>
              <w:left w:val="nil"/>
              <w:bottom w:val="single" w:sz="4" w:space="0" w:color="auto"/>
              <w:right w:val="nil"/>
            </w:tcBorders>
            <w:shd w:val="clear" w:color="auto" w:fill="auto"/>
            <w:noWrap/>
            <w:vAlign w:val="bottom"/>
            <w:hideMark/>
          </w:tcPr>
          <w:p w14:paraId="7F8C7E79"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80%</w:t>
            </w:r>
          </w:p>
        </w:tc>
        <w:tc>
          <w:tcPr>
            <w:tcW w:w="1260" w:type="dxa"/>
            <w:tcBorders>
              <w:top w:val="nil"/>
              <w:left w:val="nil"/>
              <w:bottom w:val="single" w:sz="4" w:space="0" w:color="auto"/>
              <w:right w:val="nil"/>
            </w:tcBorders>
            <w:shd w:val="clear" w:color="auto" w:fill="auto"/>
            <w:noWrap/>
            <w:vAlign w:val="bottom"/>
            <w:hideMark/>
          </w:tcPr>
          <w:p w14:paraId="4BDCE6F6"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9%</w:t>
            </w:r>
          </w:p>
        </w:tc>
        <w:tc>
          <w:tcPr>
            <w:tcW w:w="1260" w:type="dxa"/>
            <w:tcBorders>
              <w:top w:val="nil"/>
              <w:left w:val="nil"/>
              <w:bottom w:val="single" w:sz="4" w:space="0" w:color="auto"/>
              <w:right w:val="nil"/>
            </w:tcBorders>
            <w:shd w:val="clear" w:color="auto" w:fill="auto"/>
            <w:noWrap/>
            <w:vAlign w:val="bottom"/>
            <w:hideMark/>
          </w:tcPr>
          <w:p w14:paraId="749540B5" w14:textId="77777777" w:rsidR="00E0176F" w:rsidRPr="00EE4084" w:rsidRDefault="00E0176F" w:rsidP="00E0176F">
            <w:pPr>
              <w:jc w:val="center"/>
              <w:rPr>
                <w:rFonts w:ascii="Arial Narrow" w:hAnsi="Arial Narrow" w:cs="Arial"/>
                <w:sz w:val="22"/>
                <w:szCs w:val="20"/>
              </w:rPr>
            </w:pPr>
            <w:r w:rsidRPr="00EE4084">
              <w:rPr>
                <w:rFonts w:ascii="Arial Narrow" w:hAnsi="Arial Narrow" w:cs="Arial"/>
                <w:sz w:val="22"/>
                <w:szCs w:val="20"/>
              </w:rPr>
              <w:t>84%</w:t>
            </w:r>
          </w:p>
        </w:tc>
      </w:tr>
      <w:tr w:rsidR="00E0176F" w:rsidRPr="000B5169" w14:paraId="1F5BDC66" w14:textId="77777777" w:rsidTr="000B5169">
        <w:trPr>
          <w:trHeight w:val="260"/>
        </w:trPr>
        <w:tc>
          <w:tcPr>
            <w:tcW w:w="1291" w:type="dxa"/>
            <w:tcBorders>
              <w:top w:val="single" w:sz="4" w:space="0" w:color="auto"/>
              <w:left w:val="nil"/>
              <w:bottom w:val="single" w:sz="4" w:space="0" w:color="auto"/>
              <w:right w:val="nil"/>
            </w:tcBorders>
            <w:shd w:val="clear" w:color="auto" w:fill="auto"/>
            <w:noWrap/>
            <w:vAlign w:val="bottom"/>
            <w:hideMark/>
          </w:tcPr>
          <w:p w14:paraId="662A3332" w14:textId="77777777" w:rsidR="00E0176F" w:rsidRPr="000B5169" w:rsidRDefault="00E0176F" w:rsidP="00E0176F">
            <w:pPr>
              <w:jc w:val="center"/>
              <w:rPr>
                <w:rFonts w:ascii="Arial Narrow" w:hAnsi="Arial Narrow" w:cs="Arial"/>
                <w:bCs/>
                <w:sz w:val="22"/>
                <w:szCs w:val="20"/>
              </w:rPr>
            </w:pPr>
            <w:r w:rsidRPr="000B5169">
              <w:rPr>
                <w:rFonts w:ascii="Arial Narrow" w:hAnsi="Arial Narrow" w:cs="Arial"/>
                <w:bCs/>
                <w:sz w:val="22"/>
                <w:szCs w:val="20"/>
              </w:rPr>
              <w:t>Total</w:t>
            </w:r>
          </w:p>
        </w:tc>
        <w:tc>
          <w:tcPr>
            <w:tcW w:w="1260" w:type="dxa"/>
            <w:tcBorders>
              <w:top w:val="single" w:sz="4" w:space="0" w:color="auto"/>
              <w:left w:val="nil"/>
              <w:bottom w:val="single" w:sz="4" w:space="0" w:color="auto"/>
              <w:right w:val="nil"/>
            </w:tcBorders>
            <w:shd w:val="clear" w:color="auto" w:fill="auto"/>
            <w:noWrap/>
            <w:vAlign w:val="bottom"/>
            <w:hideMark/>
          </w:tcPr>
          <w:p w14:paraId="7BFAF135" w14:textId="77777777" w:rsidR="00E0176F" w:rsidRPr="000B5169" w:rsidRDefault="00E0176F" w:rsidP="00E0176F">
            <w:pPr>
              <w:jc w:val="center"/>
              <w:rPr>
                <w:rFonts w:ascii="Arial Narrow" w:hAnsi="Arial Narrow" w:cs="Arial"/>
                <w:bCs/>
                <w:sz w:val="22"/>
                <w:szCs w:val="20"/>
              </w:rPr>
            </w:pPr>
            <w:r w:rsidRPr="000B5169">
              <w:rPr>
                <w:rFonts w:ascii="Arial Narrow" w:hAnsi="Arial Narrow" w:cs="Arial"/>
                <w:bCs/>
                <w:sz w:val="22"/>
                <w:szCs w:val="20"/>
              </w:rPr>
              <w:t>7%</w:t>
            </w:r>
          </w:p>
        </w:tc>
        <w:tc>
          <w:tcPr>
            <w:tcW w:w="1260" w:type="dxa"/>
            <w:tcBorders>
              <w:top w:val="single" w:sz="4" w:space="0" w:color="auto"/>
              <w:left w:val="nil"/>
              <w:bottom w:val="single" w:sz="4" w:space="0" w:color="auto"/>
              <w:right w:val="nil"/>
            </w:tcBorders>
            <w:shd w:val="clear" w:color="auto" w:fill="auto"/>
            <w:noWrap/>
            <w:vAlign w:val="bottom"/>
            <w:hideMark/>
          </w:tcPr>
          <w:p w14:paraId="65047B9B" w14:textId="77777777" w:rsidR="00E0176F" w:rsidRPr="000B5169" w:rsidRDefault="00E0176F" w:rsidP="00E0176F">
            <w:pPr>
              <w:jc w:val="center"/>
              <w:rPr>
                <w:rFonts w:ascii="Arial Narrow" w:hAnsi="Arial Narrow" w:cs="Arial"/>
                <w:bCs/>
                <w:sz w:val="22"/>
                <w:szCs w:val="20"/>
              </w:rPr>
            </w:pPr>
            <w:r w:rsidRPr="000B5169">
              <w:rPr>
                <w:rFonts w:ascii="Arial Narrow" w:hAnsi="Arial Narrow" w:cs="Arial"/>
                <w:bCs/>
                <w:sz w:val="22"/>
                <w:szCs w:val="20"/>
              </w:rPr>
              <w:t>78%</w:t>
            </w:r>
          </w:p>
        </w:tc>
        <w:tc>
          <w:tcPr>
            <w:tcW w:w="1260" w:type="dxa"/>
            <w:tcBorders>
              <w:top w:val="single" w:sz="4" w:space="0" w:color="auto"/>
              <w:left w:val="nil"/>
              <w:bottom w:val="single" w:sz="4" w:space="0" w:color="auto"/>
              <w:right w:val="nil"/>
            </w:tcBorders>
            <w:shd w:val="clear" w:color="auto" w:fill="auto"/>
            <w:noWrap/>
            <w:vAlign w:val="bottom"/>
            <w:hideMark/>
          </w:tcPr>
          <w:p w14:paraId="7806E529" w14:textId="77777777" w:rsidR="00E0176F" w:rsidRPr="000B5169" w:rsidRDefault="00E0176F" w:rsidP="00E0176F">
            <w:pPr>
              <w:jc w:val="center"/>
              <w:rPr>
                <w:rFonts w:ascii="Arial Narrow" w:hAnsi="Arial Narrow" w:cs="Arial"/>
                <w:bCs/>
                <w:sz w:val="22"/>
                <w:szCs w:val="20"/>
              </w:rPr>
            </w:pPr>
            <w:r w:rsidRPr="000B5169">
              <w:rPr>
                <w:rFonts w:ascii="Arial Narrow" w:hAnsi="Arial Narrow" w:cs="Arial"/>
                <w:bCs/>
                <w:sz w:val="22"/>
                <w:szCs w:val="20"/>
              </w:rPr>
              <w:t>6%</w:t>
            </w:r>
          </w:p>
        </w:tc>
        <w:tc>
          <w:tcPr>
            <w:tcW w:w="1260" w:type="dxa"/>
            <w:tcBorders>
              <w:top w:val="single" w:sz="4" w:space="0" w:color="auto"/>
              <w:left w:val="nil"/>
              <w:bottom w:val="single" w:sz="4" w:space="0" w:color="auto"/>
              <w:right w:val="nil"/>
            </w:tcBorders>
            <w:shd w:val="clear" w:color="auto" w:fill="auto"/>
            <w:noWrap/>
            <w:vAlign w:val="bottom"/>
            <w:hideMark/>
          </w:tcPr>
          <w:p w14:paraId="3B925FC3" w14:textId="77777777" w:rsidR="00E0176F" w:rsidRPr="000B5169" w:rsidRDefault="00E0176F" w:rsidP="00E0176F">
            <w:pPr>
              <w:jc w:val="center"/>
              <w:rPr>
                <w:rFonts w:ascii="Arial Narrow" w:hAnsi="Arial Narrow" w:cs="Arial"/>
                <w:bCs/>
                <w:sz w:val="22"/>
                <w:szCs w:val="20"/>
              </w:rPr>
            </w:pPr>
            <w:r w:rsidRPr="000B5169">
              <w:rPr>
                <w:rFonts w:ascii="Arial Narrow" w:hAnsi="Arial Narrow" w:cs="Arial"/>
                <w:bCs/>
                <w:sz w:val="22"/>
                <w:szCs w:val="20"/>
              </w:rPr>
              <w:t>79%</w:t>
            </w:r>
          </w:p>
        </w:tc>
        <w:tc>
          <w:tcPr>
            <w:tcW w:w="1260" w:type="dxa"/>
            <w:tcBorders>
              <w:top w:val="single" w:sz="4" w:space="0" w:color="auto"/>
              <w:left w:val="nil"/>
              <w:bottom w:val="single" w:sz="4" w:space="0" w:color="auto"/>
              <w:right w:val="nil"/>
            </w:tcBorders>
            <w:shd w:val="clear" w:color="auto" w:fill="auto"/>
            <w:noWrap/>
            <w:vAlign w:val="bottom"/>
            <w:hideMark/>
          </w:tcPr>
          <w:p w14:paraId="79709E11" w14:textId="77777777" w:rsidR="00E0176F" w:rsidRPr="000B5169" w:rsidRDefault="00E0176F" w:rsidP="00E0176F">
            <w:pPr>
              <w:jc w:val="center"/>
              <w:rPr>
                <w:rFonts w:ascii="Arial Narrow" w:hAnsi="Arial Narrow" w:cs="Arial"/>
                <w:bCs/>
                <w:sz w:val="22"/>
                <w:szCs w:val="20"/>
              </w:rPr>
            </w:pPr>
            <w:r w:rsidRPr="000B5169">
              <w:rPr>
                <w:rFonts w:ascii="Arial Narrow" w:hAnsi="Arial Narrow" w:cs="Arial"/>
                <w:bCs/>
                <w:sz w:val="22"/>
                <w:szCs w:val="20"/>
              </w:rPr>
              <w:t>7%</w:t>
            </w:r>
          </w:p>
        </w:tc>
        <w:tc>
          <w:tcPr>
            <w:tcW w:w="1260" w:type="dxa"/>
            <w:tcBorders>
              <w:top w:val="single" w:sz="4" w:space="0" w:color="auto"/>
              <w:left w:val="nil"/>
              <w:bottom w:val="single" w:sz="4" w:space="0" w:color="auto"/>
              <w:right w:val="nil"/>
            </w:tcBorders>
            <w:shd w:val="clear" w:color="auto" w:fill="auto"/>
            <w:noWrap/>
            <w:vAlign w:val="bottom"/>
            <w:hideMark/>
          </w:tcPr>
          <w:p w14:paraId="706CF765" w14:textId="77777777" w:rsidR="00E0176F" w:rsidRPr="000B5169" w:rsidRDefault="00E0176F" w:rsidP="00E0176F">
            <w:pPr>
              <w:jc w:val="center"/>
              <w:rPr>
                <w:rFonts w:ascii="Arial Narrow" w:hAnsi="Arial Narrow" w:cs="Arial"/>
                <w:bCs/>
                <w:sz w:val="22"/>
                <w:szCs w:val="20"/>
              </w:rPr>
            </w:pPr>
            <w:r w:rsidRPr="000B5169">
              <w:rPr>
                <w:rFonts w:ascii="Arial Narrow" w:hAnsi="Arial Narrow" w:cs="Arial"/>
                <w:bCs/>
                <w:sz w:val="22"/>
                <w:szCs w:val="20"/>
              </w:rPr>
              <w:t>80%</w:t>
            </w:r>
          </w:p>
        </w:tc>
      </w:tr>
    </w:tbl>
    <w:bookmarkEnd w:id="28"/>
    <w:p w14:paraId="2222EE87" w14:textId="77777777" w:rsidR="00453010" w:rsidRPr="008B7EA0" w:rsidRDefault="00453010" w:rsidP="00453010">
      <w:pPr>
        <w:rPr>
          <w:i/>
          <w:sz w:val="22"/>
          <w:lang w:val="en-GB"/>
        </w:rPr>
      </w:pPr>
      <w:r w:rsidRPr="008B7EA0">
        <w:rPr>
          <w:i/>
          <w:sz w:val="22"/>
          <w:lang w:val="en-GB"/>
        </w:rPr>
        <w:t>Source: Mongolia Household Socio-Economic Surveys, 20</w:t>
      </w:r>
      <w:r w:rsidR="002B2DE7">
        <w:rPr>
          <w:i/>
          <w:sz w:val="22"/>
          <w:lang w:val="en-GB"/>
        </w:rPr>
        <w:t>10</w:t>
      </w:r>
      <w:r w:rsidRPr="008B7EA0">
        <w:rPr>
          <w:i/>
          <w:sz w:val="22"/>
          <w:lang w:val="en-GB"/>
        </w:rPr>
        <w:t>-2012</w:t>
      </w:r>
    </w:p>
    <w:p w14:paraId="312570BC" w14:textId="77777777" w:rsidR="00790DA8" w:rsidRDefault="00790DA8" w:rsidP="00E0176F">
      <w:pPr>
        <w:jc w:val="both"/>
        <w:rPr>
          <w:lang w:val="en-GB"/>
        </w:rPr>
      </w:pPr>
    </w:p>
    <w:p w14:paraId="47ADEA03" w14:textId="662CD882" w:rsidR="002F000E" w:rsidRDefault="003B3655" w:rsidP="000B36CE">
      <w:pPr>
        <w:jc w:val="both"/>
        <w:rPr>
          <w:rFonts w:ascii="Arial" w:hAnsi="Arial" w:cs="Arial"/>
          <w:lang w:val="en-GB"/>
        </w:rPr>
      </w:pPr>
      <w:r>
        <w:rPr>
          <w:rFonts w:ascii="Arial" w:hAnsi="Arial" w:cs="Arial"/>
          <w:lang w:val="en-GB"/>
        </w:rPr>
        <w:t>Overtime, the</w:t>
      </w:r>
      <w:r w:rsidR="00FF35FB">
        <w:rPr>
          <w:rFonts w:ascii="Arial" w:hAnsi="Arial" w:cs="Arial"/>
          <w:lang w:val="en-GB"/>
        </w:rPr>
        <w:t>re are slight decreases of the</w:t>
      </w:r>
      <w:r>
        <w:rPr>
          <w:rFonts w:ascii="Arial" w:hAnsi="Arial" w:cs="Arial"/>
          <w:lang w:val="en-GB"/>
        </w:rPr>
        <w:t xml:space="preserve"> health seeking behaviour in highlands, central, </w:t>
      </w:r>
      <w:r w:rsidR="008F1C22">
        <w:rPr>
          <w:rFonts w:ascii="Arial" w:hAnsi="Arial" w:cs="Arial"/>
          <w:lang w:val="en-GB"/>
        </w:rPr>
        <w:t>and in the eastern regions</w:t>
      </w:r>
      <w:r w:rsidR="00FF35FB">
        <w:rPr>
          <w:rFonts w:ascii="Arial" w:hAnsi="Arial" w:cs="Arial"/>
          <w:lang w:val="en-GB"/>
        </w:rPr>
        <w:t xml:space="preserve"> </w:t>
      </w:r>
      <w:r w:rsidR="008F1C22">
        <w:rPr>
          <w:rFonts w:ascii="Arial" w:hAnsi="Arial" w:cs="Arial"/>
          <w:lang w:val="en-GB"/>
        </w:rPr>
        <w:t>and more people reported being sick in the west</w:t>
      </w:r>
      <w:r w:rsidR="000B5169">
        <w:rPr>
          <w:rFonts w:ascii="Arial" w:hAnsi="Arial" w:cs="Arial"/>
          <w:lang w:val="en-GB"/>
        </w:rPr>
        <w:t xml:space="preserve"> (Table 9)</w:t>
      </w:r>
      <w:r w:rsidR="008F1C22">
        <w:rPr>
          <w:rFonts w:ascii="Arial" w:hAnsi="Arial" w:cs="Arial"/>
          <w:lang w:val="en-GB"/>
        </w:rPr>
        <w:t xml:space="preserve">. </w:t>
      </w:r>
    </w:p>
    <w:p w14:paraId="7CB14546" w14:textId="77777777" w:rsidR="000B36CE" w:rsidRPr="000B36CE" w:rsidRDefault="000B36CE" w:rsidP="000B36CE">
      <w:pPr>
        <w:jc w:val="both"/>
        <w:rPr>
          <w:rFonts w:ascii="Arial" w:hAnsi="Arial" w:cs="Arial"/>
          <w:lang w:val="en-GB"/>
        </w:rPr>
      </w:pPr>
    </w:p>
    <w:p w14:paraId="31A62B40" w14:textId="77777777" w:rsidR="00790DA8" w:rsidRPr="00790DA8" w:rsidRDefault="00790DA8" w:rsidP="00790DA8">
      <w:pPr>
        <w:pStyle w:val="Caption"/>
        <w:rPr>
          <w:rFonts w:ascii="Arial" w:hAnsi="Arial" w:cs="Arial"/>
          <w:b w:val="0"/>
          <w:iCs/>
          <w:sz w:val="22"/>
          <w:szCs w:val="22"/>
        </w:rPr>
      </w:pPr>
      <w:bookmarkStart w:id="29" w:name="_Toc310170092"/>
      <w:r w:rsidRPr="00D16F85">
        <w:rPr>
          <w:rFonts w:ascii="Arial" w:hAnsi="Arial" w:cs="Arial"/>
          <w:b w:val="0"/>
          <w:iCs/>
          <w:sz w:val="22"/>
          <w:szCs w:val="22"/>
        </w:rPr>
        <w:t xml:space="preserve">Table </w:t>
      </w:r>
      <w:r w:rsidR="00CB191B" w:rsidRPr="00D16F85">
        <w:rPr>
          <w:rFonts w:ascii="Arial" w:hAnsi="Arial" w:cs="Arial"/>
          <w:b w:val="0"/>
          <w:iCs/>
          <w:sz w:val="22"/>
          <w:szCs w:val="22"/>
        </w:rPr>
        <w:fldChar w:fldCharType="begin"/>
      </w:r>
      <w:r w:rsidRPr="00D16F85">
        <w:rPr>
          <w:rFonts w:ascii="Arial" w:hAnsi="Arial" w:cs="Arial"/>
          <w:b w:val="0"/>
          <w:iCs/>
          <w:sz w:val="22"/>
          <w:szCs w:val="22"/>
        </w:rPr>
        <w:instrText xml:space="preserve"> SEQ Table \* ARABIC </w:instrText>
      </w:r>
      <w:r w:rsidR="00CB191B" w:rsidRPr="00D16F85">
        <w:rPr>
          <w:rFonts w:ascii="Arial" w:hAnsi="Arial" w:cs="Arial"/>
          <w:b w:val="0"/>
          <w:iCs/>
          <w:sz w:val="22"/>
          <w:szCs w:val="22"/>
        </w:rPr>
        <w:fldChar w:fldCharType="separate"/>
      </w:r>
      <w:r w:rsidR="000B5169">
        <w:rPr>
          <w:rFonts w:ascii="Arial" w:hAnsi="Arial" w:cs="Arial"/>
          <w:b w:val="0"/>
          <w:iCs/>
          <w:noProof/>
          <w:sz w:val="22"/>
          <w:szCs w:val="22"/>
        </w:rPr>
        <w:t>9</w:t>
      </w:r>
      <w:r w:rsidR="00CB191B" w:rsidRPr="00D16F85">
        <w:rPr>
          <w:rFonts w:ascii="Arial" w:hAnsi="Arial" w:cs="Arial"/>
          <w:b w:val="0"/>
          <w:iCs/>
          <w:sz w:val="22"/>
          <w:szCs w:val="22"/>
        </w:rPr>
        <w:fldChar w:fldCharType="end"/>
      </w:r>
      <w:r w:rsidRPr="00D16F85">
        <w:rPr>
          <w:rFonts w:ascii="Arial" w:hAnsi="Arial" w:cs="Arial"/>
          <w:b w:val="0"/>
          <w:iCs/>
          <w:sz w:val="22"/>
          <w:szCs w:val="22"/>
        </w:rPr>
        <w:t xml:space="preserve">: </w:t>
      </w:r>
      <w:r>
        <w:rPr>
          <w:rFonts w:ascii="Arial" w:hAnsi="Arial" w:cs="Arial"/>
          <w:b w:val="0"/>
          <w:iCs/>
          <w:sz w:val="22"/>
          <w:szCs w:val="22"/>
        </w:rPr>
        <w:t>Outpatient h</w:t>
      </w:r>
      <w:r w:rsidRPr="00D16F85">
        <w:rPr>
          <w:rFonts w:ascii="Arial" w:hAnsi="Arial" w:cs="Arial"/>
          <w:b w:val="0"/>
          <w:iCs/>
          <w:sz w:val="22"/>
          <w:szCs w:val="22"/>
        </w:rPr>
        <w:t xml:space="preserve">ealth services utilization and health seeking behavior </w:t>
      </w:r>
      <w:r>
        <w:rPr>
          <w:rFonts w:ascii="Arial" w:hAnsi="Arial" w:cs="Arial"/>
          <w:b w:val="0"/>
          <w:iCs/>
          <w:sz w:val="22"/>
          <w:szCs w:val="22"/>
        </w:rPr>
        <w:t>by geographic regions, 2010-2012</w:t>
      </w:r>
      <w:bookmarkEnd w:id="29"/>
    </w:p>
    <w:tbl>
      <w:tblPr>
        <w:tblW w:w="9020" w:type="dxa"/>
        <w:tblInd w:w="93" w:type="dxa"/>
        <w:tblBorders>
          <w:top w:val="single" w:sz="4" w:space="0" w:color="auto"/>
          <w:bottom w:val="single" w:sz="4" w:space="0" w:color="auto"/>
        </w:tblBorders>
        <w:tblLayout w:type="fixed"/>
        <w:tblLook w:val="04A0" w:firstRow="1" w:lastRow="0" w:firstColumn="1" w:lastColumn="0" w:noHBand="0" w:noVBand="1"/>
      </w:tblPr>
      <w:tblGrid>
        <w:gridCol w:w="1905"/>
        <w:gridCol w:w="1475"/>
        <w:gridCol w:w="1170"/>
        <w:gridCol w:w="1260"/>
        <w:gridCol w:w="1090"/>
        <w:gridCol w:w="1070"/>
        <w:gridCol w:w="1050"/>
      </w:tblGrid>
      <w:tr w:rsidR="00790DA8" w:rsidRPr="00AD2D75" w14:paraId="73C29C1D" w14:textId="77777777" w:rsidTr="000B5169">
        <w:trPr>
          <w:trHeight w:val="240"/>
        </w:trPr>
        <w:tc>
          <w:tcPr>
            <w:tcW w:w="1905" w:type="dxa"/>
            <w:shd w:val="clear" w:color="auto" w:fill="auto"/>
            <w:noWrap/>
            <w:vAlign w:val="bottom"/>
            <w:hideMark/>
          </w:tcPr>
          <w:p w14:paraId="4ED6036D" w14:textId="348F3505" w:rsidR="00790DA8" w:rsidRPr="00EE4084" w:rsidRDefault="000B5169" w:rsidP="00790DA8">
            <w:pPr>
              <w:rPr>
                <w:rFonts w:ascii="Arial Narrow" w:hAnsi="Arial Narrow" w:cs="Arial"/>
                <w:sz w:val="22"/>
                <w:szCs w:val="22"/>
              </w:rPr>
            </w:pPr>
            <w:r>
              <w:rPr>
                <w:rFonts w:ascii="Arial Narrow" w:hAnsi="Arial Narrow" w:cs="Arial"/>
                <w:sz w:val="22"/>
                <w:szCs w:val="22"/>
              </w:rPr>
              <w:t>Geographic r</w:t>
            </w:r>
            <w:r w:rsidR="00790DA8" w:rsidRPr="00EE4084">
              <w:rPr>
                <w:rFonts w:ascii="Arial Narrow" w:hAnsi="Arial Narrow" w:cs="Arial"/>
                <w:sz w:val="22"/>
                <w:szCs w:val="22"/>
              </w:rPr>
              <w:t>egions</w:t>
            </w:r>
          </w:p>
        </w:tc>
        <w:tc>
          <w:tcPr>
            <w:tcW w:w="2645" w:type="dxa"/>
            <w:gridSpan w:val="2"/>
            <w:tcBorders>
              <w:top w:val="single" w:sz="4" w:space="0" w:color="auto"/>
              <w:bottom w:val="single" w:sz="4" w:space="0" w:color="auto"/>
            </w:tcBorders>
            <w:shd w:val="clear" w:color="auto" w:fill="auto"/>
            <w:noWrap/>
            <w:vAlign w:val="bottom"/>
            <w:hideMark/>
          </w:tcPr>
          <w:p w14:paraId="034E49E3" w14:textId="77777777" w:rsidR="00790DA8" w:rsidRPr="000B5169" w:rsidRDefault="00790DA8" w:rsidP="00790DA8">
            <w:pPr>
              <w:jc w:val="center"/>
              <w:rPr>
                <w:rFonts w:ascii="Arial Narrow" w:hAnsi="Arial Narrow" w:cs="Arial"/>
                <w:b/>
                <w:sz w:val="22"/>
                <w:szCs w:val="22"/>
              </w:rPr>
            </w:pPr>
            <w:r w:rsidRPr="000B5169">
              <w:rPr>
                <w:rFonts w:ascii="Arial Narrow" w:hAnsi="Arial Narrow" w:cs="Arial"/>
                <w:b/>
                <w:sz w:val="22"/>
                <w:szCs w:val="22"/>
              </w:rPr>
              <w:t>2010</w:t>
            </w:r>
          </w:p>
        </w:tc>
        <w:tc>
          <w:tcPr>
            <w:tcW w:w="2350" w:type="dxa"/>
            <w:gridSpan w:val="2"/>
            <w:tcBorders>
              <w:top w:val="single" w:sz="4" w:space="0" w:color="auto"/>
              <w:bottom w:val="single" w:sz="4" w:space="0" w:color="auto"/>
            </w:tcBorders>
            <w:shd w:val="clear" w:color="auto" w:fill="auto"/>
            <w:noWrap/>
            <w:vAlign w:val="bottom"/>
            <w:hideMark/>
          </w:tcPr>
          <w:p w14:paraId="6D754268" w14:textId="77777777" w:rsidR="00790DA8" w:rsidRPr="000B5169" w:rsidRDefault="00790DA8" w:rsidP="00790DA8">
            <w:pPr>
              <w:jc w:val="center"/>
              <w:rPr>
                <w:rFonts w:ascii="Arial Narrow" w:hAnsi="Arial Narrow" w:cs="Arial"/>
                <w:b/>
                <w:sz w:val="22"/>
                <w:szCs w:val="22"/>
              </w:rPr>
            </w:pPr>
            <w:r w:rsidRPr="000B5169">
              <w:rPr>
                <w:rFonts w:ascii="Arial Narrow" w:hAnsi="Arial Narrow" w:cs="Arial"/>
                <w:b/>
                <w:sz w:val="22"/>
                <w:szCs w:val="22"/>
              </w:rPr>
              <w:t>2011</w:t>
            </w:r>
          </w:p>
        </w:tc>
        <w:tc>
          <w:tcPr>
            <w:tcW w:w="2120" w:type="dxa"/>
            <w:gridSpan w:val="2"/>
            <w:tcBorders>
              <w:top w:val="single" w:sz="4" w:space="0" w:color="auto"/>
              <w:bottom w:val="single" w:sz="4" w:space="0" w:color="auto"/>
            </w:tcBorders>
            <w:shd w:val="clear" w:color="auto" w:fill="auto"/>
            <w:noWrap/>
            <w:vAlign w:val="bottom"/>
            <w:hideMark/>
          </w:tcPr>
          <w:p w14:paraId="468191C9" w14:textId="77777777" w:rsidR="00790DA8" w:rsidRPr="000B5169" w:rsidRDefault="00790DA8" w:rsidP="00790DA8">
            <w:pPr>
              <w:jc w:val="center"/>
              <w:rPr>
                <w:rFonts w:ascii="Arial Narrow" w:hAnsi="Arial Narrow" w:cs="Arial"/>
                <w:b/>
                <w:sz w:val="22"/>
                <w:szCs w:val="22"/>
              </w:rPr>
            </w:pPr>
            <w:r w:rsidRPr="000B5169">
              <w:rPr>
                <w:rFonts w:ascii="Arial Narrow" w:hAnsi="Arial Narrow" w:cs="Arial"/>
                <w:b/>
                <w:sz w:val="22"/>
                <w:szCs w:val="22"/>
              </w:rPr>
              <w:t>2012</w:t>
            </w:r>
          </w:p>
        </w:tc>
      </w:tr>
      <w:tr w:rsidR="00790DA8" w:rsidRPr="00AD2D75" w14:paraId="3168AD50" w14:textId="77777777" w:rsidTr="000B5169">
        <w:trPr>
          <w:trHeight w:val="240"/>
        </w:trPr>
        <w:tc>
          <w:tcPr>
            <w:tcW w:w="1905" w:type="dxa"/>
            <w:tcBorders>
              <w:bottom w:val="single" w:sz="4" w:space="0" w:color="auto"/>
            </w:tcBorders>
            <w:shd w:val="clear" w:color="auto" w:fill="auto"/>
            <w:noWrap/>
            <w:vAlign w:val="bottom"/>
            <w:hideMark/>
          </w:tcPr>
          <w:p w14:paraId="0BEC0B69" w14:textId="77777777" w:rsidR="00790DA8" w:rsidRPr="00EE4084" w:rsidRDefault="00790DA8" w:rsidP="00790DA8">
            <w:pPr>
              <w:rPr>
                <w:rFonts w:ascii="Arial Narrow" w:hAnsi="Arial Narrow" w:cs="Arial"/>
                <w:sz w:val="22"/>
                <w:szCs w:val="22"/>
              </w:rPr>
            </w:pPr>
          </w:p>
        </w:tc>
        <w:tc>
          <w:tcPr>
            <w:tcW w:w="1475" w:type="dxa"/>
            <w:tcBorders>
              <w:top w:val="single" w:sz="4" w:space="0" w:color="auto"/>
              <w:bottom w:val="single" w:sz="4" w:space="0" w:color="auto"/>
            </w:tcBorders>
            <w:shd w:val="clear" w:color="auto" w:fill="auto"/>
            <w:noWrap/>
            <w:hideMark/>
          </w:tcPr>
          <w:p w14:paraId="72A14407" w14:textId="77777777" w:rsidR="00EE4084" w:rsidRDefault="00790DA8" w:rsidP="00AD2D75">
            <w:pPr>
              <w:jc w:val="center"/>
              <w:rPr>
                <w:rFonts w:ascii="Arial Narrow" w:hAnsi="Arial Narrow" w:cs="Arial"/>
                <w:sz w:val="22"/>
                <w:szCs w:val="22"/>
              </w:rPr>
            </w:pPr>
            <w:proofErr w:type="gramStart"/>
            <w:r w:rsidRPr="00EE4084">
              <w:rPr>
                <w:rFonts w:ascii="Arial Narrow" w:hAnsi="Arial Narrow" w:cs="Arial"/>
                <w:sz w:val="22"/>
                <w:szCs w:val="22"/>
              </w:rPr>
              <w:t>reported</w:t>
            </w:r>
            <w:proofErr w:type="gramEnd"/>
            <w:r w:rsidRPr="00EE4084">
              <w:rPr>
                <w:rFonts w:ascii="Arial Narrow" w:hAnsi="Arial Narrow" w:cs="Arial"/>
                <w:sz w:val="22"/>
                <w:szCs w:val="22"/>
              </w:rPr>
              <w:t xml:space="preserve"> </w:t>
            </w:r>
          </w:p>
          <w:p w14:paraId="797E6CD2" w14:textId="2FBBB881" w:rsidR="00790DA8" w:rsidRPr="00EE4084" w:rsidRDefault="00790DA8" w:rsidP="00AD2D75">
            <w:pPr>
              <w:jc w:val="center"/>
              <w:rPr>
                <w:rFonts w:ascii="Arial Narrow" w:hAnsi="Arial Narrow" w:cs="Arial"/>
                <w:sz w:val="22"/>
                <w:szCs w:val="22"/>
              </w:rPr>
            </w:pPr>
            <w:proofErr w:type="gramStart"/>
            <w:r w:rsidRPr="00EE4084">
              <w:rPr>
                <w:rFonts w:ascii="Arial Narrow" w:hAnsi="Arial Narrow" w:cs="Arial"/>
                <w:sz w:val="22"/>
                <w:szCs w:val="22"/>
              </w:rPr>
              <w:t>illness</w:t>
            </w:r>
            <w:proofErr w:type="gramEnd"/>
          </w:p>
        </w:tc>
        <w:tc>
          <w:tcPr>
            <w:tcW w:w="1170" w:type="dxa"/>
            <w:tcBorders>
              <w:top w:val="single" w:sz="4" w:space="0" w:color="auto"/>
              <w:bottom w:val="single" w:sz="4" w:space="0" w:color="auto"/>
            </w:tcBorders>
            <w:shd w:val="clear" w:color="auto" w:fill="auto"/>
            <w:noWrap/>
            <w:hideMark/>
          </w:tcPr>
          <w:p w14:paraId="02219E8B" w14:textId="77777777" w:rsidR="00790DA8" w:rsidRPr="00EE4084" w:rsidRDefault="00790DA8" w:rsidP="00AD2D75">
            <w:pPr>
              <w:jc w:val="center"/>
              <w:rPr>
                <w:rFonts w:ascii="Arial Narrow" w:hAnsi="Arial Narrow" w:cs="Arial"/>
                <w:sz w:val="22"/>
                <w:szCs w:val="22"/>
              </w:rPr>
            </w:pPr>
            <w:proofErr w:type="gramStart"/>
            <w:r w:rsidRPr="00EE4084">
              <w:rPr>
                <w:rFonts w:ascii="Arial Narrow" w:hAnsi="Arial Narrow" w:cs="Arial"/>
                <w:sz w:val="22"/>
                <w:szCs w:val="22"/>
              </w:rPr>
              <w:t>utilization</w:t>
            </w:r>
            <w:proofErr w:type="gramEnd"/>
          </w:p>
        </w:tc>
        <w:tc>
          <w:tcPr>
            <w:tcW w:w="1260" w:type="dxa"/>
            <w:tcBorders>
              <w:top w:val="single" w:sz="4" w:space="0" w:color="auto"/>
              <w:bottom w:val="single" w:sz="4" w:space="0" w:color="auto"/>
            </w:tcBorders>
            <w:shd w:val="clear" w:color="auto" w:fill="auto"/>
            <w:noWrap/>
            <w:hideMark/>
          </w:tcPr>
          <w:p w14:paraId="5ECBDD7C" w14:textId="77777777" w:rsidR="00790DA8" w:rsidRPr="00EE4084" w:rsidRDefault="00790DA8" w:rsidP="00AD2D75">
            <w:pPr>
              <w:jc w:val="center"/>
              <w:rPr>
                <w:rFonts w:ascii="Arial Narrow" w:hAnsi="Arial Narrow" w:cs="Arial"/>
                <w:sz w:val="22"/>
                <w:szCs w:val="22"/>
              </w:rPr>
            </w:pPr>
            <w:proofErr w:type="gramStart"/>
            <w:r w:rsidRPr="00EE4084">
              <w:rPr>
                <w:rFonts w:ascii="Arial Narrow" w:hAnsi="Arial Narrow" w:cs="Arial"/>
                <w:sz w:val="22"/>
                <w:szCs w:val="22"/>
              </w:rPr>
              <w:t>reported</w:t>
            </w:r>
            <w:proofErr w:type="gramEnd"/>
            <w:r w:rsidRPr="00EE4084">
              <w:rPr>
                <w:rFonts w:ascii="Arial Narrow" w:hAnsi="Arial Narrow" w:cs="Arial"/>
                <w:sz w:val="22"/>
                <w:szCs w:val="22"/>
              </w:rPr>
              <w:t xml:space="preserve"> illness</w:t>
            </w:r>
          </w:p>
        </w:tc>
        <w:tc>
          <w:tcPr>
            <w:tcW w:w="1090" w:type="dxa"/>
            <w:tcBorders>
              <w:top w:val="single" w:sz="4" w:space="0" w:color="auto"/>
              <w:bottom w:val="single" w:sz="4" w:space="0" w:color="auto"/>
            </w:tcBorders>
            <w:shd w:val="clear" w:color="auto" w:fill="auto"/>
            <w:noWrap/>
            <w:hideMark/>
          </w:tcPr>
          <w:p w14:paraId="4DFCD795" w14:textId="77777777" w:rsidR="00790DA8" w:rsidRPr="00EE4084" w:rsidRDefault="00790DA8" w:rsidP="00AD2D75">
            <w:pPr>
              <w:jc w:val="center"/>
              <w:rPr>
                <w:rFonts w:ascii="Arial Narrow" w:hAnsi="Arial Narrow" w:cs="Arial"/>
                <w:sz w:val="22"/>
                <w:szCs w:val="22"/>
              </w:rPr>
            </w:pPr>
            <w:proofErr w:type="gramStart"/>
            <w:r w:rsidRPr="00EE4084">
              <w:rPr>
                <w:rFonts w:ascii="Arial Narrow" w:hAnsi="Arial Narrow" w:cs="Arial"/>
                <w:sz w:val="22"/>
                <w:szCs w:val="22"/>
              </w:rPr>
              <w:t>utilization</w:t>
            </w:r>
            <w:proofErr w:type="gramEnd"/>
          </w:p>
        </w:tc>
        <w:tc>
          <w:tcPr>
            <w:tcW w:w="1070" w:type="dxa"/>
            <w:tcBorders>
              <w:top w:val="single" w:sz="4" w:space="0" w:color="auto"/>
              <w:bottom w:val="single" w:sz="4" w:space="0" w:color="auto"/>
            </w:tcBorders>
            <w:shd w:val="clear" w:color="auto" w:fill="auto"/>
            <w:noWrap/>
            <w:hideMark/>
          </w:tcPr>
          <w:p w14:paraId="77E7516F" w14:textId="77777777" w:rsidR="00790DA8" w:rsidRPr="00EE4084" w:rsidRDefault="00790DA8" w:rsidP="00AD2D75">
            <w:pPr>
              <w:jc w:val="center"/>
              <w:rPr>
                <w:rFonts w:ascii="Arial Narrow" w:hAnsi="Arial Narrow" w:cs="Arial"/>
                <w:sz w:val="22"/>
                <w:szCs w:val="22"/>
              </w:rPr>
            </w:pPr>
            <w:proofErr w:type="gramStart"/>
            <w:r w:rsidRPr="00EE4084">
              <w:rPr>
                <w:rFonts w:ascii="Arial Narrow" w:hAnsi="Arial Narrow" w:cs="Arial"/>
                <w:sz w:val="22"/>
                <w:szCs w:val="22"/>
              </w:rPr>
              <w:t>reported</w:t>
            </w:r>
            <w:proofErr w:type="gramEnd"/>
            <w:r w:rsidRPr="00EE4084">
              <w:rPr>
                <w:rFonts w:ascii="Arial Narrow" w:hAnsi="Arial Narrow" w:cs="Arial"/>
                <w:sz w:val="22"/>
                <w:szCs w:val="22"/>
              </w:rPr>
              <w:t xml:space="preserve"> illness</w:t>
            </w:r>
          </w:p>
        </w:tc>
        <w:tc>
          <w:tcPr>
            <w:tcW w:w="1050" w:type="dxa"/>
            <w:tcBorders>
              <w:top w:val="single" w:sz="4" w:space="0" w:color="auto"/>
              <w:bottom w:val="single" w:sz="4" w:space="0" w:color="auto"/>
            </w:tcBorders>
            <w:shd w:val="clear" w:color="auto" w:fill="auto"/>
            <w:noWrap/>
            <w:hideMark/>
          </w:tcPr>
          <w:p w14:paraId="002BF528" w14:textId="77777777" w:rsidR="00790DA8" w:rsidRPr="00EE4084" w:rsidRDefault="00790DA8" w:rsidP="00AD2D75">
            <w:pPr>
              <w:jc w:val="center"/>
              <w:rPr>
                <w:rFonts w:ascii="Arial Narrow" w:hAnsi="Arial Narrow" w:cs="Arial"/>
                <w:sz w:val="22"/>
                <w:szCs w:val="22"/>
              </w:rPr>
            </w:pPr>
            <w:proofErr w:type="gramStart"/>
            <w:r w:rsidRPr="00EE4084">
              <w:rPr>
                <w:rFonts w:ascii="Arial Narrow" w:hAnsi="Arial Narrow" w:cs="Arial"/>
                <w:sz w:val="22"/>
                <w:szCs w:val="22"/>
              </w:rPr>
              <w:t>utilization</w:t>
            </w:r>
            <w:proofErr w:type="gramEnd"/>
          </w:p>
        </w:tc>
      </w:tr>
      <w:tr w:rsidR="00790DA8" w:rsidRPr="00AD2D75" w14:paraId="659AEDB3" w14:textId="77777777" w:rsidTr="000B5169">
        <w:trPr>
          <w:trHeight w:val="240"/>
        </w:trPr>
        <w:tc>
          <w:tcPr>
            <w:tcW w:w="1905" w:type="dxa"/>
            <w:tcBorders>
              <w:top w:val="single" w:sz="4" w:space="0" w:color="auto"/>
            </w:tcBorders>
            <w:shd w:val="clear" w:color="auto" w:fill="auto"/>
            <w:noWrap/>
            <w:vAlign w:val="bottom"/>
            <w:hideMark/>
          </w:tcPr>
          <w:p w14:paraId="17CDAF3B" w14:textId="77777777" w:rsidR="00790DA8" w:rsidRPr="00EE4084" w:rsidRDefault="00790DA8" w:rsidP="00790DA8">
            <w:pPr>
              <w:rPr>
                <w:rFonts w:ascii="Arial Narrow" w:hAnsi="Arial Narrow" w:cs="Arial"/>
                <w:sz w:val="22"/>
                <w:szCs w:val="22"/>
              </w:rPr>
            </w:pPr>
            <w:r w:rsidRPr="00EE4084">
              <w:rPr>
                <w:rFonts w:ascii="Arial Narrow" w:hAnsi="Arial Narrow" w:cs="Arial"/>
                <w:sz w:val="22"/>
                <w:szCs w:val="22"/>
              </w:rPr>
              <w:t>West</w:t>
            </w:r>
          </w:p>
        </w:tc>
        <w:tc>
          <w:tcPr>
            <w:tcW w:w="1475" w:type="dxa"/>
            <w:tcBorders>
              <w:top w:val="single" w:sz="4" w:space="0" w:color="auto"/>
            </w:tcBorders>
            <w:shd w:val="clear" w:color="auto" w:fill="auto"/>
            <w:noWrap/>
            <w:vAlign w:val="bottom"/>
            <w:hideMark/>
          </w:tcPr>
          <w:p w14:paraId="48C83224"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5%</w:t>
            </w:r>
          </w:p>
        </w:tc>
        <w:tc>
          <w:tcPr>
            <w:tcW w:w="1170" w:type="dxa"/>
            <w:tcBorders>
              <w:top w:val="single" w:sz="4" w:space="0" w:color="auto"/>
            </w:tcBorders>
            <w:shd w:val="clear" w:color="auto" w:fill="auto"/>
            <w:noWrap/>
            <w:vAlign w:val="bottom"/>
            <w:hideMark/>
          </w:tcPr>
          <w:p w14:paraId="43386266"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82%</w:t>
            </w:r>
          </w:p>
        </w:tc>
        <w:tc>
          <w:tcPr>
            <w:tcW w:w="1260" w:type="dxa"/>
            <w:tcBorders>
              <w:top w:val="single" w:sz="4" w:space="0" w:color="auto"/>
            </w:tcBorders>
            <w:shd w:val="clear" w:color="auto" w:fill="auto"/>
            <w:noWrap/>
            <w:vAlign w:val="bottom"/>
            <w:hideMark/>
          </w:tcPr>
          <w:p w14:paraId="6523BC4B"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5%</w:t>
            </w:r>
          </w:p>
        </w:tc>
        <w:tc>
          <w:tcPr>
            <w:tcW w:w="1090" w:type="dxa"/>
            <w:tcBorders>
              <w:top w:val="single" w:sz="4" w:space="0" w:color="auto"/>
            </w:tcBorders>
            <w:shd w:val="clear" w:color="auto" w:fill="auto"/>
            <w:noWrap/>
            <w:vAlign w:val="bottom"/>
            <w:hideMark/>
          </w:tcPr>
          <w:p w14:paraId="26FB6FE6"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75%</w:t>
            </w:r>
          </w:p>
        </w:tc>
        <w:tc>
          <w:tcPr>
            <w:tcW w:w="1070" w:type="dxa"/>
            <w:tcBorders>
              <w:top w:val="single" w:sz="4" w:space="0" w:color="auto"/>
            </w:tcBorders>
            <w:shd w:val="clear" w:color="auto" w:fill="auto"/>
            <w:noWrap/>
            <w:vAlign w:val="bottom"/>
            <w:hideMark/>
          </w:tcPr>
          <w:p w14:paraId="17009E8D"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6%</w:t>
            </w:r>
          </w:p>
        </w:tc>
        <w:tc>
          <w:tcPr>
            <w:tcW w:w="1050" w:type="dxa"/>
            <w:tcBorders>
              <w:top w:val="single" w:sz="4" w:space="0" w:color="auto"/>
            </w:tcBorders>
            <w:shd w:val="clear" w:color="auto" w:fill="auto"/>
            <w:noWrap/>
            <w:vAlign w:val="bottom"/>
            <w:hideMark/>
          </w:tcPr>
          <w:p w14:paraId="0DCF5274"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76%</w:t>
            </w:r>
          </w:p>
        </w:tc>
      </w:tr>
      <w:tr w:rsidR="00790DA8" w:rsidRPr="00AD2D75" w14:paraId="489788BA" w14:textId="77777777" w:rsidTr="000B5169">
        <w:trPr>
          <w:trHeight w:val="240"/>
        </w:trPr>
        <w:tc>
          <w:tcPr>
            <w:tcW w:w="1905" w:type="dxa"/>
            <w:shd w:val="clear" w:color="auto" w:fill="auto"/>
            <w:noWrap/>
            <w:vAlign w:val="bottom"/>
            <w:hideMark/>
          </w:tcPr>
          <w:p w14:paraId="039DE9C3" w14:textId="77777777" w:rsidR="00790DA8" w:rsidRPr="00EE4084" w:rsidRDefault="00790DA8" w:rsidP="00790DA8">
            <w:pPr>
              <w:rPr>
                <w:rFonts w:ascii="Arial Narrow" w:hAnsi="Arial Narrow" w:cs="Arial"/>
                <w:sz w:val="22"/>
                <w:szCs w:val="22"/>
              </w:rPr>
            </w:pPr>
            <w:r w:rsidRPr="00EE4084">
              <w:rPr>
                <w:rFonts w:ascii="Arial Narrow" w:hAnsi="Arial Narrow" w:cs="Arial"/>
                <w:sz w:val="22"/>
                <w:szCs w:val="22"/>
              </w:rPr>
              <w:t>Highlands</w:t>
            </w:r>
          </w:p>
        </w:tc>
        <w:tc>
          <w:tcPr>
            <w:tcW w:w="1475" w:type="dxa"/>
            <w:shd w:val="clear" w:color="auto" w:fill="auto"/>
            <w:noWrap/>
            <w:vAlign w:val="bottom"/>
            <w:hideMark/>
          </w:tcPr>
          <w:p w14:paraId="5C1D895F"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7%</w:t>
            </w:r>
          </w:p>
        </w:tc>
        <w:tc>
          <w:tcPr>
            <w:tcW w:w="1170" w:type="dxa"/>
            <w:shd w:val="clear" w:color="auto" w:fill="auto"/>
            <w:noWrap/>
            <w:vAlign w:val="bottom"/>
            <w:hideMark/>
          </w:tcPr>
          <w:p w14:paraId="742BEFCE"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65%</w:t>
            </w:r>
          </w:p>
        </w:tc>
        <w:tc>
          <w:tcPr>
            <w:tcW w:w="1260" w:type="dxa"/>
            <w:shd w:val="clear" w:color="auto" w:fill="auto"/>
            <w:noWrap/>
            <w:vAlign w:val="bottom"/>
            <w:hideMark/>
          </w:tcPr>
          <w:p w14:paraId="549B9A0F"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6%</w:t>
            </w:r>
          </w:p>
        </w:tc>
        <w:tc>
          <w:tcPr>
            <w:tcW w:w="1090" w:type="dxa"/>
            <w:shd w:val="clear" w:color="auto" w:fill="auto"/>
            <w:noWrap/>
            <w:vAlign w:val="bottom"/>
            <w:hideMark/>
          </w:tcPr>
          <w:p w14:paraId="707224C3"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75%</w:t>
            </w:r>
          </w:p>
        </w:tc>
        <w:tc>
          <w:tcPr>
            <w:tcW w:w="1070" w:type="dxa"/>
            <w:shd w:val="clear" w:color="auto" w:fill="auto"/>
            <w:noWrap/>
            <w:vAlign w:val="bottom"/>
            <w:hideMark/>
          </w:tcPr>
          <w:p w14:paraId="65F93B95"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5%</w:t>
            </w:r>
          </w:p>
        </w:tc>
        <w:tc>
          <w:tcPr>
            <w:tcW w:w="1050" w:type="dxa"/>
            <w:shd w:val="clear" w:color="auto" w:fill="auto"/>
            <w:noWrap/>
            <w:vAlign w:val="bottom"/>
            <w:hideMark/>
          </w:tcPr>
          <w:p w14:paraId="256FAEF4"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76%</w:t>
            </w:r>
          </w:p>
        </w:tc>
      </w:tr>
      <w:tr w:rsidR="00790DA8" w:rsidRPr="00AD2D75" w14:paraId="0988EBF2" w14:textId="77777777" w:rsidTr="000B5169">
        <w:trPr>
          <w:trHeight w:val="240"/>
        </w:trPr>
        <w:tc>
          <w:tcPr>
            <w:tcW w:w="1905" w:type="dxa"/>
            <w:shd w:val="clear" w:color="auto" w:fill="auto"/>
            <w:noWrap/>
            <w:vAlign w:val="bottom"/>
            <w:hideMark/>
          </w:tcPr>
          <w:p w14:paraId="78652959" w14:textId="77777777" w:rsidR="00790DA8" w:rsidRPr="00EE4084" w:rsidRDefault="00790DA8" w:rsidP="00790DA8">
            <w:pPr>
              <w:rPr>
                <w:rFonts w:ascii="Arial Narrow" w:hAnsi="Arial Narrow" w:cs="Arial"/>
                <w:sz w:val="22"/>
                <w:szCs w:val="22"/>
              </w:rPr>
            </w:pPr>
            <w:r w:rsidRPr="00EE4084">
              <w:rPr>
                <w:rFonts w:ascii="Arial Narrow" w:hAnsi="Arial Narrow" w:cs="Arial"/>
                <w:sz w:val="22"/>
                <w:szCs w:val="22"/>
              </w:rPr>
              <w:t>Central</w:t>
            </w:r>
          </w:p>
        </w:tc>
        <w:tc>
          <w:tcPr>
            <w:tcW w:w="1475" w:type="dxa"/>
            <w:shd w:val="clear" w:color="auto" w:fill="auto"/>
            <w:noWrap/>
            <w:vAlign w:val="bottom"/>
            <w:hideMark/>
          </w:tcPr>
          <w:p w14:paraId="5BF03D1B"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9%</w:t>
            </w:r>
          </w:p>
        </w:tc>
        <w:tc>
          <w:tcPr>
            <w:tcW w:w="1170" w:type="dxa"/>
            <w:shd w:val="clear" w:color="auto" w:fill="auto"/>
            <w:noWrap/>
            <w:vAlign w:val="bottom"/>
            <w:hideMark/>
          </w:tcPr>
          <w:p w14:paraId="2A6525BA"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84%</w:t>
            </w:r>
          </w:p>
        </w:tc>
        <w:tc>
          <w:tcPr>
            <w:tcW w:w="1260" w:type="dxa"/>
            <w:shd w:val="clear" w:color="auto" w:fill="auto"/>
            <w:noWrap/>
            <w:vAlign w:val="bottom"/>
            <w:hideMark/>
          </w:tcPr>
          <w:p w14:paraId="05652026"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8%</w:t>
            </w:r>
          </w:p>
        </w:tc>
        <w:tc>
          <w:tcPr>
            <w:tcW w:w="1090" w:type="dxa"/>
            <w:shd w:val="clear" w:color="auto" w:fill="auto"/>
            <w:noWrap/>
            <w:vAlign w:val="bottom"/>
            <w:hideMark/>
          </w:tcPr>
          <w:p w14:paraId="138F0189"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81%</w:t>
            </w:r>
          </w:p>
        </w:tc>
        <w:tc>
          <w:tcPr>
            <w:tcW w:w="1070" w:type="dxa"/>
            <w:shd w:val="clear" w:color="auto" w:fill="auto"/>
            <w:noWrap/>
            <w:vAlign w:val="bottom"/>
            <w:hideMark/>
          </w:tcPr>
          <w:p w14:paraId="703AB34B"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7%</w:t>
            </w:r>
          </w:p>
        </w:tc>
        <w:tc>
          <w:tcPr>
            <w:tcW w:w="1050" w:type="dxa"/>
            <w:shd w:val="clear" w:color="auto" w:fill="auto"/>
            <w:noWrap/>
            <w:vAlign w:val="bottom"/>
            <w:hideMark/>
          </w:tcPr>
          <w:p w14:paraId="16FD2BE0"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88%</w:t>
            </w:r>
          </w:p>
        </w:tc>
      </w:tr>
      <w:tr w:rsidR="00790DA8" w:rsidRPr="00AD2D75" w14:paraId="515FD290" w14:textId="77777777" w:rsidTr="000B5169">
        <w:trPr>
          <w:trHeight w:val="240"/>
        </w:trPr>
        <w:tc>
          <w:tcPr>
            <w:tcW w:w="1905" w:type="dxa"/>
            <w:shd w:val="clear" w:color="auto" w:fill="auto"/>
            <w:noWrap/>
            <w:vAlign w:val="bottom"/>
            <w:hideMark/>
          </w:tcPr>
          <w:p w14:paraId="64D065E6" w14:textId="77777777" w:rsidR="00790DA8" w:rsidRPr="00EE4084" w:rsidRDefault="00790DA8" w:rsidP="00790DA8">
            <w:pPr>
              <w:rPr>
                <w:rFonts w:ascii="Arial Narrow" w:hAnsi="Arial Narrow" w:cs="Arial"/>
                <w:sz w:val="22"/>
                <w:szCs w:val="22"/>
              </w:rPr>
            </w:pPr>
            <w:r w:rsidRPr="00EE4084">
              <w:rPr>
                <w:rFonts w:ascii="Arial Narrow" w:hAnsi="Arial Narrow" w:cs="Arial"/>
                <w:sz w:val="22"/>
                <w:szCs w:val="22"/>
              </w:rPr>
              <w:t>East</w:t>
            </w:r>
          </w:p>
        </w:tc>
        <w:tc>
          <w:tcPr>
            <w:tcW w:w="1475" w:type="dxa"/>
            <w:shd w:val="clear" w:color="auto" w:fill="auto"/>
            <w:noWrap/>
            <w:vAlign w:val="bottom"/>
            <w:hideMark/>
          </w:tcPr>
          <w:p w14:paraId="29E2113B"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9%</w:t>
            </w:r>
          </w:p>
        </w:tc>
        <w:tc>
          <w:tcPr>
            <w:tcW w:w="1170" w:type="dxa"/>
            <w:shd w:val="clear" w:color="auto" w:fill="auto"/>
            <w:noWrap/>
            <w:vAlign w:val="bottom"/>
            <w:hideMark/>
          </w:tcPr>
          <w:p w14:paraId="60BBD4C1"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85%</w:t>
            </w:r>
          </w:p>
        </w:tc>
        <w:tc>
          <w:tcPr>
            <w:tcW w:w="1260" w:type="dxa"/>
            <w:shd w:val="clear" w:color="auto" w:fill="auto"/>
            <w:noWrap/>
            <w:vAlign w:val="bottom"/>
            <w:hideMark/>
          </w:tcPr>
          <w:p w14:paraId="20DDE587"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8%</w:t>
            </w:r>
          </w:p>
        </w:tc>
        <w:tc>
          <w:tcPr>
            <w:tcW w:w="1090" w:type="dxa"/>
            <w:shd w:val="clear" w:color="auto" w:fill="auto"/>
            <w:noWrap/>
            <w:vAlign w:val="bottom"/>
            <w:hideMark/>
          </w:tcPr>
          <w:p w14:paraId="7BBB37B8"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89%</w:t>
            </w:r>
          </w:p>
        </w:tc>
        <w:tc>
          <w:tcPr>
            <w:tcW w:w="1070" w:type="dxa"/>
            <w:shd w:val="clear" w:color="auto" w:fill="auto"/>
            <w:noWrap/>
            <w:vAlign w:val="bottom"/>
            <w:hideMark/>
          </w:tcPr>
          <w:p w14:paraId="58557937"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8%</w:t>
            </w:r>
          </w:p>
        </w:tc>
        <w:tc>
          <w:tcPr>
            <w:tcW w:w="1050" w:type="dxa"/>
            <w:shd w:val="clear" w:color="auto" w:fill="auto"/>
            <w:noWrap/>
            <w:vAlign w:val="bottom"/>
            <w:hideMark/>
          </w:tcPr>
          <w:p w14:paraId="6218180F"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84%</w:t>
            </w:r>
          </w:p>
        </w:tc>
      </w:tr>
      <w:tr w:rsidR="00790DA8" w:rsidRPr="00AD2D75" w14:paraId="4AC91687" w14:textId="77777777" w:rsidTr="000B5169">
        <w:trPr>
          <w:trHeight w:val="240"/>
        </w:trPr>
        <w:tc>
          <w:tcPr>
            <w:tcW w:w="1905" w:type="dxa"/>
            <w:tcBorders>
              <w:bottom w:val="single" w:sz="4" w:space="0" w:color="auto"/>
            </w:tcBorders>
            <w:shd w:val="clear" w:color="auto" w:fill="auto"/>
            <w:noWrap/>
            <w:vAlign w:val="bottom"/>
            <w:hideMark/>
          </w:tcPr>
          <w:p w14:paraId="641DB35B" w14:textId="77777777" w:rsidR="00790DA8" w:rsidRPr="00EE4084" w:rsidRDefault="00790DA8" w:rsidP="00790DA8">
            <w:pPr>
              <w:rPr>
                <w:rFonts w:ascii="Arial Narrow" w:hAnsi="Arial Narrow" w:cs="Arial"/>
                <w:sz w:val="22"/>
                <w:szCs w:val="22"/>
              </w:rPr>
            </w:pPr>
            <w:r w:rsidRPr="00EE4084">
              <w:rPr>
                <w:rFonts w:ascii="Arial Narrow" w:hAnsi="Arial Narrow" w:cs="Arial"/>
                <w:sz w:val="22"/>
                <w:szCs w:val="22"/>
              </w:rPr>
              <w:t>Ulaanbaatar</w:t>
            </w:r>
          </w:p>
        </w:tc>
        <w:tc>
          <w:tcPr>
            <w:tcW w:w="1475" w:type="dxa"/>
            <w:tcBorders>
              <w:bottom w:val="single" w:sz="4" w:space="0" w:color="auto"/>
            </w:tcBorders>
            <w:shd w:val="clear" w:color="auto" w:fill="auto"/>
            <w:noWrap/>
            <w:vAlign w:val="bottom"/>
            <w:hideMark/>
          </w:tcPr>
          <w:p w14:paraId="62768A1D"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7%</w:t>
            </w:r>
          </w:p>
        </w:tc>
        <w:tc>
          <w:tcPr>
            <w:tcW w:w="1170" w:type="dxa"/>
            <w:tcBorders>
              <w:bottom w:val="single" w:sz="4" w:space="0" w:color="auto"/>
            </w:tcBorders>
            <w:shd w:val="clear" w:color="auto" w:fill="auto"/>
            <w:noWrap/>
            <w:vAlign w:val="bottom"/>
            <w:hideMark/>
          </w:tcPr>
          <w:p w14:paraId="789D757D"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80%</w:t>
            </w:r>
          </w:p>
        </w:tc>
        <w:tc>
          <w:tcPr>
            <w:tcW w:w="1260" w:type="dxa"/>
            <w:tcBorders>
              <w:bottom w:val="single" w:sz="4" w:space="0" w:color="auto"/>
            </w:tcBorders>
            <w:shd w:val="clear" w:color="auto" w:fill="auto"/>
            <w:noWrap/>
            <w:vAlign w:val="bottom"/>
            <w:hideMark/>
          </w:tcPr>
          <w:p w14:paraId="4BB13F62"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6%</w:t>
            </w:r>
          </w:p>
        </w:tc>
        <w:tc>
          <w:tcPr>
            <w:tcW w:w="1090" w:type="dxa"/>
            <w:tcBorders>
              <w:bottom w:val="single" w:sz="4" w:space="0" w:color="auto"/>
            </w:tcBorders>
            <w:shd w:val="clear" w:color="auto" w:fill="auto"/>
            <w:noWrap/>
            <w:vAlign w:val="bottom"/>
            <w:hideMark/>
          </w:tcPr>
          <w:p w14:paraId="69D97FEB"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77%</w:t>
            </w:r>
          </w:p>
        </w:tc>
        <w:tc>
          <w:tcPr>
            <w:tcW w:w="1070" w:type="dxa"/>
            <w:tcBorders>
              <w:bottom w:val="single" w:sz="4" w:space="0" w:color="auto"/>
            </w:tcBorders>
            <w:shd w:val="clear" w:color="auto" w:fill="auto"/>
            <w:noWrap/>
            <w:vAlign w:val="bottom"/>
            <w:hideMark/>
          </w:tcPr>
          <w:p w14:paraId="580D5B19"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7%</w:t>
            </w:r>
          </w:p>
        </w:tc>
        <w:tc>
          <w:tcPr>
            <w:tcW w:w="1050" w:type="dxa"/>
            <w:tcBorders>
              <w:bottom w:val="single" w:sz="4" w:space="0" w:color="auto"/>
            </w:tcBorders>
            <w:shd w:val="clear" w:color="auto" w:fill="auto"/>
            <w:noWrap/>
            <w:vAlign w:val="bottom"/>
            <w:hideMark/>
          </w:tcPr>
          <w:p w14:paraId="136CAA2C" w14:textId="77777777" w:rsidR="00790DA8" w:rsidRPr="00EE4084" w:rsidRDefault="00790DA8" w:rsidP="00790DA8">
            <w:pPr>
              <w:jc w:val="center"/>
              <w:rPr>
                <w:rFonts w:ascii="Arial Narrow" w:hAnsi="Arial Narrow" w:cs="Arial"/>
                <w:sz w:val="22"/>
                <w:szCs w:val="22"/>
              </w:rPr>
            </w:pPr>
            <w:r w:rsidRPr="00EE4084">
              <w:rPr>
                <w:rFonts w:ascii="Arial Narrow" w:hAnsi="Arial Narrow" w:cs="Arial"/>
                <w:sz w:val="22"/>
                <w:szCs w:val="22"/>
              </w:rPr>
              <w:t>77%</w:t>
            </w:r>
          </w:p>
        </w:tc>
      </w:tr>
      <w:tr w:rsidR="00790DA8" w:rsidRPr="000B5169" w14:paraId="1C6740B2" w14:textId="77777777" w:rsidTr="000B5169">
        <w:trPr>
          <w:trHeight w:val="240"/>
        </w:trPr>
        <w:tc>
          <w:tcPr>
            <w:tcW w:w="1905" w:type="dxa"/>
            <w:tcBorders>
              <w:top w:val="single" w:sz="4" w:space="0" w:color="auto"/>
              <w:bottom w:val="single" w:sz="4" w:space="0" w:color="auto"/>
            </w:tcBorders>
            <w:shd w:val="clear" w:color="auto" w:fill="auto"/>
            <w:noWrap/>
            <w:vAlign w:val="bottom"/>
            <w:hideMark/>
          </w:tcPr>
          <w:p w14:paraId="1F7209E5" w14:textId="77777777" w:rsidR="00790DA8" w:rsidRPr="000B5169" w:rsidRDefault="00790DA8" w:rsidP="00790DA8">
            <w:pPr>
              <w:rPr>
                <w:rFonts w:ascii="Arial Narrow" w:hAnsi="Arial Narrow" w:cs="Arial"/>
                <w:sz w:val="22"/>
                <w:szCs w:val="22"/>
              </w:rPr>
            </w:pPr>
            <w:r w:rsidRPr="000B5169">
              <w:rPr>
                <w:rFonts w:ascii="Arial Narrow" w:hAnsi="Arial Narrow" w:cs="Arial"/>
                <w:sz w:val="22"/>
                <w:szCs w:val="22"/>
              </w:rPr>
              <w:t>Total</w:t>
            </w:r>
          </w:p>
        </w:tc>
        <w:tc>
          <w:tcPr>
            <w:tcW w:w="1475" w:type="dxa"/>
            <w:tcBorders>
              <w:top w:val="single" w:sz="4" w:space="0" w:color="auto"/>
              <w:bottom w:val="single" w:sz="4" w:space="0" w:color="auto"/>
            </w:tcBorders>
            <w:shd w:val="clear" w:color="auto" w:fill="auto"/>
            <w:noWrap/>
            <w:vAlign w:val="bottom"/>
            <w:hideMark/>
          </w:tcPr>
          <w:p w14:paraId="74F2494A" w14:textId="77777777" w:rsidR="00790DA8" w:rsidRPr="000B5169" w:rsidRDefault="00790DA8" w:rsidP="00790DA8">
            <w:pPr>
              <w:jc w:val="center"/>
              <w:rPr>
                <w:rFonts w:ascii="Arial Narrow" w:hAnsi="Arial Narrow" w:cs="Arial"/>
                <w:sz w:val="22"/>
                <w:szCs w:val="22"/>
              </w:rPr>
            </w:pPr>
            <w:r w:rsidRPr="000B5169">
              <w:rPr>
                <w:rFonts w:ascii="Arial Narrow" w:hAnsi="Arial Narrow" w:cs="Arial"/>
                <w:sz w:val="22"/>
                <w:szCs w:val="22"/>
              </w:rPr>
              <w:t>7%</w:t>
            </w:r>
          </w:p>
        </w:tc>
        <w:tc>
          <w:tcPr>
            <w:tcW w:w="1170" w:type="dxa"/>
            <w:tcBorders>
              <w:top w:val="single" w:sz="4" w:space="0" w:color="auto"/>
              <w:bottom w:val="single" w:sz="4" w:space="0" w:color="auto"/>
            </w:tcBorders>
            <w:shd w:val="clear" w:color="auto" w:fill="auto"/>
            <w:noWrap/>
            <w:vAlign w:val="bottom"/>
            <w:hideMark/>
          </w:tcPr>
          <w:p w14:paraId="0DF29771" w14:textId="77777777" w:rsidR="00790DA8" w:rsidRPr="000B5169" w:rsidRDefault="00790DA8" w:rsidP="00790DA8">
            <w:pPr>
              <w:jc w:val="center"/>
              <w:rPr>
                <w:rFonts w:ascii="Arial Narrow" w:hAnsi="Arial Narrow" w:cs="Arial"/>
                <w:sz w:val="22"/>
                <w:szCs w:val="22"/>
              </w:rPr>
            </w:pPr>
            <w:r w:rsidRPr="000B5169">
              <w:rPr>
                <w:rFonts w:ascii="Arial Narrow" w:hAnsi="Arial Narrow" w:cs="Arial"/>
                <w:sz w:val="22"/>
                <w:szCs w:val="22"/>
              </w:rPr>
              <w:t>78%</w:t>
            </w:r>
          </w:p>
        </w:tc>
        <w:tc>
          <w:tcPr>
            <w:tcW w:w="1260" w:type="dxa"/>
            <w:tcBorders>
              <w:top w:val="single" w:sz="4" w:space="0" w:color="auto"/>
              <w:bottom w:val="single" w:sz="4" w:space="0" w:color="auto"/>
            </w:tcBorders>
            <w:shd w:val="clear" w:color="auto" w:fill="auto"/>
            <w:noWrap/>
            <w:vAlign w:val="bottom"/>
            <w:hideMark/>
          </w:tcPr>
          <w:p w14:paraId="2EA891C2" w14:textId="77777777" w:rsidR="00790DA8" w:rsidRPr="000B5169" w:rsidRDefault="00790DA8" w:rsidP="00790DA8">
            <w:pPr>
              <w:jc w:val="center"/>
              <w:rPr>
                <w:rFonts w:ascii="Arial Narrow" w:hAnsi="Arial Narrow" w:cs="Arial"/>
                <w:sz w:val="22"/>
                <w:szCs w:val="22"/>
              </w:rPr>
            </w:pPr>
            <w:r w:rsidRPr="000B5169">
              <w:rPr>
                <w:rFonts w:ascii="Arial Narrow" w:hAnsi="Arial Narrow" w:cs="Arial"/>
                <w:sz w:val="22"/>
                <w:szCs w:val="22"/>
              </w:rPr>
              <w:t>6%</w:t>
            </w:r>
          </w:p>
        </w:tc>
        <w:tc>
          <w:tcPr>
            <w:tcW w:w="1090" w:type="dxa"/>
            <w:tcBorders>
              <w:top w:val="single" w:sz="4" w:space="0" w:color="auto"/>
              <w:bottom w:val="single" w:sz="4" w:space="0" w:color="auto"/>
            </w:tcBorders>
            <w:shd w:val="clear" w:color="auto" w:fill="auto"/>
            <w:noWrap/>
            <w:vAlign w:val="bottom"/>
            <w:hideMark/>
          </w:tcPr>
          <w:p w14:paraId="13EC92CD" w14:textId="77777777" w:rsidR="00790DA8" w:rsidRPr="000B5169" w:rsidRDefault="00790DA8" w:rsidP="00790DA8">
            <w:pPr>
              <w:jc w:val="center"/>
              <w:rPr>
                <w:rFonts w:ascii="Arial Narrow" w:hAnsi="Arial Narrow" w:cs="Arial"/>
                <w:sz w:val="22"/>
                <w:szCs w:val="22"/>
              </w:rPr>
            </w:pPr>
            <w:r w:rsidRPr="000B5169">
              <w:rPr>
                <w:rFonts w:ascii="Arial Narrow" w:hAnsi="Arial Narrow" w:cs="Arial"/>
                <w:sz w:val="22"/>
                <w:szCs w:val="22"/>
              </w:rPr>
              <w:t>79%</w:t>
            </w:r>
          </w:p>
        </w:tc>
        <w:tc>
          <w:tcPr>
            <w:tcW w:w="1070" w:type="dxa"/>
            <w:tcBorders>
              <w:top w:val="single" w:sz="4" w:space="0" w:color="auto"/>
              <w:bottom w:val="single" w:sz="4" w:space="0" w:color="auto"/>
            </w:tcBorders>
            <w:shd w:val="clear" w:color="auto" w:fill="auto"/>
            <w:noWrap/>
            <w:vAlign w:val="bottom"/>
            <w:hideMark/>
          </w:tcPr>
          <w:p w14:paraId="75C87559" w14:textId="77777777" w:rsidR="00790DA8" w:rsidRPr="000B5169" w:rsidRDefault="00790DA8" w:rsidP="00790DA8">
            <w:pPr>
              <w:jc w:val="center"/>
              <w:rPr>
                <w:rFonts w:ascii="Arial Narrow" w:hAnsi="Arial Narrow" w:cs="Arial"/>
                <w:sz w:val="22"/>
                <w:szCs w:val="22"/>
              </w:rPr>
            </w:pPr>
            <w:r w:rsidRPr="000B5169">
              <w:rPr>
                <w:rFonts w:ascii="Arial Narrow" w:hAnsi="Arial Narrow" w:cs="Arial"/>
                <w:sz w:val="22"/>
                <w:szCs w:val="22"/>
              </w:rPr>
              <w:t>7%</w:t>
            </w:r>
          </w:p>
        </w:tc>
        <w:tc>
          <w:tcPr>
            <w:tcW w:w="1050" w:type="dxa"/>
            <w:tcBorders>
              <w:top w:val="single" w:sz="4" w:space="0" w:color="auto"/>
              <w:bottom w:val="single" w:sz="4" w:space="0" w:color="auto"/>
            </w:tcBorders>
            <w:shd w:val="clear" w:color="auto" w:fill="auto"/>
            <w:noWrap/>
            <w:vAlign w:val="bottom"/>
            <w:hideMark/>
          </w:tcPr>
          <w:p w14:paraId="264ABDFC" w14:textId="77777777" w:rsidR="00790DA8" w:rsidRPr="000B5169" w:rsidRDefault="00790DA8" w:rsidP="00790DA8">
            <w:pPr>
              <w:jc w:val="center"/>
              <w:rPr>
                <w:rFonts w:ascii="Arial Narrow" w:hAnsi="Arial Narrow" w:cs="Arial"/>
                <w:sz w:val="22"/>
                <w:szCs w:val="22"/>
              </w:rPr>
            </w:pPr>
            <w:r w:rsidRPr="000B5169">
              <w:rPr>
                <w:rFonts w:ascii="Arial Narrow" w:hAnsi="Arial Narrow" w:cs="Arial"/>
                <w:sz w:val="22"/>
                <w:szCs w:val="22"/>
              </w:rPr>
              <w:t>80%</w:t>
            </w:r>
          </w:p>
        </w:tc>
      </w:tr>
    </w:tbl>
    <w:p w14:paraId="290F24A5" w14:textId="44FD92E0" w:rsidR="00C45692" w:rsidRPr="00C45692" w:rsidRDefault="00ED4941" w:rsidP="000B5169">
      <w:pPr>
        <w:rPr>
          <w:i/>
          <w:sz w:val="22"/>
          <w:lang w:val="en-GB"/>
        </w:rPr>
      </w:pPr>
      <w:r w:rsidRPr="008B7EA0">
        <w:rPr>
          <w:i/>
          <w:sz w:val="22"/>
          <w:lang w:val="en-GB"/>
        </w:rPr>
        <w:t>Source: Mongolia Household Socio-Economic Surveys, 20</w:t>
      </w:r>
      <w:r>
        <w:rPr>
          <w:i/>
          <w:sz w:val="22"/>
          <w:lang w:val="en-GB"/>
        </w:rPr>
        <w:t>09</w:t>
      </w:r>
      <w:r w:rsidRPr="008B7EA0">
        <w:rPr>
          <w:i/>
          <w:sz w:val="22"/>
          <w:lang w:val="en-GB"/>
        </w:rPr>
        <w:t>-2012</w:t>
      </w:r>
    </w:p>
    <w:p w14:paraId="243FCCB6" w14:textId="77777777" w:rsidR="00EE4084" w:rsidRDefault="00EE4084" w:rsidP="00534EF7">
      <w:pPr>
        <w:autoSpaceDE w:val="0"/>
        <w:autoSpaceDN w:val="0"/>
        <w:adjustRightInd w:val="0"/>
        <w:jc w:val="both"/>
        <w:rPr>
          <w:rFonts w:ascii="Arial" w:hAnsi="Arial" w:cs="Arial"/>
        </w:rPr>
      </w:pPr>
    </w:p>
    <w:p w14:paraId="40202420" w14:textId="2244C902" w:rsidR="00534EF7" w:rsidRPr="00D16F85" w:rsidRDefault="00534EF7" w:rsidP="00534EF7">
      <w:pPr>
        <w:autoSpaceDE w:val="0"/>
        <w:autoSpaceDN w:val="0"/>
        <w:adjustRightInd w:val="0"/>
        <w:jc w:val="both"/>
        <w:rPr>
          <w:rFonts w:ascii="Arial" w:hAnsi="Arial" w:cs="Arial"/>
        </w:rPr>
      </w:pPr>
      <w:r w:rsidRPr="00D16F85">
        <w:rPr>
          <w:rFonts w:ascii="Arial" w:hAnsi="Arial" w:cs="Arial"/>
        </w:rPr>
        <w:t xml:space="preserve">As shown in the </w:t>
      </w:r>
      <w:r w:rsidR="00C45692">
        <w:rPr>
          <w:rFonts w:ascii="Arial" w:hAnsi="Arial" w:cs="Arial"/>
        </w:rPr>
        <w:t>Table</w:t>
      </w:r>
      <w:r w:rsidRPr="00D16F85">
        <w:rPr>
          <w:rFonts w:ascii="Arial" w:hAnsi="Arial" w:cs="Arial"/>
        </w:rPr>
        <w:t xml:space="preserve"> below, </w:t>
      </w:r>
      <w:r w:rsidR="004C7AC0" w:rsidRPr="00D16F85">
        <w:rPr>
          <w:rFonts w:ascii="Arial" w:hAnsi="Arial" w:cs="Arial"/>
        </w:rPr>
        <w:t>t</w:t>
      </w:r>
      <w:r w:rsidRPr="00D16F85">
        <w:rPr>
          <w:rFonts w:ascii="Arial" w:hAnsi="Arial" w:cs="Arial"/>
        </w:rPr>
        <w:t xml:space="preserve">he </w:t>
      </w:r>
      <w:r w:rsidR="00E165A0">
        <w:rPr>
          <w:rFonts w:ascii="Arial" w:hAnsi="Arial" w:cs="Arial"/>
        </w:rPr>
        <w:t xml:space="preserve">health seeking behavior and </w:t>
      </w:r>
      <w:r w:rsidRPr="00D16F85">
        <w:rPr>
          <w:rFonts w:ascii="Arial" w:hAnsi="Arial" w:cs="Arial"/>
        </w:rPr>
        <w:t xml:space="preserve">purchase of </w:t>
      </w:r>
      <w:r w:rsidR="00D16F85">
        <w:rPr>
          <w:rFonts w:ascii="Arial" w:hAnsi="Arial" w:cs="Arial"/>
        </w:rPr>
        <w:t xml:space="preserve">self-prescribed </w:t>
      </w:r>
      <w:r w:rsidRPr="00D16F85">
        <w:rPr>
          <w:rFonts w:ascii="Arial" w:hAnsi="Arial" w:cs="Arial"/>
        </w:rPr>
        <w:t>medicines incr</w:t>
      </w:r>
      <w:r w:rsidR="00BF6B0E">
        <w:rPr>
          <w:rFonts w:ascii="Arial" w:hAnsi="Arial" w:cs="Arial"/>
        </w:rPr>
        <w:t xml:space="preserve">eases from poor to rich people and over time. </w:t>
      </w:r>
    </w:p>
    <w:p w14:paraId="465F4C2D" w14:textId="77777777" w:rsidR="00F96879" w:rsidRDefault="00F96879" w:rsidP="004F06E6">
      <w:pPr>
        <w:jc w:val="both"/>
        <w:rPr>
          <w:lang w:val="en-GB"/>
        </w:rPr>
      </w:pPr>
    </w:p>
    <w:p w14:paraId="75EFD368" w14:textId="77777777" w:rsidR="00F67E95" w:rsidRDefault="00F67E95" w:rsidP="004F06E6">
      <w:pPr>
        <w:jc w:val="both"/>
        <w:rPr>
          <w:lang w:val="en-GB"/>
        </w:rPr>
      </w:pPr>
    </w:p>
    <w:p w14:paraId="50FA2A72" w14:textId="77777777" w:rsidR="00F96879" w:rsidRPr="003D4D46" w:rsidRDefault="00A11550" w:rsidP="00BF6B0E">
      <w:pPr>
        <w:pStyle w:val="Caption"/>
        <w:spacing w:after="0"/>
        <w:rPr>
          <w:rFonts w:ascii="Arial" w:hAnsi="Arial" w:cs="Arial"/>
          <w:b w:val="0"/>
          <w:iCs/>
          <w:sz w:val="22"/>
          <w:szCs w:val="22"/>
        </w:rPr>
      </w:pPr>
      <w:bookmarkStart w:id="30" w:name="_Toc310170093"/>
      <w:r w:rsidRPr="00D16F85">
        <w:rPr>
          <w:rFonts w:ascii="Arial" w:hAnsi="Arial" w:cs="Arial"/>
          <w:b w:val="0"/>
          <w:iCs/>
          <w:sz w:val="22"/>
          <w:szCs w:val="22"/>
        </w:rPr>
        <w:t xml:space="preserve">Table </w:t>
      </w:r>
      <w:r w:rsidRPr="00D16F85">
        <w:rPr>
          <w:rFonts w:ascii="Arial" w:hAnsi="Arial" w:cs="Arial"/>
          <w:b w:val="0"/>
          <w:iCs/>
          <w:sz w:val="22"/>
          <w:szCs w:val="22"/>
        </w:rPr>
        <w:fldChar w:fldCharType="begin"/>
      </w:r>
      <w:r w:rsidRPr="00D16F85">
        <w:rPr>
          <w:rFonts w:ascii="Arial" w:hAnsi="Arial" w:cs="Arial"/>
          <w:b w:val="0"/>
          <w:iCs/>
          <w:sz w:val="22"/>
          <w:szCs w:val="22"/>
        </w:rPr>
        <w:instrText xml:space="preserve"> SEQ Table \* ARABIC </w:instrText>
      </w:r>
      <w:r w:rsidRPr="00D16F85">
        <w:rPr>
          <w:rFonts w:ascii="Arial" w:hAnsi="Arial" w:cs="Arial"/>
          <w:b w:val="0"/>
          <w:iCs/>
          <w:sz w:val="22"/>
          <w:szCs w:val="22"/>
        </w:rPr>
        <w:fldChar w:fldCharType="separate"/>
      </w:r>
      <w:r w:rsidR="000B5169">
        <w:rPr>
          <w:rFonts w:ascii="Arial" w:hAnsi="Arial" w:cs="Arial"/>
          <w:b w:val="0"/>
          <w:iCs/>
          <w:noProof/>
          <w:sz w:val="22"/>
          <w:szCs w:val="22"/>
        </w:rPr>
        <w:t>10</w:t>
      </w:r>
      <w:r w:rsidRPr="00D16F85">
        <w:rPr>
          <w:rFonts w:ascii="Arial" w:hAnsi="Arial" w:cs="Arial"/>
          <w:b w:val="0"/>
          <w:iCs/>
          <w:sz w:val="22"/>
          <w:szCs w:val="22"/>
        </w:rPr>
        <w:fldChar w:fldCharType="end"/>
      </w:r>
      <w:r w:rsidRPr="00D16F85">
        <w:rPr>
          <w:rFonts w:ascii="Arial" w:hAnsi="Arial" w:cs="Arial"/>
          <w:b w:val="0"/>
          <w:iCs/>
          <w:sz w:val="22"/>
          <w:szCs w:val="22"/>
        </w:rPr>
        <w:t xml:space="preserve">: </w:t>
      </w:r>
      <w:r w:rsidR="00790DA8">
        <w:rPr>
          <w:rFonts w:ascii="Arial" w:hAnsi="Arial" w:cs="Arial"/>
          <w:b w:val="0"/>
          <w:iCs/>
          <w:sz w:val="22"/>
          <w:szCs w:val="22"/>
        </w:rPr>
        <w:t>H</w:t>
      </w:r>
      <w:r w:rsidR="003D4D46">
        <w:rPr>
          <w:rFonts w:ascii="Arial" w:hAnsi="Arial" w:cs="Arial"/>
          <w:b w:val="0"/>
          <w:iCs/>
          <w:sz w:val="22"/>
          <w:szCs w:val="22"/>
        </w:rPr>
        <w:t>ealth seeking behavior</w:t>
      </w:r>
      <w:r w:rsidR="00790DA8">
        <w:rPr>
          <w:rFonts w:ascii="Arial" w:hAnsi="Arial" w:cs="Arial"/>
          <w:b w:val="0"/>
          <w:iCs/>
          <w:sz w:val="22"/>
          <w:szCs w:val="22"/>
        </w:rPr>
        <w:t xml:space="preserve"> and self-prescription of medicine</w:t>
      </w:r>
      <w:bookmarkEnd w:id="30"/>
    </w:p>
    <w:tbl>
      <w:tblPr>
        <w:tblW w:w="9735" w:type="dxa"/>
        <w:tblInd w:w="93" w:type="dxa"/>
        <w:tblBorders>
          <w:top w:val="single" w:sz="4" w:space="0" w:color="auto"/>
          <w:bottom w:val="single" w:sz="4" w:space="0" w:color="auto"/>
        </w:tblBorders>
        <w:tblLayout w:type="fixed"/>
        <w:tblLook w:val="04A0" w:firstRow="1" w:lastRow="0" w:firstColumn="1" w:lastColumn="0" w:noHBand="0" w:noVBand="1"/>
      </w:tblPr>
      <w:tblGrid>
        <w:gridCol w:w="1185"/>
        <w:gridCol w:w="1260"/>
        <w:gridCol w:w="1530"/>
        <w:gridCol w:w="1338"/>
        <w:gridCol w:w="1542"/>
        <w:gridCol w:w="1170"/>
        <w:gridCol w:w="1710"/>
      </w:tblGrid>
      <w:tr w:rsidR="00073A37" w:rsidRPr="00785487" w14:paraId="017B52E4" w14:textId="77777777" w:rsidTr="00BF6B0E">
        <w:trPr>
          <w:trHeight w:val="240"/>
        </w:trPr>
        <w:tc>
          <w:tcPr>
            <w:tcW w:w="1185" w:type="dxa"/>
            <w:vMerge w:val="restart"/>
            <w:tcBorders>
              <w:top w:val="single" w:sz="4" w:space="0" w:color="auto"/>
            </w:tcBorders>
            <w:shd w:val="clear" w:color="auto" w:fill="auto"/>
            <w:noWrap/>
            <w:hideMark/>
          </w:tcPr>
          <w:p w14:paraId="55059EEF" w14:textId="77777777" w:rsidR="00073A37" w:rsidRDefault="00073A37" w:rsidP="00073A37">
            <w:pPr>
              <w:jc w:val="center"/>
              <w:rPr>
                <w:rFonts w:ascii="Arial Narrow" w:hAnsi="Arial Narrow" w:cs="Arial"/>
                <w:sz w:val="22"/>
                <w:szCs w:val="22"/>
              </w:rPr>
            </w:pPr>
          </w:p>
          <w:p w14:paraId="283B37EC" w14:textId="77777777" w:rsidR="00073A37" w:rsidRPr="00EE4084" w:rsidRDefault="00073A37" w:rsidP="00073A37">
            <w:pPr>
              <w:jc w:val="center"/>
              <w:rPr>
                <w:rFonts w:ascii="Arial Narrow" w:hAnsi="Arial Narrow" w:cs="Arial"/>
                <w:sz w:val="22"/>
                <w:szCs w:val="22"/>
              </w:rPr>
            </w:pPr>
            <w:r w:rsidRPr="00EE4084">
              <w:rPr>
                <w:rFonts w:ascii="Arial Narrow" w:hAnsi="Arial Narrow" w:cs="Arial"/>
                <w:sz w:val="22"/>
                <w:szCs w:val="22"/>
              </w:rPr>
              <w:t>Expenditure quintile</w:t>
            </w:r>
          </w:p>
        </w:tc>
        <w:tc>
          <w:tcPr>
            <w:tcW w:w="2790" w:type="dxa"/>
            <w:gridSpan w:val="2"/>
            <w:tcBorders>
              <w:top w:val="single" w:sz="4" w:space="0" w:color="auto"/>
              <w:bottom w:val="single" w:sz="4" w:space="0" w:color="auto"/>
            </w:tcBorders>
            <w:shd w:val="clear" w:color="auto" w:fill="auto"/>
            <w:noWrap/>
            <w:hideMark/>
          </w:tcPr>
          <w:p w14:paraId="7AA5062D" w14:textId="70D9EC90" w:rsidR="00073A37" w:rsidRPr="000B5169" w:rsidRDefault="00073A37" w:rsidP="00073A37">
            <w:pPr>
              <w:jc w:val="center"/>
              <w:rPr>
                <w:rFonts w:ascii="Arial Narrow" w:hAnsi="Arial Narrow" w:cs="Arial"/>
                <w:b/>
                <w:sz w:val="22"/>
                <w:szCs w:val="22"/>
              </w:rPr>
            </w:pPr>
            <w:r w:rsidRPr="000B5169">
              <w:rPr>
                <w:rFonts w:ascii="Arial Narrow" w:hAnsi="Arial Narrow" w:cs="Arial"/>
                <w:b/>
                <w:sz w:val="22"/>
                <w:szCs w:val="22"/>
              </w:rPr>
              <w:t>2010</w:t>
            </w:r>
          </w:p>
        </w:tc>
        <w:tc>
          <w:tcPr>
            <w:tcW w:w="2880" w:type="dxa"/>
            <w:gridSpan w:val="2"/>
            <w:tcBorders>
              <w:top w:val="single" w:sz="4" w:space="0" w:color="auto"/>
              <w:bottom w:val="single" w:sz="4" w:space="0" w:color="auto"/>
            </w:tcBorders>
            <w:shd w:val="clear" w:color="auto" w:fill="auto"/>
            <w:noWrap/>
            <w:hideMark/>
          </w:tcPr>
          <w:p w14:paraId="7803A29B" w14:textId="3E3EE78C" w:rsidR="00073A37" w:rsidRPr="000B5169" w:rsidRDefault="00073A37" w:rsidP="00073A37">
            <w:pPr>
              <w:jc w:val="center"/>
              <w:rPr>
                <w:rFonts w:ascii="Arial Narrow" w:hAnsi="Arial Narrow" w:cs="Arial"/>
                <w:b/>
                <w:sz w:val="22"/>
                <w:szCs w:val="22"/>
              </w:rPr>
            </w:pPr>
            <w:r w:rsidRPr="000B5169">
              <w:rPr>
                <w:rFonts w:ascii="Arial Narrow" w:hAnsi="Arial Narrow" w:cs="Arial"/>
                <w:b/>
                <w:sz w:val="22"/>
                <w:szCs w:val="22"/>
              </w:rPr>
              <w:t>2011</w:t>
            </w:r>
          </w:p>
        </w:tc>
        <w:tc>
          <w:tcPr>
            <w:tcW w:w="2880" w:type="dxa"/>
            <w:gridSpan w:val="2"/>
            <w:tcBorders>
              <w:top w:val="single" w:sz="4" w:space="0" w:color="auto"/>
              <w:bottom w:val="single" w:sz="4" w:space="0" w:color="auto"/>
            </w:tcBorders>
            <w:shd w:val="clear" w:color="auto" w:fill="auto"/>
            <w:noWrap/>
            <w:hideMark/>
          </w:tcPr>
          <w:p w14:paraId="1D0C71ED" w14:textId="2E50CD5A" w:rsidR="00073A37" w:rsidRPr="000B5169" w:rsidRDefault="00073A37" w:rsidP="00073A37">
            <w:pPr>
              <w:jc w:val="center"/>
              <w:rPr>
                <w:rFonts w:ascii="Arial Narrow" w:hAnsi="Arial Narrow" w:cs="Arial"/>
                <w:b/>
                <w:sz w:val="22"/>
                <w:szCs w:val="22"/>
              </w:rPr>
            </w:pPr>
            <w:r w:rsidRPr="000B5169">
              <w:rPr>
                <w:rFonts w:ascii="Arial Narrow" w:hAnsi="Arial Narrow" w:cs="Arial"/>
                <w:b/>
                <w:sz w:val="22"/>
                <w:szCs w:val="22"/>
              </w:rPr>
              <w:t>2012</w:t>
            </w:r>
          </w:p>
        </w:tc>
      </w:tr>
      <w:tr w:rsidR="00073A37" w:rsidRPr="00785487" w14:paraId="4970D32F" w14:textId="77777777" w:rsidTr="00BF6B0E">
        <w:trPr>
          <w:trHeight w:val="240"/>
        </w:trPr>
        <w:tc>
          <w:tcPr>
            <w:tcW w:w="1185" w:type="dxa"/>
            <w:vMerge/>
            <w:tcBorders>
              <w:bottom w:val="single" w:sz="4" w:space="0" w:color="auto"/>
            </w:tcBorders>
            <w:shd w:val="clear" w:color="auto" w:fill="auto"/>
            <w:noWrap/>
            <w:hideMark/>
          </w:tcPr>
          <w:p w14:paraId="7327945F" w14:textId="77777777" w:rsidR="00073A37" w:rsidRPr="00EE4084" w:rsidRDefault="00073A37" w:rsidP="00073A37">
            <w:pPr>
              <w:jc w:val="center"/>
              <w:rPr>
                <w:rFonts w:ascii="Arial Narrow" w:hAnsi="Arial Narrow" w:cs="Arial"/>
                <w:sz w:val="22"/>
                <w:szCs w:val="22"/>
              </w:rPr>
            </w:pPr>
          </w:p>
        </w:tc>
        <w:tc>
          <w:tcPr>
            <w:tcW w:w="1260" w:type="dxa"/>
            <w:tcBorders>
              <w:top w:val="single" w:sz="4" w:space="0" w:color="auto"/>
              <w:bottom w:val="single" w:sz="4" w:space="0" w:color="auto"/>
            </w:tcBorders>
            <w:shd w:val="clear" w:color="auto" w:fill="auto"/>
            <w:noWrap/>
            <w:hideMark/>
          </w:tcPr>
          <w:p w14:paraId="5073EC69" w14:textId="01D690A0" w:rsidR="00073A37" w:rsidRPr="00EE4084" w:rsidRDefault="00073A37" w:rsidP="00073A37">
            <w:pPr>
              <w:jc w:val="center"/>
              <w:rPr>
                <w:rFonts w:ascii="Arial Narrow" w:hAnsi="Arial Narrow" w:cs="Arial"/>
                <w:sz w:val="22"/>
                <w:szCs w:val="22"/>
              </w:rPr>
            </w:pPr>
            <w:proofErr w:type="gramStart"/>
            <w:r>
              <w:rPr>
                <w:rFonts w:ascii="Arial Narrow" w:hAnsi="Arial Narrow" w:cs="Arial"/>
                <w:sz w:val="22"/>
                <w:szCs w:val="22"/>
              </w:rPr>
              <w:t>r</w:t>
            </w:r>
            <w:r w:rsidRPr="00EE4084">
              <w:rPr>
                <w:rFonts w:ascii="Arial Narrow" w:hAnsi="Arial Narrow" w:cs="Arial"/>
                <w:sz w:val="22"/>
                <w:szCs w:val="22"/>
              </w:rPr>
              <w:t>eported</w:t>
            </w:r>
            <w:proofErr w:type="gramEnd"/>
          </w:p>
          <w:p w14:paraId="0A414CBE" w14:textId="77777777" w:rsidR="00073A37" w:rsidRPr="00EE4084" w:rsidRDefault="00073A37" w:rsidP="00073A37">
            <w:pPr>
              <w:jc w:val="center"/>
              <w:rPr>
                <w:rFonts w:ascii="Arial Narrow" w:hAnsi="Arial Narrow" w:cs="Arial"/>
                <w:sz w:val="22"/>
                <w:szCs w:val="22"/>
              </w:rPr>
            </w:pPr>
            <w:proofErr w:type="gramStart"/>
            <w:r w:rsidRPr="00EE4084">
              <w:rPr>
                <w:rFonts w:ascii="Arial Narrow" w:hAnsi="Arial Narrow" w:cs="Arial"/>
                <w:sz w:val="22"/>
                <w:szCs w:val="22"/>
              </w:rPr>
              <w:t>illness</w:t>
            </w:r>
            <w:proofErr w:type="gramEnd"/>
          </w:p>
        </w:tc>
        <w:tc>
          <w:tcPr>
            <w:tcW w:w="1530" w:type="dxa"/>
            <w:tcBorders>
              <w:top w:val="single" w:sz="4" w:space="0" w:color="auto"/>
              <w:bottom w:val="single" w:sz="4" w:space="0" w:color="auto"/>
            </w:tcBorders>
            <w:shd w:val="clear" w:color="auto" w:fill="auto"/>
            <w:noWrap/>
            <w:hideMark/>
          </w:tcPr>
          <w:p w14:paraId="0629CB46" w14:textId="3567120A" w:rsidR="00073A37" w:rsidRPr="00EE4084" w:rsidRDefault="00073A37" w:rsidP="00073A37">
            <w:pPr>
              <w:jc w:val="center"/>
              <w:rPr>
                <w:rFonts w:ascii="Arial Narrow" w:hAnsi="Arial Narrow" w:cs="Arial"/>
                <w:sz w:val="22"/>
                <w:szCs w:val="22"/>
              </w:rPr>
            </w:pPr>
            <w:proofErr w:type="gramStart"/>
            <w:r>
              <w:rPr>
                <w:rFonts w:ascii="Arial Narrow" w:hAnsi="Arial Narrow" w:cs="Arial"/>
                <w:sz w:val="22"/>
                <w:szCs w:val="22"/>
              </w:rPr>
              <w:t>self</w:t>
            </w:r>
            <w:proofErr w:type="gramEnd"/>
            <w:r>
              <w:rPr>
                <w:rFonts w:ascii="Arial Narrow" w:hAnsi="Arial Narrow" w:cs="Arial"/>
                <w:sz w:val="22"/>
                <w:szCs w:val="22"/>
              </w:rPr>
              <w:t>-prescription</w:t>
            </w:r>
          </w:p>
          <w:p w14:paraId="0C680364" w14:textId="77777777" w:rsidR="00073A37" w:rsidRPr="00EE4084" w:rsidRDefault="00073A37" w:rsidP="00073A37">
            <w:pPr>
              <w:jc w:val="center"/>
              <w:rPr>
                <w:rFonts w:ascii="Arial Narrow" w:hAnsi="Arial Narrow" w:cs="Arial"/>
                <w:sz w:val="22"/>
                <w:szCs w:val="22"/>
              </w:rPr>
            </w:pPr>
            <w:proofErr w:type="gramStart"/>
            <w:r w:rsidRPr="00EE4084">
              <w:rPr>
                <w:rFonts w:ascii="Arial Narrow" w:hAnsi="Arial Narrow" w:cs="Arial"/>
                <w:sz w:val="22"/>
                <w:szCs w:val="22"/>
              </w:rPr>
              <w:t>of</w:t>
            </w:r>
            <w:proofErr w:type="gramEnd"/>
            <w:r w:rsidRPr="00EE4084">
              <w:rPr>
                <w:rFonts w:ascii="Arial Narrow" w:hAnsi="Arial Narrow" w:cs="Arial"/>
                <w:sz w:val="22"/>
                <w:szCs w:val="22"/>
              </w:rPr>
              <w:t xml:space="preserve"> medicine</w:t>
            </w:r>
          </w:p>
        </w:tc>
        <w:tc>
          <w:tcPr>
            <w:tcW w:w="1338" w:type="dxa"/>
            <w:tcBorders>
              <w:top w:val="single" w:sz="4" w:space="0" w:color="auto"/>
              <w:bottom w:val="single" w:sz="4" w:space="0" w:color="auto"/>
            </w:tcBorders>
            <w:shd w:val="clear" w:color="auto" w:fill="auto"/>
            <w:noWrap/>
            <w:hideMark/>
          </w:tcPr>
          <w:p w14:paraId="0D56C755" w14:textId="03E234B8" w:rsidR="00073A37" w:rsidRPr="00EE4084" w:rsidRDefault="00073A37" w:rsidP="00073A37">
            <w:pPr>
              <w:jc w:val="center"/>
              <w:rPr>
                <w:rFonts w:ascii="Arial Narrow" w:hAnsi="Arial Narrow" w:cs="Arial"/>
                <w:sz w:val="22"/>
                <w:szCs w:val="22"/>
              </w:rPr>
            </w:pPr>
            <w:proofErr w:type="gramStart"/>
            <w:r>
              <w:rPr>
                <w:rFonts w:ascii="Arial Narrow" w:hAnsi="Arial Narrow" w:cs="Arial"/>
                <w:sz w:val="22"/>
                <w:szCs w:val="22"/>
              </w:rPr>
              <w:t>r</w:t>
            </w:r>
            <w:r w:rsidRPr="00EE4084">
              <w:rPr>
                <w:rFonts w:ascii="Arial Narrow" w:hAnsi="Arial Narrow" w:cs="Arial"/>
                <w:sz w:val="22"/>
                <w:szCs w:val="22"/>
              </w:rPr>
              <w:t>eported</w:t>
            </w:r>
            <w:proofErr w:type="gramEnd"/>
            <w:r w:rsidRPr="00EE4084">
              <w:rPr>
                <w:rFonts w:ascii="Arial Narrow" w:hAnsi="Arial Narrow" w:cs="Arial"/>
                <w:sz w:val="22"/>
                <w:szCs w:val="22"/>
              </w:rPr>
              <w:t xml:space="preserve"> illness</w:t>
            </w:r>
          </w:p>
        </w:tc>
        <w:tc>
          <w:tcPr>
            <w:tcW w:w="1542" w:type="dxa"/>
            <w:tcBorders>
              <w:top w:val="single" w:sz="4" w:space="0" w:color="auto"/>
              <w:bottom w:val="single" w:sz="4" w:space="0" w:color="auto"/>
            </w:tcBorders>
            <w:shd w:val="clear" w:color="auto" w:fill="auto"/>
            <w:noWrap/>
            <w:hideMark/>
          </w:tcPr>
          <w:p w14:paraId="5529BD9A" w14:textId="4E39C526" w:rsidR="00073A37" w:rsidRPr="00EE4084" w:rsidRDefault="00073A37" w:rsidP="00073A37">
            <w:pPr>
              <w:jc w:val="center"/>
              <w:rPr>
                <w:rFonts w:ascii="Arial Narrow" w:hAnsi="Arial Narrow" w:cs="Arial"/>
                <w:sz w:val="22"/>
                <w:szCs w:val="22"/>
              </w:rPr>
            </w:pPr>
            <w:proofErr w:type="gramStart"/>
            <w:r>
              <w:rPr>
                <w:rFonts w:ascii="Arial Narrow" w:hAnsi="Arial Narrow" w:cs="Arial"/>
                <w:sz w:val="22"/>
                <w:szCs w:val="22"/>
              </w:rPr>
              <w:t>s</w:t>
            </w:r>
            <w:r w:rsidRPr="00EE4084">
              <w:rPr>
                <w:rFonts w:ascii="Arial Narrow" w:hAnsi="Arial Narrow" w:cs="Arial"/>
                <w:sz w:val="22"/>
                <w:szCs w:val="22"/>
              </w:rPr>
              <w:t>elf</w:t>
            </w:r>
            <w:proofErr w:type="gramEnd"/>
            <w:r w:rsidRPr="00EE4084">
              <w:rPr>
                <w:rFonts w:ascii="Arial Narrow" w:hAnsi="Arial Narrow" w:cs="Arial"/>
                <w:sz w:val="22"/>
                <w:szCs w:val="22"/>
              </w:rPr>
              <w:t>-prescription</w:t>
            </w:r>
          </w:p>
          <w:p w14:paraId="3D5B9FDA" w14:textId="77777777" w:rsidR="00073A37" w:rsidRPr="00EE4084" w:rsidRDefault="00073A37" w:rsidP="00073A37">
            <w:pPr>
              <w:jc w:val="center"/>
              <w:rPr>
                <w:rFonts w:ascii="Arial Narrow" w:hAnsi="Arial Narrow" w:cs="Arial"/>
                <w:sz w:val="22"/>
                <w:szCs w:val="22"/>
              </w:rPr>
            </w:pPr>
            <w:proofErr w:type="gramStart"/>
            <w:r w:rsidRPr="00EE4084">
              <w:rPr>
                <w:rFonts w:ascii="Arial Narrow" w:hAnsi="Arial Narrow" w:cs="Arial"/>
                <w:sz w:val="22"/>
                <w:szCs w:val="22"/>
              </w:rPr>
              <w:t>of</w:t>
            </w:r>
            <w:proofErr w:type="gramEnd"/>
            <w:r w:rsidRPr="00EE4084">
              <w:rPr>
                <w:rFonts w:ascii="Arial Narrow" w:hAnsi="Arial Narrow" w:cs="Arial"/>
                <w:sz w:val="22"/>
                <w:szCs w:val="22"/>
              </w:rPr>
              <w:t xml:space="preserve"> medicine</w:t>
            </w:r>
          </w:p>
        </w:tc>
        <w:tc>
          <w:tcPr>
            <w:tcW w:w="1170" w:type="dxa"/>
            <w:tcBorders>
              <w:top w:val="single" w:sz="4" w:space="0" w:color="auto"/>
              <w:bottom w:val="single" w:sz="4" w:space="0" w:color="auto"/>
            </w:tcBorders>
            <w:shd w:val="clear" w:color="auto" w:fill="auto"/>
            <w:noWrap/>
            <w:hideMark/>
          </w:tcPr>
          <w:p w14:paraId="7F103F0A" w14:textId="3D200553" w:rsidR="00073A37" w:rsidRPr="00EE4084" w:rsidRDefault="00073A37" w:rsidP="00073A37">
            <w:pPr>
              <w:jc w:val="center"/>
              <w:rPr>
                <w:rFonts w:ascii="Arial Narrow" w:hAnsi="Arial Narrow" w:cs="Arial"/>
                <w:sz w:val="22"/>
                <w:szCs w:val="22"/>
              </w:rPr>
            </w:pPr>
            <w:proofErr w:type="gramStart"/>
            <w:r>
              <w:rPr>
                <w:rFonts w:ascii="Arial Narrow" w:hAnsi="Arial Narrow" w:cs="Arial"/>
                <w:sz w:val="22"/>
                <w:szCs w:val="22"/>
              </w:rPr>
              <w:t>r</w:t>
            </w:r>
            <w:r w:rsidRPr="00EE4084">
              <w:rPr>
                <w:rFonts w:ascii="Arial Narrow" w:hAnsi="Arial Narrow" w:cs="Arial"/>
                <w:sz w:val="22"/>
                <w:szCs w:val="22"/>
              </w:rPr>
              <w:t>eported</w:t>
            </w:r>
            <w:proofErr w:type="gramEnd"/>
            <w:r w:rsidRPr="00EE4084">
              <w:rPr>
                <w:rFonts w:ascii="Arial Narrow" w:hAnsi="Arial Narrow" w:cs="Arial"/>
                <w:sz w:val="22"/>
                <w:szCs w:val="22"/>
              </w:rPr>
              <w:t xml:space="preserve"> illness</w:t>
            </w:r>
          </w:p>
        </w:tc>
        <w:tc>
          <w:tcPr>
            <w:tcW w:w="1710" w:type="dxa"/>
            <w:tcBorders>
              <w:top w:val="single" w:sz="4" w:space="0" w:color="auto"/>
              <w:bottom w:val="single" w:sz="4" w:space="0" w:color="auto"/>
            </w:tcBorders>
            <w:shd w:val="clear" w:color="auto" w:fill="auto"/>
            <w:noWrap/>
            <w:hideMark/>
          </w:tcPr>
          <w:p w14:paraId="2D4F6276" w14:textId="0D757D55" w:rsidR="00073A37" w:rsidRPr="00EE4084" w:rsidRDefault="00073A37" w:rsidP="00073A37">
            <w:pPr>
              <w:jc w:val="center"/>
              <w:rPr>
                <w:rFonts w:ascii="Arial Narrow" w:hAnsi="Arial Narrow" w:cs="Arial"/>
                <w:sz w:val="22"/>
                <w:szCs w:val="22"/>
              </w:rPr>
            </w:pPr>
            <w:proofErr w:type="gramStart"/>
            <w:r>
              <w:rPr>
                <w:rFonts w:ascii="Arial Narrow" w:hAnsi="Arial Narrow" w:cs="Arial"/>
                <w:sz w:val="22"/>
                <w:szCs w:val="22"/>
              </w:rPr>
              <w:t>s</w:t>
            </w:r>
            <w:r w:rsidRPr="00EE4084">
              <w:rPr>
                <w:rFonts w:ascii="Arial Narrow" w:hAnsi="Arial Narrow" w:cs="Arial"/>
                <w:sz w:val="22"/>
                <w:szCs w:val="22"/>
              </w:rPr>
              <w:t>elf</w:t>
            </w:r>
            <w:proofErr w:type="gramEnd"/>
            <w:r w:rsidRPr="00EE4084">
              <w:rPr>
                <w:rFonts w:ascii="Arial Narrow" w:hAnsi="Arial Narrow" w:cs="Arial"/>
                <w:sz w:val="22"/>
                <w:szCs w:val="22"/>
              </w:rPr>
              <w:t>-prescription</w:t>
            </w:r>
          </w:p>
          <w:p w14:paraId="59811E36" w14:textId="77777777" w:rsidR="00073A37" w:rsidRPr="00EE4084" w:rsidRDefault="00073A37" w:rsidP="00073A37">
            <w:pPr>
              <w:jc w:val="center"/>
              <w:rPr>
                <w:rFonts w:ascii="Arial Narrow" w:hAnsi="Arial Narrow" w:cs="Arial"/>
                <w:sz w:val="22"/>
                <w:szCs w:val="22"/>
              </w:rPr>
            </w:pPr>
            <w:proofErr w:type="gramStart"/>
            <w:r w:rsidRPr="00EE4084">
              <w:rPr>
                <w:rFonts w:ascii="Arial Narrow" w:hAnsi="Arial Narrow" w:cs="Arial"/>
                <w:sz w:val="22"/>
                <w:szCs w:val="22"/>
              </w:rPr>
              <w:t>of</w:t>
            </w:r>
            <w:proofErr w:type="gramEnd"/>
            <w:r w:rsidRPr="00EE4084">
              <w:rPr>
                <w:rFonts w:ascii="Arial Narrow" w:hAnsi="Arial Narrow" w:cs="Arial"/>
                <w:sz w:val="22"/>
                <w:szCs w:val="22"/>
              </w:rPr>
              <w:t xml:space="preserve"> medicine</w:t>
            </w:r>
          </w:p>
        </w:tc>
      </w:tr>
      <w:tr w:rsidR="00785487" w:rsidRPr="00785487" w14:paraId="79CAD287" w14:textId="77777777" w:rsidTr="00BF6B0E">
        <w:trPr>
          <w:trHeight w:val="240"/>
        </w:trPr>
        <w:tc>
          <w:tcPr>
            <w:tcW w:w="1185" w:type="dxa"/>
            <w:tcBorders>
              <w:top w:val="single" w:sz="4" w:space="0" w:color="auto"/>
            </w:tcBorders>
            <w:shd w:val="clear" w:color="auto" w:fill="auto"/>
            <w:noWrap/>
            <w:hideMark/>
          </w:tcPr>
          <w:p w14:paraId="08629C8D"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1</w:t>
            </w:r>
          </w:p>
        </w:tc>
        <w:tc>
          <w:tcPr>
            <w:tcW w:w="1260" w:type="dxa"/>
            <w:tcBorders>
              <w:top w:val="single" w:sz="4" w:space="0" w:color="auto"/>
            </w:tcBorders>
            <w:shd w:val="clear" w:color="auto" w:fill="auto"/>
            <w:noWrap/>
            <w:hideMark/>
          </w:tcPr>
          <w:p w14:paraId="4A1C84F8"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5%</w:t>
            </w:r>
          </w:p>
        </w:tc>
        <w:tc>
          <w:tcPr>
            <w:tcW w:w="1530" w:type="dxa"/>
            <w:tcBorders>
              <w:top w:val="single" w:sz="4" w:space="0" w:color="auto"/>
            </w:tcBorders>
            <w:shd w:val="clear" w:color="auto" w:fill="auto"/>
            <w:noWrap/>
            <w:hideMark/>
          </w:tcPr>
          <w:p w14:paraId="4325FD54"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7%</w:t>
            </w:r>
          </w:p>
        </w:tc>
        <w:tc>
          <w:tcPr>
            <w:tcW w:w="1338" w:type="dxa"/>
            <w:tcBorders>
              <w:top w:val="single" w:sz="4" w:space="0" w:color="auto"/>
            </w:tcBorders>
            <w:shd w:val="clear" w:color="auto" w:fill="auto"/>
            <w:noWrap/>
            <w:hideMark/>
          </w:tcPr>
          <w:p w14:paraId="23745430"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4%</w:t>
            </w:r>
          </w:p>
        </w:tc>
        <w:tc>
          <w:tcPr>
            <w:tcW w:w="1542" w:type="dxa"/>
            <w:tcBorders>
              <w:top w:val="single" w:sz="4" w:space="0" w:color="auto"/>
            </w:tcBorders>
            <w:shd w:val="clear" w:color="auto" w:fill="auto"/>
            <w:noWrap/>
            <w:hideMark/>
          </w:tcPr>
          <w:p w14:paraId="40CE72A7"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5%</w:t>
            </w:r>
          </w:p>
        </w:tc>
        <w:tc>
          <w:tcPr>
            <w:tcW w:w="1170" w:type="dxa"/>
            <w:tcBorders>
              <w:top w:val="single" w:sz="4" w:space="0" w:color="auto"/>
            </w:tcBorders>
            <w:shd w:val="clear" w:color="auto" w:fill="auto"/>
            <w:noWrap/>
            <w:hideMark/>
          </w:tcPr>
          <w:p w14:paraId="4B1159DE"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4%</w:t>
            </w:r>
          </w:p>
        </w:tc>
        <w:tc>
          <w:tcPr>
            <w:tcW w:w="1710" w:type="dxa"/>
            <w:tcBorders>
              <w:top w:val="single" w:sz="4" w:space="0" w:color="auto"/>
            </w:tcBorders>
            <w:shd w:val="clear" w:color="auto" w:fill="auto"/>
            <w:noWrap/>
            <w:hideMark/>
          </w:tcPr>
          <w:p w14:paraId="73B17462"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6%</w:t>
            </w:r>
          </w:p>
        </w:tc>
      </w:tr>
      <w:tr w:rsidR="00785487" w:rsidRPr="00785487" w14:paraId="7FFDBAB0" w14:textId="77777777" w:rsidTr="00BF6B0E">
        <w:trPr>
          <w:trHeight w:val="240"/>
        </w:trPr>
        <w:tc>
          <w:tcPr>
            <w:tcW w:w="1185" w:type="dxa"/>
            <w:shd w:val="clear" w:color="auto" w:fill="auto"/>
            <w:noWrap/>
            <w:hideMark/>
          </w:tcPr>
          <w:p w14:paraId="74FB79DA"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2</w:t>
            </w:r>
          </w:p>
        </w:tc>
        <w:tc>
          <w:tcPr>
            <w:tcW w:w="1260" w:type="dxa"/>
            <w:shd w:val="clear" w:color="auto" w:fill="auto"/>
            <w:noWrap/>
            <w:hideMark/>
          </w:tcPr>
          <w:p w14:paraId="6E7EA74A"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6%</w:t>
            </w:r>
          </w:p>
        </w:tc>
        <w:tc>
          <w:tcPr>
            <w:tcW w:w="1530" w:type="dxa"/>
            <w:shd w:val="clear" w:color="auto" w:fill="auto"/>
            <w:noWrap/>
            <w:hideMark/>
          </w:tcPr>
          <w:p w14:paraId="0BE4AEE8"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8%</w:t>
            </w:r>
          </w:p>
        </w:tc>
        <w:tc>
          <w:tcPr>
            <w:tcW w:w="1338" w:type="dxa"/>
            <w:shd w:val="clear" w:color="auto" w:fill="auto"/>
            <w:noWrap/>
            <w:hideMark/>
          </w:tcPr>
          <w:p w14:paraId="5F16B8D8"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5%</w:t>
            </w:r>
          </w:p>
        </w:tc>
        <w:tc>
          <w:tcPr>
            <w:tcW w:w="1542" w:type="dxa"/>
            <w:shd w:val="clear" w:color="auto" w:fill="auto"/>
            <w:noWrap/>
            <w:hideMark/>
          </w:tcPr>
          <w:p w14:paraId="05BE2A03"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8%</w:t>
            </w:r>
          </w:p>
        </w:tc>
        <w:tc>
          <w:tcPr>
            <w:tcW w:w="1170" w:type="dxa"/>
            <w:shd w:val="clear" w:color="auto" w:fill="auto"/>
            <w:noWrap/>
            <w:hideMark/>
          </w:tcPr>
          <w:p w14:paraId="6B5E6C03"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6%</w:t>
            </w:r>
          </w:p>
        </w:tc>
        <w:tc>
          <w:tcPr>
            <w:tcW w:w="1710" w:type="dxa"/>
            <w:shd w:val="clear" w:color="auto" w:fill="auto"/>
            <w:noWrap/>
            <w:hideMark/>
          </w:tcPr>
          <w:p w14:paraId="20628E67"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9%</w:t>
            </w:r>
          </w:p>
        </w:tc>
      </w:tr>
      <w:tr w:rsidR="00785487" w:rsidRPr="00785487" w14:paraId="4565A02E" w14:textId="77777777" w:rsidTr="00BF6B0E">
        <w:trPr>
          <w:trHeight w:val="240"/>
        </w:trPr>
        <w:tc>
          <w:tcPr>
            <w:tcW w:w="1185" w:type="dxa"/>
            <w:shd w:val="clear" w:color="auto" w:fill="auto"/>
            <w:noWrap/>
            <w:hideMark/>
          </w:tcPr>
          <w:p w14:paraId="43EFF7C2"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3</w:t>
            </w:r>
          </w:p>
        </w:tc>
        <w:tc>
          <w:tcPr>
            <w:tcW w:w="1260" w:type="dxa"/>
            <w:shd w:val="clear" w:color="auto" w:fill="auto"/>
            <w:noWrap/>
            <w:hideMark/>
          </w:tcPr>
          <w:p w14:paraId="6800B733"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7%</w:t>
            </w:r>
          </w:p>
        </w:tc>
        <w:tc>
          <w:tcPr>
            <w:tcW w:w="1530" w:type="dxa"/>
            <w:shd w:val="clear" w:color="auto" w:fill="auto"/>
            <w:noWrap/>
            <w:hideMark/>
          </w:tcPr>
          <w:p w14:paraId="7E8104AD"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9%</w:t>
            </w:r>
          </w:p>
        </w:tc>
        <w:tc>
          <w:tcPr>
            <w:tcW w:w="1338" w:type="dxa"/>
            <w:shd w:val="clear" w:color="auto" w:fill="auto"/>
            <w:noWrap/>
            <w:hideMark/>
          </w:tcPr>
          <w:p w14:paraId="369D694B"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6%</w:t>
            </w:r>
          </w:p>
        </w:tc>
        <w:tc>
          <w:tcPr>
            <w:tcW w:w="1542" w:type="dxa"/>
            <w:shd w:val="clear" w:color="auto" w:fill="auto"/>
            <w:noWrap/>
            <w:hideMark/>
          </w:tcPr>
          <w:p w14:paraId="4FDD333E"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9%</w:t>
            </w:r>
          </w:p>
        </w:tc>
        <w:tc>
          <w:tcPr>
            <w:tcW w:w="1170" w:type="dxa"/>
            <w:shd w:val="clear" w:color="auto" w:fill="auto"/>
            <w:noWrap/>
            <w:hideMark/>
          </w:tcPr>
          <w:p w14:paraId="7403B8EC"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7%</w:t>
            </w:r>
          </w:p>
        </w:tc>
        <w:tc>
          <w:tcPr>
            <w:tcW w:w="1710" w:type="dxa"/>
            <w:shd w:val="clear" w:color="auto" w:fill="auto"/>
            <w:noWrap/>
            <w:hideMark/>
          </w:tcPr>
          <w:p w14:paraId="4DDA290C"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10%</w:t>
            </w:r>
          </w:p>
        </w:tc>
      </w:tr>
      <w:tr w:rsidR="00785487" w:rsidRPr="00785487" w14:paraId="77B38EC2" w14:textId="77777777" w:rsidTr="00BF6B0E">
        <w:trPr>
          <w:trHeight w:val="240"/>
        </w:trPr>
        <w:tc>
          <w:tcPr>
            <w:tcW w:w="1185" w:type="dxa"/>
            <w:shd w:val="clear" w:color="auto" w:fill="auto"/>
            <w:noWrap/>
            <w:hideMark/>
          </w:tcPr>
          <w:p w14:paraId="66BED0FC"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4</w:t>
            </w:r>
          </w:p>
        </w:tc>
        <w:tc>
          <w:tcPr>
            <w:tcW w:w="1260" w:type="dxa"/>
            <w:shd w:val="clear" w:color="auto" w:fill="auto"/>
            <w:noWrap/>
            <w:hideMark/>
          </w:tcPr>
          <w:p w14:paraId="4164504D"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8%</w:t>
            </w:r>
          </w:p>
        </w:tc>
        <w:tc>
          <w:tcPr>
            <w:tcW w:w="1530" w:type="dxa"/>
            <w:shd w:val="clear" w:color="auto" w:fill="auto"/>
            <w:noWrap/>
            <w:hideMark/>
          </w:tcPr>
          <w:p w14:paraId="4069845F"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10%</w:t>
            </w:r>
          </w:p>
        </w:tc>
        <w:tc>
          <w:tcPr>
            <w:tcW w:w="1338" w:type="dxa"/>
            <w:shd w:val="clear" w:color="auto" w:fill="auto"/>
            <w:noWrap/>
            <w:hideMark/>
          </w:tcPr>
          <w:p w14:paraId="2B0807A8"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7%</w:t>
            </w:r>
          </w:p>
        </w:tc>
        <w:tc>
          <w:tcPr>
            <w:tcW w:w="1542" w:type="dxa"/>
            <w:shd w:val="clear" w:color="auto" w:fill="auto"/>
            <w:noWrap/>
            <w:hideMark/>
          </w:tcPr>
          <w:p w14:paraId="6E1A7505"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8%</w:t>
            </w:r>
          </w:p>
        </w:tc>
        <w:tc>
          <w:tcPr>
            <w:tcW w:w="1170" w:type="dxa"/>
            <w:shd w:val="clear" w:color="auto" w:fill="auto"/>
            <w:noWrap/>
            <w:hideMark/>
          </w:tcPr>
          <w:p w14:paraId="08083B7A"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8%</w:t>
            </w:r>
          </w:p>
        </w:tc>
        <w:tc>
          <w:tcPr>
            <w:tcW w:w="1710" w:type="dxa"/>
            <w:shd w:val="clear" w:color="auto" w:fill="auto"/>
            <w:noWrap/>
            <w:hideMark/>
          </w:tcPr>
          <w:p w14:paraId="3EDE7822"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13%</w:t>
            </w:r>
          </w:p>
        </w:tc>
      </w:tr>
      <w:tr w:rsidR="00785487" w:rsidRPr="00785487" w14:paraId="791AD756" w14:textId="77777777" w:rsidTr="00BF6B0E">
        <w:trPr>
          <w:trHeight w:val="240"/>
        </w:trPr>
        <w:tc>
          <w:tcPr>
            <w:tcW w:w="1185" w:type="dxa"/>
            <w:tcBorders>
              <w:bottom w:val="single" w:sz="4" w:space="0" w:color="auto"/>
            </w:tcBorders>
            <w:shd w:val="clear" w:color="auto" w:fill="auto"/>
            <w:noWrap/>
            <w:hideMark/>
          </w:tcPr>
          <w:p w14:paraId="3E78A396"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5</w:t>
            </w:r>
          </w:p>
        </w:tc>
        <w:tc>
          <w:tcPr>
            <w:tcW w:w="1260" w:type="dxa"/>
            <w:tcBorders>
              <w:bottom w:val="single" w:sz="4" w:space="0" w:color="auto"/>
            </w:tcBorders>
            <w:shd w:val="clear" w:color="auto" w:fill="auto"/>
            <w:noWrap/>
            <w:hideMark/>
          </w:tcPr>
          <w:p w14:paraId="352875C1"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10%</w:t>
            </w:r>
          </w:p>
        </w:tc>
        <w:tc>
          <w:tcPr>
            <w:tcW w:w="1530" w:type="dxa"/>
            <w:tcBorders>
              <w:bottom w:val="single" w:sz="4" w:space="0" w:color="auto"/>
            </w:tcBorders>
            <w:shd w:val="clear" w:color="auto" w:fill="auto"/>
            <w:noWrap/>
            <w:hideMark/>
          </w:tcPr>
          <w:p w14:paraId="6C3A32CB"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12%</w:t>
            </w:r>
          </w:p>
        </w:tc>
        <w:tc>
          <w:tcPr>
            <w:tcW w:w="1338" w:type="dxa"/>
            <w:tcBorders>
              <w:bottom w:val="single" w:sz="4" w:space="0" w:color="auto"/>
            </w:tcBorders>
            <w:shd w:val="clear" w:color="auto" w:fill="auto"/>
            <w:noWrap/>
            <w:hideMark/>
          </w:tcPr>
          <w:p w14:paraId="0FBB931B"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10%</w:t>
            </w:r>
          </w:p>
        </w:tc>
        <w:tc>
          <w:tcPr>
            <w:tcW w:w="1542" w:type="dxa"/>
            <w:tcBorders>
              <w:bottom w:val="single" w:sz="4" w:space="0" w:color="auto"/>
            </w:tcBorders>
            <w:shd w:val="clear" w:color="auto" w:fill="auto"/>
            <w:noWrap/>
            <w:hideMark/>
          </w:tcPr>
          <w:p w14:paraId="2A0721F1"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11%</w:t>
            </w:r>
          </w:p>
        </w:tc>
        <w:tc>
          <w:tcPr>
            <w:tcW w:w="1170" w:type="dxa"/>
            <w:tcBorders>
              <w:bottom w:val="single" w:sz="4" w:space="0" w:color="auto"/>
            </w:tcBorders>
            <w:shd w:val="clear" w:color="auto" w:fill="auto"/>
            <w:noWrap/>
            <w:hideMark/>
          </w:tcPr>
          <w:p w14:paraId="6EADD7B1"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9%</w:t>
            </w:r>
          </w:p>
        </w:tc>
        <w:tc>
          <w:tcPr>
            <w:tcW w:w="1710" w:type="dxa"/>
            <w:tcBorders>
              <w:bottom w:val="single" w:sz="4" w:space="0" w:color="auto"/>
            </w:tcBorders>
            <w:shd w:val="clear" w:color="auto" w:fill="auto"/>
            <w:noWrap/>
            <w:hideMark/>
          </w:tcPr>
          <w:p w14:paraId="1E388389"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17%</w:t>
            </w:r>
          </w:p>
        </w:tc>
      </w:tr>
      <w:tr w:rsidR="00785487" w:rsidRPr="00785487" w14:paraId="610BB0C1" w14:textId="77777777" w:rsidTr="00BF6B0E">
        <w:trPr>
          <w:trHeight w:val="240"/>
        </w:trPr>
        <w:tc>
          <w:tcPr>
            <w:tcW w:w="1185" w:type="dxa"/>
            <w:tcBorders>
              <w:top w:val="single" w:sz="4" w:space="0" w:color="auto"/>
              <w:bottom w:val="single" w:sz="4" w:space="0" w:color="auto"/>
            </w:tcBorders>
            <w:shd w:val="clear" w:color="auto" w:fill="auto"/>
            <w:noWrap/>
            <w:hideMark/>
          </w:tcPr>
          <w:p w14:paraId="15C403C4"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Total</w:t>
            </w:r>
          </w:p>
        </w:tc>
        <w:tc>
          <w:tcPr>
            <w:tcW w:w="1260" w:type="dxa"/>
            <w:tcBorders>
              <w:top w:val="single" w:sz="4" w:space="0" w:color="auto"/>
              <w:bottom w:val="single" w:sz="4" w:space="0" w:color="auto"/>
            </w:tcBorders>
            <w:shd w:val="clear" w:color="auto" w:fill="auto"/>
            <w:noWrap/>
            <w:hideMark/>
          </w:tcPr>
          <w:p w14:paraId="1BD1440E"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7%</w:t>
            </w:r>
          </w:p>
        </w:tc>
        <w:tc>
          <w:tcPr>
            <w:tcW w:w="1530" w:type="dxa"/>
            <w:tcBorders>
              <w:top w:val="single" w:sz="4" w:space="0" w:color="auto"/>
              <w:bottom w:val="single" w:sz="4" w:space="0" w:color="auto"/>
            </w:tcBorders>
            <w:shd w:val="clear" w:color="auto" w:fill="auto"/>
            <w:noWrap/>
            <w:hideMark/>
          </w:tcPr>
          <w:p w14:paraId="462C9C5C"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9%</w:t>
            </w:r>
          </w:p>
        </w:tc>
        <w:tc>
          <w:tcPr>
            <w:tcW w:w="1338" w:type="dxa"/>
            <w:tcBorders>
              <w:top w:val="single" w:sz="4" w:space="0" w:color="auto"/>
              <w:bottom w:val="single" w:sz="4" w:space="0" w:color="auto"/>
            </w:tcBorders>
            <w:shd w:val="clear" w:color="auto" w:fill="auto"/>
            <w:noWrap/>
            <w:hideMark/>
          </w:tcPr>
          <w:p w14:paraId="38775601"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6%</w:t>
            </w:r>
          </w:p>
        </w:tc>
        <w:tc>
          <w:tcPr>
            <w:tcW w:w="1542" w:type="dxa"/>
            <w:tcBorders>
              <w:top w:val="single" w:sz="4" w:space="0" w:color="auto"/>
              <w:bottom w:val="single" w:sz="4" w:space="0" w:color="auto"/>
            </w:tcBorders>
            <w:shd w:val="clear" w:color="auto" w:fill="auto"/>
            <w:noWrap/>
            <w:hideMark/>
          </w:tcPr>
          <w:p w14:paraId="552B435F"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8%</w:t>
            </w:r>
          </w:p>
        </w:tc>
        <w:tc>
          <w:tcPr>
            <w:tcW w:w="1170" w:type="dxa"/>
            <w:tcBorders>
              <w:top w:val="single" w:sz="4" w:space="0" w:color="auto"/>
              <w:bottom w:val="single" w:sz="4" w:space="0" w:color="auto"/>
            </w:tcBorders>
            <w:shd w:val="clear" w:color="auto" w:fill="auto"/>
            <w:noWrap/>
            <w:hideMark/>
          </w:tcPr>
          <w:p w14:paraId="77C479A3"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7%</w:t>
            </w:r>
          </w:p>
        </w:tc>
        <w:tc>
          <w:tcPr>
            <w:tcW w:w="1710" w:type="dxa"/>
            <w:tcBorders>
              <w:top w:val="single" w:sz="4" w:space="0" w:color="auto"/>
              <w:bottom w:val="single" w:sz="4" w:space="0" w:color="auto"/>
            </w:tcBorders>
            <w:shd w:val="clear" w:color="auto" w:fill="auto"/>
            <w:noWrap/>
            <w:hideMark/>
          </w:tcPr>
          <w:p w14:paraId="477B5228" w14:textId="77777777" w:rsidR="00785487" w:rsidRPr="00EE4084" w:rsidRDefault="00785487" w:rsidP="00073A37">
            <w:pPr>
              <w:jc w:val="center"/>
              <w:rPr>
                <w:rFonts w:ascii="Arial Narrow" w:hAnsi="Arial Narrow" w:cs="Arial"/>
                <w:sz w:val="22"/>
                <w:szCs w:val="22"/>
              </w:rPr>
            </w:pPr>
            <w:r w:rsidRPr="00EE4084">
              <w:rPr>
                <w:rFonts w:ascii="Arial Narrow" w:hAnsi="Arial Narrow" w:cs="Arial"/>
                <w:sz w:val="22"/>
                <w:szCs w:val="22"/>
              </w:rPr>
              <w:t>11%</w:t>
            </w:r>
          </w:p>
        </w:tc>
      </w:tr>
    </w:tbl>
    <w:p w14:paraId="1E45B8E2" w14:textId="77959E08" w:rsidR="00E165A0" w:rsidRDefault="003D4D46" w:rsidP="00BF6B0E">
      <w:pPr>
        <w:rPr>
          <w:i/>
          <w:sz w:val="22"/>
          <w:lang w:val="en-GB"/>
        </w:rPr>
      </w:pPr>
      <w:r w:rsidRPr="008B7EA0">
        <w:rPr>
          <w:i/>
          <w:sz w:val="22"/>
          <w:lang w:val="en-GB"/>
        </w:rPr>
        <w:t>Source: Mongolia Household Socio-Economic Surveys, 20</w:t>
      </w:r>
      <w:r>
        <w:rPr>
          <w:i/>
          <w:sz w:val="22"/>
          <w:lang w:val="en-GB"/>
        </w:rPr>
        <w:t>10</w:t>
      </w:r>
      <w:r w:rsidRPr="008B7EA0">
        <w:rPr>
          <w:i/>
          <w:sz w:val="22"/>
          <w:lang w:val="en-GB"/>
        </w:rPr>
        <w:t>-2012</w:t>
      </w:r>
    </w:p>
    <w:p w14:paraId="5A0DF5BF" w14:textId="77777777" w:rsidR="007A1B5C" w:rsidRDefault="007A1B5C" w:rsidP="00BF6B0E">
      <w:pPr>
        <w:rPr>
          <w:i/>
          <w:sz w:val="22"/>
          <w:lang w:val="en-GB"/>
        </w:rPr>
      </w:pPr>
    </w:p>
    <w:p w14:paraId="649984B7" w14:textId="77777777" w:rsidR="007A1B5C" w:rsidRPr="00BF6B0E" w:rsidRDefault="007A1B5C" w:rsidP="00BF6B0E">
      <w:pPr>
        <w:rPr>
          <w:i/>
          <w:sz w:val="22"/>
          <w:lang w:val="en-GB"/>
        </w:rPr>
      </w:pPr>
    </w:p>
    <w:p w14:paraId="13CAC664" w14:textId="77777777" w:rsidR="00BE1FF8" w:rsidRPr="00B15F95" w:rsidRDefault="00580844" w:rsidP="00A668EF">
      <w:pPr>
        <w:numPr>
          <w:ilvl w:val="0"/>
          <w:numId w:val="2"/>
        </w:numPr>
        <w:jc w:val="both"/>
        <w:rPr>
          <w:rFonts w:ascii="Arial" w:hAnsi="Arial" w:cs="Arial"/>
          <w:sz w:val="22"/>
          <w:lang w:val="en-GB"/>
        </w:rPr>
      </w:pPr>
      <w:r w:rsidRPr="00B15F95">
        <w:rPr>
          <w:rFonts w:ascii="Arial" w:hAnsi="Arial" w:cs="Arial"/>
          <w:sz w:val="22"/>
          <w:lang w:val="en-GB"/>
        </w:rPr>
        <w:t>Determinants of utilization, including reasons for not seeking health services</w:t>
      </w:r>
    </w:p>
    <w:p w14:paraId="65299E1A" w14:textId="77777777" w:rsidR="00BE1FF8" w:rsidRDefault="00BE1FF8" w:rsidP="00A668EF">
      <w:pPr>
        <w:ind w:left="180"/>
        <w:jc w:val="both"/>
        <w:rPr>
          <w:lang w:val="en-GB"/>
        </w:rPr>
      </w:pPr>
    </w:p>
    <w:p w14:paraId="08A338FF" w14:textId="20ADAAD1" w:rsidR="00453010" w:rsidRDefault="00073A37" w:rsidP="00C71E43">
      <w:pPr>
        <w:jc w:val="both"/>
        <w:rPr>
          <w:rFonts w:ascii="Arial" w:hAnsi="Arial" w:cs="Arial"/>
        </w:rPr>
      </w:pPr>
      <w:r>
        <w:rPr>
          <w:rFonts w:ascii="Arial" w:hAnsi="Arial" w:cs="Arial"/>
        </w:rPr>
        <w:t xml:space="preserve">In Mongolia, the perceived seriousness of illness </w:t>
      </w:r>
      <w:r w:rsidR="0063527C">
        <w:rPr>
          <w:rFonts w:ascii="Arial" w:hAnsi="Arial" w:cs="Arial"/>
        </w:rPr>
        <w:t xml:space="preserve">(46% in 2012) </w:t>
      </w:r>
      <w:r>
        <w:rPr>
          <w:rFonts w:ascii="Arial" w:hAnsi="Arial" w:cs="Arial"/>
        </w:rPr>
        <w:t xml:space="preserve">and self-treatment </w:t>
      </w:r>
      <w:r w:rsidR="0063527C">
        <w:rPr>
          <w:rFonts w:ascii="Arial" w:hAnsi="Arial" w:cs="Arial"/>
        </w:rPr>
        <w:t xml:space="preserve">(40.5% in 2012) </w:t>
      </w:r>
      <w:r>
        <w:rPr>
          <w:rFonts w:ascii="Arial" w:hAnsi="Arial" w:cs="Arial"/>
        </w:rPr>
        <w:t xml:space="preserve">constitute </w:t>
      </w:r>
      <w:r w:rsidR="00DC4790">
        <w:rPr>
          <w:rFonts w:ascii="Arial" w:hAnsi="Arial" w:cs="Arial"/>
        </w:rPr>
        <w:t>the highest</w:t>
      </w:r>
      <w:r>
        <w:rPr>
          <w:rFonts w:ascii="Arial" w:hAnsi="Arial" w:cs="Arial"/>
        </w:rPr>
        <w:t xml:space="preserve"> portion</w:t>
      </w:r>
      <w:r w:rsidR="0063527C">
        <w:rPr>
          <w:rFonts w:ascii="Arial" w:hAnsi="Arial" w:cs="Arial"/>
        </w:rPr>
        <w:t>s</w:t>
      </w:r>
      <w:r>
        <w:rPr>
          <w:rFonts w:ascii="Arial" w:hAnsi="Arial" w:cs="Arial"/>
        </w:rPr>
        <w:t xml:space="preserve"> of the</w:t>
      </w:r>
      <w:r w:rsidR="008F2CA9">
        <w:rPr>
          <w:rFonts w:ascii="Arial" w:hAnsi="Arial" w:cs="Arial"/>
        </w:rPr>
        <w:t xml:space="preserve"> reasons </w:t>
      </w:r>
      <w:r w:rsidR="0063527C">
        <w:rPr>
          <w:rFonts w:ascii="Arial" w:hAnsi="Arial" w:cs="Arial"/>
        </w:rPr>
        <w:t>for</w:t>
      </w:r>
      <w:r w:rsidR="008F2CA9">
        <w:rPr>
          <w:rFonts w:ascii="Arial" w:hAnsi="Arial" w:cs="Arial"/>
        </w:rPr>
        <w:t xml:space="preserve"> </w:t>
      </w:r>
      <w:r w:rsidR="0066332E">
        <w:rPr>
          <w:rFonts w:ascii="Arial" w:hAnsi="Arial" w:cs="Arial"/>
        </w:rPr>
        <w:t xml:space="preserve">not </w:t>
      </w:r>
      <w:r>
        <w:rPr>
          <w:rFonts w:ascii="Arial" w:hAnsi="Arial" w:cs="Arial"/>
        </w:rPr>
        <w:t xml:space="preserve">seeking </w:t>
      </w:r>
      <w:r w:rsidR="0066332E">
        <w:rPr>
          <w:rFonts w:ascii="Arial" w:hAnsi="Arial" w:cs="Arial"/>
        </w:rPr>
        <w:t xml:space="preserve">health </w:t>
      </w:r>
      <w:r>
        <w:rPr>
          <w:rFonts w:ascii="Arial" w:hAnsi="Arial" w:cs="Arial"/>
        </w:rPr>
        <w:t>services</w:t>
      </w:r>
      <w:r w:rsidR="0063527C">
        <w:rPr>
          <w:rFonts w:ascii="Arial" w:hAnsi="Arial" w:cs="Arial"/>
        </w:rPr>
        <w:t xml:space="preserve"> among the population (Figure </w:t>
      </w:r>
      <w:r w:rsidR="00DC4790">
        <w:rPr>
          <w:rFonts w:ascii="Arial" w:hAnsi="Arial" w:cs="Arial"/>
        </w:rPr>
        <w:t>5</w:t>
      </w:r>
      <w:r w:rsidR="0063527C">
        <w:rPr>
          <w:rFonts w:ascii="Arial" w:hAnsi="Arial" w:cs="Arial"/>
        </w:rPr>
        <w:t>)</w:t>
      </w:r>
      <w:r w:rsidR="007B1BDC">
        <w:rPr>
          <w:rFonts w:ascii="Arial" w:hAnsi="Arial" w:cs="Arial"/>
        </w:rPr>
        <w:t>. Further</w:t>
      </w:r>
      <w:r w:rsidR="0063527C">
        <w:rPr>
          <w:rFonts w:ascii="Arial" w:hAnsi="Arial" w:cs="Arial"/>
        </w:rPr>
        <w:t xml:space="preserve">more, financial constraints, </w:t>
      </w:r>
      <w:r w:rsidR="007B1BDC">
        <w:rPr>
          <w:rFonts w:ascii="Arial" w:hAnsi="Arial" w:cs="Arial"/>
        </w:rPr>
        <w:t>distance and transportation to health care providers were important barriers to access health services.</w:t>
      </w:r>
    </w:p>
    <w:p w14:paraId="460A37E3" w14:textId="77777777" w:rsidR="007B1BDC" w:rsidRDefault="007B1BDC" w:rsidP="00C71E43">
      <w:pPr>
        <w:jc w:val="both"/>
        <w:rPr>
          <w:rFonts w:ascii="Arial" w:hAnsi="Arial" w:cs="Arial"/>
        </w:rPr>
      </w:pPr>
    </w:p>
    <w:p w14:paraId="6D93E93B" w14:textId="7CD9FB39" w:rsidR="007B1BDC" w:rsidRPr="007B1BDC" w:rsidRDefault="007B1BDC" w:rsidP="007B1BDC">
      <w:pPr>
        <w:pStyle w:val="Caption"/>
        <w:spacing w:after="0"/>
        <w:rPr>
          <w:rFonts w:ascii="Arial" w:hAnsi="Arial" w:cs="Arial"/>
          <w:b w:val="0"/>
          <w:sz w:val="22"/>
          <w:szCs w:val="22"/>
        </w:rPr>
      </w:pPr>
      <w:bookmarkStart w:id="31" w:name="_Toc310170110"/>
      <w:r w:rsidRPr="00D16F85">
        <w:rPr>
          <w:rFonts w:ascii="Arial" w:hAnsi="Arial" w:cs="Arial"/>
          <w:b w:val="0"/>
          <w:sz w:val="22"/>
          <w:szCs w:val="22"/>
        </w:rPr>
        <w:t xml:space="preserve">Figure </w:t>
      </w:r>
      <w:r w:rsidRPr="00D16F85">
        <w:rPr>
          <w:rFonts w:ascii="Arial" w:hAnsi="Arial" w:cs="Arial"/>
          <w:b w:val="0"/>
          <w:sz w:val="22"/>
          <w:szCs w:val="22"/>
        </w:rPr>
        <w:fldChar w:fldCharType="begin"/>
      </w:r>
      <w:r w:rsidRPr="00D16F85">
        <w:rPr>
          <w:rFonts w:ascii="Arial" w:hAnsi="Arial" w:cs="Arial"/>
          <w:b w:val="0"/>
          <w:sz w:val="22"/>
          <w:szCs w:val="22"/>
        </w:rPr>
        <w:instrText xml:space="preserve"> SEQ Figure \* ARABIC </w:instrText>
      </w:r>
      <w:r w:rsidRPr="00D16F85">
        <w:rPr>
          <w:rFonts w:ascii="Arial" w:hAnsi="Arial" w:cs="Arial"/>
          <w:b w:val="0"/>
          <w:sz w:val="22"/>
          <w:szCs w:val="22"/>
        </w:rPr>
        <w:fldChar w:fldCharType="separate"/>
      </w:r>
      <w:r w:rsidR="00DC4790">
        <w:rPr>
          <w:rFonts w:ascii="Arial" w:hAnsi="Arial" w:cs="Arial"/>
          <w:b w:val="0"/>
          <w:noProof/>
          <w:sz w:val="22"/>
          <w:szCs w:val="22"/>
        </w:rPr>
        <w:t>5</w:t>
      </w:r>
      <w:r w:rsidRPr="00D16F85">
        <w:rPr>
          <w:rFonts w:ascii="Arial" w:hAnsi="Arial" w:cs="Arial"/>
          <w:b w:val="0"/>
          <w:sz w:val="22"/>
          <w:szCs w:val="22"/>
        </w:rPr>
        <w:fldChar w:fldCharType="end"/>
      </w:r>
      <w:r w:rsidRPr="00D16F85">
        <w:rPr>
          <w:rFonts w:ascii="Arial" w:hAnsi="Arial" w:cs="Arial"/>
          <w:b w:val="0"/>
          <w:sz w:val="22"/>
          <w:szCs w:val="22"/>
        </w:rPr>
        <w:t xml:space="preserve">: </w:t>
      </w:r>
      <w:r>
        <w:rPr>
          <w:rFonts w:ascii="Arial" w:hAnsi="Arial" w:cs="Arial"/>
          <w:b w:val="0"/>
          <w:sz w:val="22"/>
          <w:szCs w:val="22"/>
        </w:rPr>
        <w:t>Percentage d</w:t>
      </w:r>
      <w:r w:rsidRPr="00D16F85">
        <w:rPr>
          <w:rFonts w:ascii="Arial" w:hAnsi="Arial" w:cs="Arial"/>
          <w:b w:val="0"/>
          <w:sz w:val="22"/>
          <w:szCs w:val="22"/>
        </w:rPr>
        <w:t xml:space="preserve">istribution of </w:t>
      </w:r>
      <w:r>
        <w:rPr>
          <w:rFonts w:ascii="Arial" w:hAnsi="Arial" w:cs="Arial"/>
          <w:b w:val="0"/>
          <w:sz w:val="22"/>
          <w:szCs w:val="22"/>
        </w:rPr>
        <w:t>reasons for not seeking health care</w:t>
      </w:r>
      <w:bookmarkEnd w:id="31"/>
      <w:r w:rsidRPr="00D16F85">
        <w:rPr>
          <w:rFonts w:ascii="Arial" w:hAnsi="Arial" w:cs="Arial"/>
          <w:b w:val="0"/>
          <w:sz w:val="22"/>
          <w:szCs w:val="22"/>
        </w:rPr>
        <w:t xml:space="preserve"> </w:t>
      </w:r>
    </w:p>
    <w:p w14:paraId="68A8A7D5" w14:textId="77777777" w:rsidR="007B1BDC" w:rsidRDefault="007B1BDC" w:rsidP="00C71E43">
      <w:pPr>
        <w:jc w:val="both"/>
        <w:rPr>
          <w:rFonts w:ascii="Arial" w:hAnsi="Arial" w:cs="Arial"/>
        </w:rPr>
      </w:pPr>
    </w:p>
    <w:p w14:paraId="110ED2DD" w14:textId="3D92BD92" w:rsidR="007B1BDC" w:rsidRPr="00C71E43" w:rsidRDefault="0095137A" w:rsidP="00C71E43">
      <w:pPr>
        <w:jc w:val="both"/>
        <w:rPr>
          <w:rFonts w:ascii="Arial" w:hAnsi="Arial" w:cs="Arial"/>
        </w:rPr>
      </w:pPr>
      <w:r w:rsidRPr="0095137A">
        <w:rPr>
          <w:noProof/>
        </w:rPr>
        <w:drawing>
          <wp:inline distT="0" distB="0" distL="0" distR="0" wp14:anchorId="139432F7" wp14:editId="77178B9F">
            <wp:extent cx="6021770" cy="2827623"/>
            <wp:effectExtent l="0" t="0" r="0" b="0"/>
            <wp:docPr id="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22735" cy="2828076"/>
                    </a:xfrm>
                    <a:prstGeom prst="rect">
                      <a:avLst/>
                    </a:prstGeom>
                    <a:noFill/>
                    <a:ln>
                      <a:noFill/>
                    </a:ln>
                  </pic:spPr>
                </pic:pic>
              </a:graphicData>
            </a:graphic>
          </wp:inline>
        </w:drawing>
      </w:r>
    </w:p>
    <w:p w14:paraId="03454A6B" w14:textId="77777777" w:rsidR="000B5169" w:rsidRPr="008B7EA0" w:rsidRDefault="000B5169" w:rsidP="000B5169">
      <w:pPr>
        <w:rPr>
          <w:i/>
          <w:sz w:val="22"/>
          <w:lang w:val="en-GB"/>
        </w:rPr>
      </w:pPr>
      <w:r w:rsidRPr="008B7EA0">
        <w:rPr>
          <w:i/>
          <w:sz w:val="22"/>
          <w:lang w:val="en-GB"/>
        </w:rPr>
        <w:t>Source: Mongolia Household Socio-Economic Surveys, 20</w:t>
      </w:r>
      <w:r>
        <w:rPr>
          <w:i/>
          <w:sz w:val="22"/>
          <w:lang w:val="en-GB"/>
        </w:rPr>
        <w:t>10</w:t>
      </w:r>
      <w:r w:rsidRPr="008B7EA0">
        <w:rPr>
          <w:i/>
          <w:sz w:val="22"/>
          <w:lang w:val="en-GB"/>
        </w:rPr>
        <w:t>-2012</w:t>
      </w:r>
    </w:p>
    <w:p w14:paraId="3FDB80D9" w14:textId="77777777" w:rsidR="007B1BDC" w:rsidRDefault="007B1BDC" w:rsidP="00D16F85">
      <w:pPr>
        <w:pStyle w:val="Heading3"/>
        <w:spacing w:before="0"/>
        <w:jc w:val="both"/>
        <w:rPr>
          <w:lang w:val="en-GB"/>
        </w:rPr>
      </w:pPr>
    </w:p>
    <w:p w14:paraId="6903A8EE" w14:textId="77777777" w:rsidR="0095137A" w:rsidRDefault="0095137A" w:rsidP="00D16F85">
      <w:pPr>
        <w:pStyle w:val="Heading3"/>
        <w:spacing w:before="0"/>
        <w:jc w:val="both"/>
        <w:rPr>
          <w:lang w:val="en-GB"/>
        </w:rPr>
      </w:pPr>
    </w:p>
    <w:p w14:paraId="010F635C" w14:textId="77777777" w:rsidR="00580844" w:rsidRDefault="00580844" w:rsidP="00D16F85">
      <w:pPr>
        <w:pStyle w:val="Heading3"/>
        <w:spacing w:before="0"/>
        <w:jc w:val="both"/>
        <w:rPr>
          <w:lang w:val="en-GB"/>
        </w:rPr>
      </w:pPr>
      <w:bookmarkStart w:id="32" w:name="_Toc305764309"/>
      <w:r w:rsidRPr="00BE1FF8">
        <w:rPr>
          <w:lang w:val="en-GB"/>
        </w:rPr>
        <w:t xml:space="preserve">Out-of-pocket </w:t>
      </w:r>
      <w:r w:rsidR="0049498A">
        <w:rPr>
          <w:lang w:val="en-GB"/>
        </w:rPr>
        <w:t xml:space="preserve">health </w:t>
      </w:r>
      <w:r w:rsidRPr="00BE1FF8">
        <w:rPr>
          <w:lang w:val="en-GB"/>
        </w:rPr>
        <w:t>expenditure</w:t>
      </w:r>
      <w:bookmarkEnd w:id="32"/>
    </w:p>
    <w:p w14:paraId="46636057" w14:textId="77777777" w:rsidR="00A668EF" w:rsidRPr="00A668EF" w:rsidRDefault="00A668EF" w:rsidP="00A668EF"/>
    <w:p w14:paraId="6D73D1FB" w14:textId="77777777" w:rsidR="00580844" w:rsidRPr="00B15F95" w:rsidRDefault="00580844" w:rsidP="00A668EF">
      <w:pPr>
        <w:pStyle w:val="ListParagraph"/>
        <w:numPr>
          <w:ilvl w:val="0"/>
          <w:numId w:val="3"/>
        </w:numPr>
        <w:ind w:left="720"/>
        <w:jc w:val="both"/>
        <w:rPr>
          <w:rFonts w:ascii="Arial" w:hAnsi="Arial" w:cs="Arial"/>
          <w:sz w:val="22"/>
          <w:lang w:val="en-GB"/>
        </w:rPr>
      </w:pPr>
      <w:r w:rsidRPr="00B15F95">
        <w:rPr>
          <w:rFonts w:ascii="Arial" w:hAnsi="Arial" w:cs="Arial"/>
          <w:sz w:val="22"/>
          <w:lang w:val="en-GB"/>
        </w:rPr>
        <w:t>Distribution of out-of-pocket health payments in absolute terms and as a share of total household expenditure and capacity to pay across quintiles</w:t>
      </w:r>
    </w:p>
    <w:p w14:paraId="0F4B7077" w14:textId="77777777" w:rsidR="000D0EB7" w:rsidRDefault="000D0EB7" w:rsidP="000D0EB7">
      <w:pPr>
        <w:jc w:val="both"/>
        <w:rPr>
          <w:lang w:val="en-GB"/>
        </w:rPr>
      </w:pPr>
    </w:p>
    <w:p w14:paraId="5C263675" w14:textId="64467B01" w:rsidR="00FC2D6F" w:rsidRPr="00B15F95" w:rsidRDefault="00B161D4" w:rsidP="000D0EB7">
      <w:pPr>
        <w:jc w:val="both"/>
        <w:rPr>
          <w:rFonts w:ascii="Arial" w:hAnsi="Arial" w:cs="Arial"/>
          <w:lang w:val="en-GB"/>
        </w:rPr>
      </w:pPr>
      <w:r>
        <w:rPr>
          <w:rFonts w:ascii="Arial" w:hAnsi="Arial" w:cs="Arial"/>
          <w:lang w:val="en-GB"/>
        </w:rPr>
        <w:t>After adjusting for inflation, o</w:t>
      </w:r>
      <w:r w:rsidR="00631ADC">
        <w:rPr>
          <w:rFonts w:ascii="Arial" w:hAnsi="Arial" w:cs="Arial"/>
          <w:lang w:val="en-GB"/>
        </w:rPr>
        <w:t>ut of pocket health payments ro</w:t>
      </w:r>
      <w:r w:rsidR="00736172" w:rsidRPr="00B15F95">
        <w:rPr>
          <w:rFonts w:ascii="Arial" w:hAnsi="Arial" w:cs="Arial"/>
          <w:lang w:val="en-GB"/>
        </w:rPr>
        <w:t xml:space="preserve">se from </w:t>
      </w:r>
      <w:r w:rsidR="0063527C">
        <w:rPr>
          <w:rFonts w:ascii="Arial" w:hAnsi="Arial" w:cs="Arial"/>
          <w:lang w:val="en-GB"/>
        </w:rPr>
        <w:t xml:space="preserve">the </w:t>
      </w:r>
      <w:r w:rsidR="00736172" w:rsidRPr="00B15F95">
        <w:rPr>
          <w:rFonts w:ascii="Arial" w:hAnsi="Arial" w:cs="Arial"/>
          <w:lang w:val="en-GB"/>
        </w:rPr>
        <w:t>poor</w:t>
      </w:r>
      <w:r w:rsidR="00736172">
        <w:rPr>
          <w:rFonts w:ascii="Arial" w:hAnsi="Arial" w:cs="Arial"/>
          <w:lang w:val="en-GB"/>
        </w:rPr>
        <w:t>est</w:t>
      </w:r>
      <w:r w:rsidR="00736172" w:rsidRPr="00B15F95">
        <w:rPr>
          <w:rFonts w:ascii="Arial" w:hAnsi="Arial" w:cs="Arial"/>
          <w:lang w:val="en-GB"/>
        </w:rPr>
        <w:t xml:space="preserve"> to richest expenditure quintile </w:t>
      </w:r>
      <w:r w:rsidR="00EE4084">
        <w:rPr>
          <w:rFonts w:ascii="Arial" w:hAnsi="Arial" w:cs="Arial"/>
          <w:lang w:val="en-GB"/>
        </w:rPr>
        <w:t xml:space="preserve">and </w:t>
      </w:r>
      <w:r w:rsidR="0063527C">
        <w:rPr>
          <w:rFonts w:ascii="Arial" w:hAnsi="Arial" w:cs="Arial"/>
          <w:lang w:val="en-GB"/>
        </w:rPr>
        <w:t xml:space="preserve">the </w:t>
      </w:r>
      <w:r w:rsidR="00EE4084">
        <w:rPr>
          <w:rFonts w:ascii="Arial" w:hAnsi="Arial" w:cs="Arial"/>
          <w:lang w:val="en-GB"/>
        </w:rPr>
        <w:t>over time</w:t>
      </w:r>
      <w:r w:rsidR="00736172" w:rsidRPr="00B15F95">
        <w:rPr>
          <w:rFonts w:ascii="Arial" w:hAnsi="Arial" w:cs="Arial"/>
          <w:lang w:val="en-GB"/>
        </w:rPr>
        <w:t xml:space="preserve">. In absolute terms, the poor households spent 10-15 times less than the highest expenditure quintile over the years analysed. </w:t>
      </w:r>
      <w:r w:rsidR="009C77B9" w:rsidRPr="00B15F95">
        <w:rPr>
          <w:rFonts w:ascii="Arial" w:hAnsi="Arial" w:cs="Arial"/>
          <w:lang w:val="en-GB"/>
        </w:rPr>
        <w:t>On average,</w:t>
      </w:r>
      <w:r w:rsidR="00E06CC7">
        <w:rPr>
          <w:rFonts w:ascii="Arial" w:hAnsi="Arial" w:cs="Arial"/>
          <w:lang w:val="en-GB"/>
        </w:rPr>
        <w:t xml:space="preserve"> Mongolian households</w:t>
      </w:r>
      <w:r w:rsidR="0049498A" w:rsidRPr="00B15F95">
        <w:rPr>
          <w:rFonts w:ascii="Arial" w:hAnsi="Arial" w:cs="Arial"/>
          <w:lang w:val="en-GB"/>
        </w:rPr>
        <w:t xml:space="preserve"> spent </w:t>
      </w:r>
      <w:r w:rsidR="0063527C">
        <w:rPr>
          <w:rFonts w:ascii="Arial" w:hAnsi="Arial" w:cs="Arial"/>
          <w:lang w:val="en-GB"/>
        </w:rPr>
        <w:t xml:space="preserve">per capita </w:t>
      </w:r>
      <w:r w:rsidR="00911584">
        <w:rPr>
          <w:rFonts w:ascii="Arial" w:hAnsi="Arial" w:cs="Arial"/>
          <w:lang w:val="en-GB"/>
        </w:rPr>
        <w:t xml:space="preserve">9231 MNT in 2009, </w:t>
      </w:r>
      <w:r w:rsidR="001B76DB">
        <w:rPr>
          <w:rFonts w:ascii="Arial" w:hAnsi="Arial" w:cs="Arial"/>
          <w:lang w:val="en-GB"/>
        </w:rPr>
        <w:t>15072</w:t>
      </w:r>
      <w:r w:rsidR="0049498A" w:rsidRPr="00B15F95">
        <w:rPr>
          <w:rFonts w:ascii="Arial" w:hAnsi="Arial" w:cs="Arial"/>
          <w:lang w:val="en-GB"/>
        </w:rPr>
        <w:t xml:space="preserve"> MNT </w:t>
      </w:r>
      <w:r w:rsidR="009C77B9" w:rsidRPr="00B15F95">
        <w:rPr>
          <w:rFonts w:ascii="Arial" w:hAnsi="Arial" w:cs="Arial"/>
          <w:lang w:val="en-GB"/>
        </w:rPr>
        <w:t xml:space="preserve">in 2010, </w:t>
      </w:r>
      <w:proofErr w:type="gramStart"/>
      <w:r w:rsidR="001B76DB">
        <w:rPr>
          <w:rFonts w:ascii="Arial" w:hAnsi="Arial" w:cs="Arial"/>
          <w:lang w:val="en-GB"/>
        </w:rPr>
        <w:t>15275</w:t>
      </w:r>
      <w:proofErr w:type="gramEnd"/>
      <w:r w:rsidR="009C77B9" w:rsidRPr="00B15F95">
        <w:rPr>
          <w:rFonts w:ascii="Arial" w:hAnsi="Arial" w:cs="Arial"/>
          <w:lang w:val="en-GB"/>
        </w:rPr>
        <w:t xml:space="preserve"> MNT in 2011 and </w:t>
      </w:r>
      <w:r w:rsidR="001B76DB">
        <w:rPr>
          <w:rFonts w:ascii="Arial" w:hAnsi="Arial" w:cs="Arial"/>
          <w:lang w:val="en-GB"/>
        </w:rPr>
        <w:t>18164</w:t>
      </w:r>
      <w:r w:rsidR="009C77B9" w:rsidRPr="00B15F95">
        <w:rPr>
          <w:rFonts w:ascii="Arial" w:hAnsi="Arial" w:cs="Arial"/>
          <w:lang w:val="en-GB"/>
        </w:rPr>
        <w:t xml:space="preserve"> MNT in 2012. </w:t>
      </w:r>
      <w:r w:rsidR="00EE4084">
        <w:rPr>
          <w:rFonts w:ascii="Arial" w:hAnsi="Arial" w:cs="Arial"/>
          <w:lang w:val="en-GB"/>
        </w:rPr>
        <w:t xml:space="preserve">The </w:t>
      </w:r>
      <w:r w:rsidR="00EB7641">
        <w:rPr>
          <w:rFonts w:ascii="Arial" w:hAnsi="Arial" w:cs="Arial"/>
          <w:lang w:val="en-GB"/>
        </w:rPr>
        <w:t xml:space="preserve">average amount of </w:t>
      </w:r>
      <w:r w:rsidR="00E06CC7">
        <w:rPr>
          <w:rFonts w:ascii="Arial" w:hAnsi="Arial" w:cs="Arial"/>
          <w:lang w:val="en-GB"/>
        </w:rPr>
        <w:t xml:space="preserve">households </w:t>
      </w:r>
      <w:r w:rsidR="00EE4084">
        <w:rPr>
          <w:rFonts w:ascii="Arial" w:hAnsi="Arial" w:cs="Arial"/>
          <w:lang w:val="en-GB"/>
        </w:rPr>
        <w:t xml:space="preserve">OOPs in 2012 doubled its value </w:t>
      </w:r>
      <w:r w:rsidR="00EB7641">
        <w:rPr>
          <w:rFonts w:ascii="Arial" w:hAnsi="Arial" w:cs="Arial"/>
          <w:lang w:val="en-GB"/>
        </w:rPr>
        <w:t>of</w:t>
      </w:r>
      <w:r w:rsidR="00EE4084">
        <w:rPr>
          <w:rFonts w:ascii="Arial" w:hAnsi="Arial" w:cs="Arial"/>
          <w:lang w:val="en-GB"/>
        </w:rPr>
        <w:t xml:space="preserve"> 2009</w:t>
      </w:r>
      <w:r w:rsidR="000B5169">
        <w:rPr>
          <w:rFonts w:ascii="Arial" w:hAnsi="Arial" w:cs="Arial"/>
          <w:lang w:val="en-GB"/>
        </w:rPr>
        <w:t xml:space="preserve"> (Table 11)</w:t>
      </w:r>
      <w:r w:rsidR="00EE4084">
        <w:rPr>
          <w:rFonts w:ascii="Arial" w:hAnsi="Arial" w:cs="Arial"/>
          <w:lang w:val="en-GB"/>
        </w:rPr>
        <w:t xml:space="preserve">. </w:t>
      </w:r>
      <w:r w:rsidR="009C77B9" w:rsidRPr="00B15F95">
        <w:rPr>
          <w:rFonts w:ascii="Arial" w:hAnsi="Arial" w:cs="Arial"/>
          <w:lang w:val="en-GB"/>
        </w:rPr>
        <w:t xml:space="preserve">It is notable that </w:t>
      </w:r>
      <w:r w:rsidR="00A863E5" w:rsidRPr="00B15F95">
        <w:rPr>
          <w:rFonts w:ascii="Arial" w:hAnsi="Arial" w:cs="Arial"/>
          <w:lang w:val="en-GB"/>
        </w:rPr>
        <w:t xml:space="preserve">the highest income households have been spending almost three times the average as they have sought health services at </w:t>
      </w:r>
      <w:r w:rsidR="00B15F95">
        <w:rPr>
          <w:rFonts w:ascii="Arial" w:hAnsi="Arial" w:cs="Arial"/>
          <w:lang w:val="en-GB"/>
        </w:rPr>
        <w:t xml:space="preserve">tertiary care hospitals, </w:t>
      </w:r>
      <w:r w:rsidR="00A863E5" w:rsidRPr="00B15F95">
        <w:rPr>
          <w:rFonts w:ascii="Arial" w:hAnsi="Arial" w:cs="Arial"/>
          <w:lang w:val="en-GB"/>
        </w:rPr>
        <w:t>private and overseas hospitals more</w:t>
      </w:r>
      <w:r w:rsidR="00EE4084">
        <w:rPr>
          <w:rFonts w:ascii="Arial" w:hAnsi="Arial" w:cs="Arial"/>
          <w:lang w:val="en-GB"/>
        </w:rPr>
        <w:t xml:space="preserve"> (Figure </w:t>
      </w:r>
      <w:r w:rsidR="007E380D">
        <w:rPr>
          <w:rFonts w:ascii="Arial" w:hAnsi="Arial" w:cs="Arial"/>
          <w:lang w:val="en-GB"/>
        </w:rPr>
        <w:t>3</w:t>
      </w:r>
      <w:r w:rsidR="00EE4084">
        <w:rPr>
          <w:rFonts w:ascii="Arial" w:hAnsi="Arial" w:cs="Arial"/>
          <w:lang w:val="en-GB"/>
        </w:rPr>
        <w:t>)</w:t>
      </w:r>
      <w:r w:rsidR="00A863E5" w:rsidRPr="00B15F95">
        <w:rPr>
          <w:rFonts w:ascii="Arial" w:hAnsi="Arial" w:cs="Arial"/>
          <w:lang w:val="en-GB"/>
        </w:rPr>
        <w:t>.</w:t>
      </w:r>
    </w:p>
    <w:p w14:paraId="63A6533C" w14:textId="77777777" w:rsidR="00D13005" w:rsidRPr="00D13005" w:rsidRDefault="00D13005" w:rsidP="00D13005"/>
    <w:p w14:paraId="537F4B44" w14:textId="66587E4E" w:rsidR="00FC2D6F" w:rsidRPr="00560FA1" w:rsidRDefault="00B15F95" w:rsidP="00B15F95">
      <w:pPr>
        <w:pStyle w:val="Caption"/>
        <w:rPr>
          <w:rFonts w:ascii="Arial" w:hAnsi="Arial" w:cs="Arial"/>
          <w:b w:val="0"/>
          <w:sz w:val="22"/>
          <w:szCs w:val="22"/>
          <w:lang w:val="en-GB"/>
        </w:rPr>
      </w:pPr>
      <w:bookmarkStart w:id="33" w:name="_Toc310170094"/>
      <w:r w:rsidRPr="00560FA1">
        <w:rPr>
          <w:rFonts w:ascii="Arial" w:hAnsi="Arial" w:cs="Arial"/>
          <w:b w:val="0"/>
          <w:sz w:val="22"/>
          <w:szCs w:val="22"/>
        </w:rPr>
        <w:t xml:space="preserve">Table </w:t>
      </w:r>
      <w:r w:rsidR="00CB191B" w:rsidRPr="00560FA1">
        <w:rPr>
          <w:rFonts w:ascii="Arial" w:hAnsi="Arial" w:cs="Arial"/>
          <w:b w:val="0"/>
          <w:sz w:val="22"/>
          <w:szCs w:val="22"/>
        </w:rPr>
        <w:fldChar w:fldCharType="begin"/>
      </w:r>
      <w:r w:rsidRPr="00560FA1">
        <w:rPr>
          <w:rFonts w:ascii="Arial" w:hAnsi="Arial" w:cs="Arial"/>
          <w:b w:val="0"/>
          <w:sz w:val="22"/>
          <w:szCs w:val="22"/>
        </w:rPr>
        <w:instrText xml:space="preserve"> SEQ Table \* ARABIC </w:instrText>
      </w:r>
      <w:r w:rsidR="00CB191B" w:rsidRPr="00560FA1">
        <w:rPr>
          <w:rFonts w:ascii="Arial" w:hAnsi="Arial" w:cs="Arial"/>
          <w:b w:val="0"/>
          <w:sz w:val="22"/>
          <w:szCs w:val="22"/>
        </w:rPr>
        <w:fldChar w:fldCharType="separate"/>
      </w:r>
      <w:r w:rsidR="000B5169">
        <w:rPr>
          <w:rFonts w:ascii="Arial" w:hAnsi="Arial" w:cs="Arial"/>
          <w:b w:val="0"/>
          <w:noProof/>
          <w:sz w:val="22"/>
          <w:szCs w:val="22"/>
        </w:rPr>
        <w:t>11</w:t>
      </w:r>
      <w:r w:rsidR="00CB191B" w:rsidRPr="00560FA1">
        <w:rPr>
          <w:rFonts w:ascii="Arial" w:hAnsi="Arial" w:cs="Arial"/>
          <w:b w:val="0"/>
          <w:sz w:val="22"/>
          <w:szCs w:val="22"/>
        </w:rPr>
        <w:fldChar w:fldCharType="end"/>
      </w:r>
      <w:r w:rsidRPr="00560FA1">
        <w:rPr>
          <w:rFonts w:ascii="Arial" w:hAnsi="Arial" w:cs="Arial"/>
          <w:b w:val="0"/>
          <w:sz w:val="22"/>
          <w:szCs w:val="22"/>
        </w:rPr>
        <w:t>:</w:t>
      </w:r>
      <w:r w:rsidR="0063527C">
        <w:rPr>
          <w:rFonts w:ascii="Arial" w:hAnsi="Arial" w:cs="Arial"/>
          <w:b w:val="0"/>
          <w:iCs/>
          <w:sz w:val="22"/>
          <w:szCs w:val="22"/>
        </w:rPr>
        <w:t xml:space="preserve"> Distribution of </w:t>
      </w:r>
      <w:r w:rsidR="00E06CC7">
        <w:rPr>
          <w:rFonts w:ascii="Arial" w:hAnsi="Arial" w:cs="Arial"/>
          <w:b w:val="0"/>
          <w:iCs/>
          <w:sz w:val="22"/>
          <w:szCs w:val="22"/>
        </w:rPr>
        <w:t xml:space="preserve">household </w:t>
      </w:r>
      <w:r w:rsidR="0063527C">
        <w:rPr>
          <w:rFonts w:ascii="Arial" w:hAnsi="Arial" w:cs="Arial"/>
          <w:b w:val="0"/>
          <w:iCs/>
          <w:sz w:val="22"/>
          <w:szCs w:val="22"/>
        </w:rPr>
        <w:t>o</w:t>
      </w:r>
      <w:r w:rsidR="00FC2D6F" w:rsidRPr="00560FA1">
        <w:rPr>
          <w:rFonts w:ascii="Arial" w:hAnsi="Arial" w:cs="Arial"/>
          <w:b w:val="0"/>
          <w:iCs/>
          <w:sz w:val="22"/>
          <w:szCs w:val="22"/>
        </w:rPr>
        <w:t xml:space="preserve">ut of pocket health payments </w:t>
      </w:r>
      <w:r w:rsidR="00FC2D6F" w:rsidRPr="00560FA1">
        <w:rPr>
          <w:rFonts w:ascii="Arial" w:hAnsi="Arial" w:cs="Arial"/>
          <w:b w:val="0"/>
          <w:sz w:val="22"/>
          <w:szCs w:val="22"/>
          <w:lang w:val="en-GB"/>
        </w:rPr>
        <w:t>in absolute terms by quintiles</w:t>
      </w:r>
      <w:r w:rsidR="00AD5F6B">
        <w:rPr>
          <w:rFonts w:ascii="Arial" w:hAnsi="Arial" w:cs="Arial"/>
          <w:b w:val="0"/>
          <w:sz w:val="22"/>
          <w:szCs w:val="22"/>
          <w:lang w:val="en-GB"/>
        </w:rPr>
        <w:t>, (</w:t>
      </w:r>
      <w:r w:rsidR="00B161D4">
        <w:rPr>
          <w:rFonts w:ascii="Arial" w:hAnsi="Arial" w:cs="Arial"/>
          <w:b w:val="0"/>
          <w:sz w:val="22"/>
          <w:szCs w:val="22"/>
          <w:lang w:val="en-GB"/>
        </w:rPr>
        <w:t xml:space="preserve">2009 </w:t>
      </w:r>
      <w:r w:rsidR="006066BA">
        <w:rPr>
          <w:rFonts w:ascii="Arial" w:hAnsi="Arial" w:cs="Arial"/>
          <w:b w:val="0"/>
          <w:sz w:val="22"/>
          <w:szCs w:val="22"/>
          <w:lang w:val="en-GB"/>
        </w:rPr>
        <w:t>base</w:t>
      </w:r>
      <w:r w:rsidR="00B161D4">
        <w:rPr>
          <w:rFonts w:ascii="Arial" w:hAnsi="Arial" w:cs="Arial"/>
          <w:b w:val="0"/>
          <w:sz w:val="22"/>
          <w:szCs w:val="22"/>
          <w:lang w:val="en-GB"/>
        </w:rPr>
        <w:t>)</w:t>
      </w:r>
      <w:bookmarkEnd w:id="33"/>
    </w:p>
    <w:tbl>
      <w:tblPr>
        <w:tblW w:w="7610" w:type="dxa"/>
        <w:tblInd w:w="720" w:type="dxa"/>
        <w:tblLayout w:type="fixed"/>
        <w:tblLook w:val="04A0" w:firstRow="1" w:lastRow="0" w:firstColumn="1" w:lastColumn="0" w:noHBand="0" w:noVBand="1"/>
      </w:tblPr>
      <w:tblGrid>
        <w:gridCol w:w="2178"/>
        <w:gridCol w:w="1358"/>
        <w:gridCol w:w="1358"/>
        <w:gridCol w:w="1358"/>
        <w:gridCol w:w="1358"/>
      </w:tblGrid>
      <w:tr w:rsidR="002B2DE7" w:rsidRPr="00B15F95" w14:paraId="6F3E4688" w14:textId="77777777" w:rsidTr="000B5169">
        <w:trPr>
          <w:trHeight w:val="255"/>
        </w:trPr>
        <w:tc>
          <w:tcPr>
            <w:tcW w:w="2178" w:type="dxa"/>
            <w:tcBorders>
              <w:top w:val="single" w:sz="4" w:space="0" w:color="auto"/>
              <w:left w:val="nil"/>
              <w:bottom w:val="single" w:sz="4" w:space="0" w:color="auto"/>
              <w:right w:val="nil"/>
            </w:tcBorders>
            <w:shd w:val="clear" w:color="auto" w:fill="auto"/>
            <w:noWrap/>
            <w:vAlign w:val="center"/>
            <w:hideMark/>
          </w:tcPr>
          <w:p w14:paraId="5577590D" w14:textId="06A78E48" w:rsidR="002B2DE7" w:rsidRPr="006066BA" w:rsidRDefault="006066BA" w:rsidP="00A91B93">
            <w:pPr>
              <w:jc w:val="center"/>
              <w:rPr>
                <w:rFonts w:ascii="Arial Narrow" w:hAnsi="Arial Narrow" w:cs="Arial"/>
                <w:sz w:val="22"/>
                <w:szCs w:val="20"/>
                <w:lang w:val="mn-MN" w:eastAsia="mn-MN"/>
              </w:rPr>
            </w:pPr>
            <w:r>
              <w:rPr>
                <w:rFonts w:ascii="Arial Narrow" w:hAnsi="Arial Narrow" w:cs="Arial"/>
                <w:sz w:val="22"/>
                <w:szCs w:val="20"/>
                <w:lang w:eastAsia="mn-MN"/>
              </w:rPr>
              <w:t>E</w:t>
            </w:r>
            <w:r w:rsidR="002B2DE7" w:rsidRPr="006066BA">
              <w:rPr>
                <w:rFonts w:ascii="Arial Narrow" w:hAnsi="Arial Narrow" w:cs="Arial"/>
                <w:sz w:val="22"/>
                <w:szCs w:val="20"/>
                <w:lang w:val="mn-MN" w:eastAsia="mn-MN"/>
              </w:rPr>
              <w:t>xpenditure quintile</w:t>
            </w:r>
          </w:p>
        </w:tc>
        <w:tc>
          <w:tcPr>
            <w:tcW w:w="1358" w:type="dxa"/>
            <w:tcBorders>
              <w:top w:val="single" w:sz="4" w:space="0" w:color="auto"/>
              <w:left w:val="nil"/>
              <w:bottom w:val="single" w:sz="4" w:space="0" w:color="auto"/>
              <w:right w:val="nil"/>
            </w:tcBorders>
            <w:vAlign w:val="center"/>
          </w:tcPr>
          <w:p w14:paraId="5EA03065" w14:textId="77777777" w:rsidR="002B2DE7" w:rsidRPr="000B5169" w:rsidRDefault="002B2DE7" w:rsidP="00A91B93">
            <w:pPr>
              <w:jc w:val="center"/>
              <w:rPr>
                <w:rFonts w:ascii="Arial Narrow" w:hAnsi="Arial Narrow" w:cs="Arial"/>
                <w:b/>
                <w:sz w:val="22"/>
                <w:szCs w:val="20"/>
                <w:lang w:eastAsia="mn-MN"/>
              </w:rPr>
            </w:pPr>
            <w:r w:rsidRPr="000B5169">
              <w:rPr>
                <w:rFonts w:ascii="Arial Narrow" w:hAnsi="Arial Narrow" w:cs="Arial"/>
                <w:b/>
                <w:sz w:val="22"/>
                <w:szCs w:val="20"/>
                <w:lang w:val="mn-MN" w:eastAsia="mn-MN"/>
              </w:rPr>
              <w:t>2009</w:t>
            </w:r>
          </w:p>
          <w:p w14:paraId="426D8961" w14:textId="77777777" w:rsidR="00173DB0" w:rsidRPr="000B5169" w:rsidRDefault="00173DB0" w:rsidP="00A91B93">
            <w:pPr>
              <w:jc w:val="center"/>
              <w:rPr>
                <w:rFonts w:ascii="Arial Narrow" w:hAnsi="Arial Narrow" w:cs="Arial"/>
                <w:b/>
                <w:sz w:val="22"/>
                <w:szCs w:val="20"/>
                <w:lang w:eastAsia="mn-MN"/>
              </w:rPr>
            </w:pPr>
            <w:proofErr w:type="gramStart"/>
            <w:r w:rsidRPr="000B5169">
              <w:rPr>
                <w:rFonts w:ascii="Arial Narrow" w:hAnsi="Arial Narrow" w:cs="Arial"/>
                <w:b/>
                <w:sz w:val="22"/>
                <w:szCs w:val="20"/>
                <w:lang w:eastAsia="mn-MN"/>
              </w:rPr>
              <w:t>base</w:t>
            </w:r>
            <w:proofErr w:type="gramEnd"/>
          </w:p>
        </w:tc>
        <w:tc>
          <w:tcPr>
            <w:tcW w:w="1358" w:type="dxa"/>
            <w:tcBorders>
              <w:top w:val="single" w:sz="4" w:space="0" w:color="auto"/>
              <w:left w:val="nil"/>
              <w:bottom w:val="single" w:sz="4" w:space="0" w:color="auto"/>
              <w:right w:val="nil"/>
            </w:tcBorders>
            <w:shd w:val="clear" w:color="auto" w:fill="auto"/>
            <w:noWrap/>
            <w:vAlign w:val="center"/>
            <w:hideMark/>
          </w:tcPr>
          <w:p w14:paraId="7F3C1D49" w14:textId="77777777" w:rsidR="002B2DE7" w:rsidRPr="000B5169" w:rsidRDefault="002B2DE7" w:rsidP="00A91B93">
            <w:pPr>
              <w:jc w:val="center"/>
              <w:rPr>
                <w:rFonts w:ascii="Arial Narrow" w:hAnsi="Arial Narrow" w:cs="Arial"/>
                <w:b/>
                <w:sz w:val="22"/>
                <w:szCs w:val="20"/>
                <w:lang w:val="mn-MN" w:eastAsia="mn-MN"/>
              </w:rPr>
            </w:pPr>
            <w:r w:rsidRPr="000B5169">
              <w:rPr>
                <w:rFonts w:ascii="Arial Narrow" w:hAnsi="Arial Narrow" w:cs="Arial"/>
                <w:b/>
                <w:sz w:val="22"/>
                <w:szCs w:val="20"/>
                <w:lang w:val="mn-MN" w:eastAsia="mn-MN"/>
              </w:rPr>
              <w:t>2010</w:t>
            </w:r>
          </w:p>
        </w:tc>
        <w:tc>
          <w:tcPr>
            <w:tcW w:w="1358" w:type="dxa"/>
            <w:tcBorders>
              <w:top w:val="single" w:sz="4" w:space="0" w:color="auto"/>
              <w:left w:val="nil"/>
              <w:bottom w:val="single" w:sz="4" w:space="0" w:color="auto"/>
              <w:right w:val="nil"/>
            </w:tcBorders>
            <w:shd w:val="clear" w:color="auto" w:fill="auto"/>
            <w:noWrap/>
            <w:vAlign w:val="center"/>
            <w:hideMark/>
          </w:tcPr>
          <w:p w14:paraId="403C6B90" w14:textId="77777777" w:rsidR="002B2DE7" w:rsidRPr="000B5169" w:rsidRDefault="002B2DE7" w:rsidP="00A91B93">
            <w:pPr>
              <w:jc w:val="center"/>
              <w:rPr>
                <w:rFonts w:ascii="Arial Narrow" w:hAnsi="Arial Narrow" w:cs="Arial"/>
                <w:b/>
                <w:sz w:val="22"/>
                <w:szCs w:val="20"/>
                <w:lang w:val="mn-MN" w:eastAsia="mn-MN"/>
              </w:rPr>
            </w:pPr>
            <w:r w:rsidRPr="000B5169">
              <w:rPr>
                <w:rFonts w:ascii="Arial Narrow" w:hAnsi="Arial Narrow" w:cs="Arial"/>
                <w:b/>
                <w:sz w:val="22"/>
                <w:szCs w:val="20"/>
                <w:lang w:val="mn-MN" w:eastAsia="mn-MN"/>
              </w:rPr>
              <w:t>2011</w:t>
            </w:r>
          </w:p>
        </w:tc>
        <w:tc>
          <w:tcPr>
            <w:tcW w:w="1358" w:type="dxa"/>
            <w:tcBorders>
              <w:top w:val="single" w:sz="4" w:space="0" w:color="auto"/>
              <w:left w:val="nil"/>
              <w:bottom w:val="single" w:sz="4" w:space="0" w:color="auto"/>
              <w:right w:val="nil"/>
            </w:tcBorders>
            <w:shd w:val="clear" w:color="auto" w:fill="auto"/>
            <w:noWrap/>
            <w:vAlign w:val="center"/>
            <w:hideMark/>
          </w:tcPr>
          <w:p w14:paraId="68F73878" w14:textId="77777777" w:rsidR="002B2DE7" w:rsidRPr="000B5169" w:rsidRDefault="002B2DE7" w:rsidP="00A91B93">
            <w:pPr>
              <w:jc w:val="center"/>
              <w:rPr>
                <w:rFonts w:ascii="Arial Narrow" w:hAnsi="Arial Narrow" w:cs="Arial"/>
                <w:b/>
                <w:sz w:val="22"/>
                <w:szCs w:val="20"/>
                <w:lang w:val="mn-MN" w:eastAsia="mn-MN"/>
              </w:rPr>
            </w:pPr>
            <w:r w:rsidRPr="000B5169">
              <w:rPr>
                <w:rFonts w:ascii="Arial Narrow" w:hAnsi="Arial Narrow" w:cs="Arial"/>
                <w:b/>
                <w:sz w:val="22"/>
                <w:szCs w:val="20"/>
                <w:lang w:val="mn-MN" w:eastAsia="mn-MN"/>
              </w:rPr>
              <w:t>2012</w:t>
            </w:r>
          </w:p>
        </w:tc>
      </w:tr>
      <w:tr w:rsidR="001B76DB" w:rsidRPr="00B15F95" w14:paraId="3342F333" w14:textId="77777777" w:rsidTr="000B5169">
        <w:trPr>
          <w:trHeight w:val="255"/>
        </w:trPr>
        <w:tc>
          <w:tcPr>
            <w:tcW w:w="2178" w:type="dxa"/>
            <w:tcBorders>
              <w:top w:val="nil"/>
              <w:left w:val="nil"/>
              <w:bottom w:val="nil"/>
              <w:right w:val="nil"/>
            </w:tcBorders>
            <w:shd w:val="clear" w:color="auto" w:fill="auto"/>
            <w:noWrap/>
            <w:vAlign w:val="center"/>
            <w:hideMark/>
          </w:tcPr>
          <w:p w14:paraId="4324C1AC" w14:textId="77777777" w:rsidR="001B76DB" w:rsidRPr="006066BA" w:rsidRDefault="001B76DB" w:rsidP="00A91B93">
            <w:pPr>
              <w:jc w:val="center"/>
              <w:rPr>
                <w:rFonts w:ascii="Arial Narrow" w:hAnsi="Arial Narrow" w:cs="Arial"/>
                <w:sz w:val="22"/>
                <w:szCs w:val="20"/>
                <w:lang w:val="mn-MN" w:eastAsia="mn-MN"/>
              </w:rPr>
            </w:pPr>
            <w:r w:rsidRPr="006066BA">
              <w:rPr>
                <w:rFonts w:ascii="Arial Narrow" w:hAnsi="Arial Narrow" w:cs="Arial"/>
                <w:sz w:val="22"/>
                <w:szCs w:val="20"/>
                <w:lang w:val="mn-MN" w:eastAsia="mn-MN"/>
              </w:rPr>
              <w:t>1</w:t>
            </w:r>
          </w:p>
        </w:tc>
        <w:tc>
          <w:tcPr>
            <w:tcW w:w="1358" w:type="dxa"/>
            <w:tcBorders>
              <w:top w:val="nil"/>
              <w:left w:val="nil"/>
              <w:bottom w:val="nil"/>
              <w:right w:val="nil"/>
            </w:tcBorders>
            <w:vAlign w:val="center"/>
          </w:tcPr>
          <w:p w14:paraId="7426BD78"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1,356</w:t>
            </w:r>
          </w:p>
        </w:tc>
        <w:tc>
          <w:tcPr>
            <w:tcW w:w="1358" w:type="dxa"/>
            <w:tcBorders>
              <w:top w:val="nil"/>
              <w:left w:val="nil"/>
              <w:bottom w:val="nil"/>
              <w:right w:val="nil"/>
            </w:tcBorders>
            <w:shd w:val="clear" w:color="auto" w:fill="auto"/>
            <w:noWrap/>
            <w:vAlign w:val="center"/>
            <w:hideMark/>
          </w:tcPr>
          <w:p w14:paraId="0D3FAA92"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3,207</w:t>
            </w:r>
          </w:p>
        </w:tc>
        <w:tc>
          <w:tcPr>
            <w:tcW w:w="1358" w:type="dxa"/>
            <w:tcBorders>
              <w:top w:val="nil"/>
              <w:left w:val="nil"/>
              <w:bottom w:val="nil"/>
              <w:right w:val="nil"/>
            </w:tcBorders>
            <w:shd w:val="clear" w:color="auto" w:fill="auto"/>
            <w:noWrap/>
            <w:vAlign w:val="center"/>
            <w:hideMark/>
          </w:tcPr>
          <w:p w14:paraId="5E7F4DD2"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4,099</w:t>
            </w:r>
          </w:p>
        </w:tc>
        <w:tc>
          <w:tcPr>
            <w:tcW w:w="1358" w:type="dxa"/>
            <w:tcBorders>
              <w:top w:val="nil"/>
              <w:left w:val="nil"/>
              <w:bottom w:val="nil"/>
              <w:right w:val="nil"/>
            </w:tcBorders>
            <w:shd w:val="clear" w:color="auto" w:fill="auto"/>
            <w:noWrap/>
            <w:vAlign w:val="center"/>
            <w:hideMark/>
          </w:tcPr>
          <w:p w14:paraId="54D966A0"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3,284</w:t>
            </w:r>
          </w:p>
        </w:tc>
      </w:tr>
      <w:tr w:rsidR="001B76DB" w:rsidRPr="00B15F95" w14:paraId="2F7840AD" w14:textId="77777777" w:rsidTr="000B5169">
        <w:trPr>
          <w:trHeight w:val="255"/>
        </w:trPr>
        <w:tc>
          <w:tcPr>
            <w:tcW w:w="2178" w:type="dxa"/>
            <w:tcBorders>
              <w:top w:val="nil"/>
              <w:left w:val="nil"/>
              <w:bottom w:val="nil"/>
              <w:right w:val="nil"/>
            </w:tcBorders>
            <w:shd w:val="clear" w:color="auto" w:fill="auto"/>
            <w:noWrap/>
            <w:vAlign w:val="center"/>
            <w:hideMark/>
          </w:tcPr>
          <w:p w14:paraId="2A78B4A9" w14:textId="77777777" w:rsidR="001B76DB" w:rsidRPr="006066BA" w:rsidRDefault="001B76DB" w:rsidP="00A91B93">
            <w:pPr>
              <w:jc w:val="center"/>
              <w:rPr>
                <w:rFonts w:ascii="Arial Narrow" w:hAnsi="Arial Narrow" w:cs="Arial"/>
                <w:sz w:val="22"/>
                <w:szCs w:val="20"/>
                <w:lang w:val="mn-MN" w:eastAsia="mn-MN"/>
              </w:rPr>
            </w:pPr>
            <w:r w:rsidRPr="006066BA">
              <w:rPr>
                <w:rFonts w:ascii="Arial Narrow" w:hAnsi="Arial Narrow" w:cs="Arial"/>
                <w:sz w:val="22"/>
                <w:szCs w:val="20"/>
                <w:lang w:val="mn-MN" w:eastAsia="mn-MN"/>
              </w:rPr>
              <w:t>2</w:t>
            </w:r>
          </w:p>
        </w:tc>
        <w:tc>
          <w:tcPr>
            <w:tcW w:w="1358" w:type="dxa"/>
            <w:tcBorders>
              <w:top w:val="nil"/>
              <w:left w:val="nil"/>
              <w:bottom w:val="nil"/>
              <w:right w:val="nil"/>
            </w:tcBorders>
            <w:vAlign w:val="center"/>
          </w:tcPr>
          <w:p w14:paraId="73B775A8"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3,026</w:t>
            </w:r>
          </w:p>
        </w:tc>
        <w:tc>
          <w:tcPr>
            <w:tcW w:w="1358" w:type="dxa"/>
            <w:tcBorders>
              <w:top w:val="nil"/>
              <w:left w:val="nil"/>
              <w:bottom w:val="nil"/>
              <w:right w:val="nil"/>
            </w:tcBorders>
            <w:shd w:val="clear" w:color="auto" w:fill="auto"/>
            <w:noWrap/>
            <w:vAlign w:val="center"/>
            <w:hideMark/>
          </w:tcPr>
          <w:p w14:paraId="6029AC0F"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5,597</w:t>
            </w:r>
          </w:p>
        </w:tc>
        <w:tc>
          <w:tcPr>
            <w:tcW w:w="1358" w:type="dxa"/>
            <w:tcBorders>
              <w:top w:val="nil"/>
              <w:left w:val="nil"/>
              <w:bottom w:val="nil"/>
              <w:right w:val="nil"/>
            </w:tcBorders>
            <w:shd w:val="clear" w:color="auto" w:fill="auto"/>
            <w:noWrap/>
            <w:vAlign w:val="center"/>
            <w:hideMark/>
          </w:tcPr>
          <w:p w14:paraId="39BAA95F"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6,687</w:t>
            </w:r>
          </w:p>
        </w:tc>
        <w:tc>
          <w:tcPr>
            <w:tcW w:w="1358" w:type="dxa"/>
            <w:tcBorders>
              <w:top w:val="nil"/>
              <w:left w:val="nil"/>
              <w:bottom w:val="nil"/>
              <w:right w:val="nil"/>
            </w:tcBorders>
            <w:shd w:val="clear" w:color="auto" w:fill="auto"/>
            <w:noWrap/>
            <w:vAlign w:val="center"/>
            <w:hideMark/>
          </w:tcPr>
          <w:p w14:paraId="490066E5"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6,870</w:t>
            </w:r>
          </w:p>
        </w:tc>
      </w:tr>
      <w:tr w:rsidR="001B76DB" w:rsidRPr="00B15F95" w14:paraId="0BC62215" w14:textId="77777777" w:rsidTr="000B5169">
        <w:trPr>
          <w:trHeight w:val="255"/>
        </w:trPr>
        <w:tc>
          <w:tcPr>
            <w:tcW w:w="2178" w:type="dxa"/>
            <w:tcBorders>
              <w:top w:val="nil"/>
              <w:left w:val="nil"/>
              <w:bottom w:val="nil"/>
              <w:right w:val="nil"/>
            </w:tcBorders>
            <w:shd w:val="clear" w:color="auto" w:fill="auto"/>
            <w:noWrap/>
            <w:vAlign w:val="center"/>
            <w:hideMark/>
          </w:tcPr>
          <w:p w14:paraId="3355EC63" w14:textId="77777777" w:rsidR="001B76DB" w:rsidRPr="006066BA" w:rsidRDefault="001B76DB" w:rsidP="00A91B93">
            <w:pPr>
              <w:jc w:val="center"/>
              <w:rPr>
                <w:rFonts w:ascii="Arial Narrow" w:hAnsi="Arial Narrow" w:cs="Arial"/>
                <w:sz w:val="22"/>
                <w:szCs w:val="20"/>
                <w:lang w:val="mn-MN" w:eastAsia="mn-MN"/>
              </w:rPr>
            </w:pPr>
            <w:r w:rsidRPr="006066BA">
              <w:rPr>
                <w:rFonts w:ascii="Arial Narrow" w:hAnsi="Arial Narrow" w:cs="Arial"/>
                <w:sz w:val="22"/>
                <w:szCs w:val="20"/>
                <w:lang w:val="mn-MN" w:eastAsia="mn-MN"/>
              </w:rPr>
              <w:t>3</w:t>
            </w:r>
          </w:p>
        </w:tc>
        <w:tc>
          <w:tcPr>
            <w:tcW w:w="1358" w:type="dxa"/>
            <w:tcBorders>
              <w:top w:val="nil"/>
              <w:left w:val="nil"/>
              <w:bottom w:val="nil"/>
              <w:right w:val="nil"/>
            </w:tcBorders>
            <w:vAlign w:val="center"/>
          </w:tcPr>
          <w:p w14:paraId="025A6D02"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3,977</w:t>
            </w:r>
          </w:p>
        </w:tc>
        <w:tc>
          <w:tcPr>
            <w:tcW w:w="1358" w:type="dxa"/>
            <w:tcBorders>
              <w:top w:val="nil"/>
              <w:left w:val="nil"/>
              <w:bottom w:val="nil"/>
              <w:right w:val="nil"/>
            </w:tcBorders>
            <w:shd w:val="clear" w:color="auto" w:fill="auto"/>
            <w:noWrap/>
            <w:vAlign w:val="center"/>
            <w:hideMark/>
          </w:tcPr>
          <w:p w14:paraId="62148D70"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8,502</w:t>
            </w:r>
          </w:p>
        </w:tc>
        <w:tc>
          <w:tcPr>
            <w:tcW w:w="1358" w:type="dxa"/>
            <w:tcBorders>
              <w:top w:val="nil"/>
              <w:left w:val="nil"/>
              <w:bottom w:val="nil"/>
              <w:right w:val="nil"/>
            </w:tcBorders>
            <w:shd w:val="clear" w:color="auto" w:fill="auto"/>
            <w:noWrap/>
            <w:vAlign w:val="center"/>
            <w:hideMark/>
          </w:tcPr>
          <w:p w14:paraId="4982E5DE"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9,381</w:t>
            </w:r>
          </w:p>
        </w:tc>
        <w:tc>
          <w:tcPr>
            <w:tcW w:w="1358" w:type="dxa"/>
            <w:tcBorders>
              <w:top w:val="nil"/>
              <w:left w:val="nil"/>
              <w:bottom w:val="nil"/>
              <w:right w:val="nil"/>
            </w:tcBorders>
            <w:shd w:val="clear" w:color="auto" w:fill="auto"/>
            <w:noWrap/>
            <w:vAlign w:val="center"/>
            <w:hideMark/>
          </w:tcPr>
          <w:p w14:paraId="3DB960DF"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10,436</w:t>
            </w:r>
          </w:p>
        </w:tc>
      </w:tr>
      <w:tr w:rsidR="001B76DB" w:rsidRPr="00B15F95" w14:paraId="6365BBA2" w14:textId="77777777" w:rsidTr="000B5169">
        <w:trPr>
          <w:trHeight w:val="255"/>
        </w:trPr>
        <w:tc>
          <w:tcPr>
            <w:tcW w:w="2178" w:type="dxa"/>
            <w:tcBorders>
              <w:top w:val="nil"/>
              <w:left w:val="nil"/>
              <w:bottom w:val="nil"/>
              <w:right w:val="nil"/>
            </w:tcBorders>
            <w:shd w:val="clear" w:color="auto" w:fill="auto"/>
            <w:noWrap/>
            <w:vAlign w:val="center"/>
            <w:hideMark/>
          </w:tcPr>
          <w:p w14:paraId="4B1635A7" w14:textId="77777777" w:rsidR="001B76DB" w:rsidRPr="006066BA" w:rsidRDefault="001B76DB" w:rsidP="00A91B93">
            <w:pPr>
              <w:jc w:val="center"/>
              <w:rPr>
                <w:rFonts w:ascii="Arial Narrow" w:hAnsi="Arial Narrow" w:cs="Arial"/>
                <w:sz w:val="22"/>
                <w:szCs w:val="20"/>
                <w:lang w:val="mn-MN" w:eastAsia="mn-MN"/>
              </w:rPr>
            </w:pPr>
            <w:r w:rsidRPr="006066BA">
              <w:rPr>
                <w:rFonts w:ascii="Arial Narrow" w:hAnsi="Arial Narrow" w:cs="Arial"/>
                <w:sz w:val="22"/>
                <w:szCs w:val="20"/>
                <w:lang w:val="mn-MN" w:eastAsia="mn-MN"/>
              </w:rPr>
              <w:t>4</w:t>
            </w:r>
          </w:p>
        </w:tc>
        <w:tc>
          <w:tcPr>
            <w:tcW w:w="1358" w:type="dxa"/>
            <w:tcBorders>
              <w:top w:val="nil"/>
              <w:left w:val="nil"/>
              <w:bottom w:val="nil"/>
              <w:right w:val="nil"/>
            </w:tcBorders>
            <w:vAlign w:val="center"/>
          </w:tcPr>
          <w:p w14:paraId="2E152016"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6,415</w:t>
            </w:r>
          </w:p>
        </w:tc>
        <w:tc>
          <w:tcPr>
            <w:tcW w:w="1358" w:type="dxa"/>
            <w:tcBorders>
              <w:top w:val="nil"/>
              <w:left w:val="nil"/>
              <w:bottom w:val="nil"/>
              <w:right w:val="nil"/>
            </w:tcBorders>
            <w:shd w:val="clear" w:color="auto" w:fill="auto"/>
            <w:noWrap/>
            <w:vAlign w:val="center"/>
            <w:hideMark/>
          </w:tcPr>
          <w:p w14:paraId="7B7CAC5A"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14,939</w:t>
            </w:r>
          </w:p>
        </w:tc>
        <w:tc>
          <w:tcPr>
            <w:tcW w:w="1358" w:type="dxa"/>
            <w:tcBorders>
              <w:top w:val="nil"/>
              <w:left w:val="nil"/>
              <w:bottom w:val="nil"/>
              <w:right w:val="nil"/>
            </w:tcBorders>
            <w:shd w:val="clear" w:color="auto" w:fill="auto"/>
            <w:noWrap/>
            <w:vAlign w:val="center"/>
            <w:hideMark/>
          </w:tcPr>
          <w:p w14:paraId="78ECFA05"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13,699</w:t>
            </w:r>
          </w:p>
        </w:tc>
        <w:tc>
          <w:tcPr>
            <w:tcW w:w="1358" w:type="dxa"/>
            <w:tcBorders>
              <w:top w:val="nil"/>
              <w:left w:val="nil"/>
              <w:bottom w:val="nil"/>
              <w:right w:val="nil"/>
            </w:tcBorders>
            <w:shd w:val="clear" w:color="auto" w:fill="auto"/>
            <w:noWrap/>
            <w:vAlign w:val="center"/>
            <w:hideMark/>
          </w:tcPr>
          <w:p w14:paraId="36407F70"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19,363</w:t>
            </w:r>
          </w:p>
        </w:tc>
      </w:tr>
      <w:tr w:rsidR="001B76DB" w:rsidRPr="00B15F95" w14:paraId="4DB0EE0A" w14:textId="77777777" w:rsidTr="000B5169">
        <w:trPr>
          <w:trHeight w:val="255"/>
        </w:trPr>
        <w:tc>
          <w:tcPr>
            <w:tcW w:w="2178" w:type="dxa"/>
            <w:tcBorders>
              <w:top w:val="nil"/>
              <w:left w:val="nil"/>
              <w:bottom w:val="nil"/>
              <w:right w:val="nil"/>
            </w:tcBorders>
            <w:shd w:val="clear" w:color="auto" w:fill="auto"/>
            <w:noWrap/>
            <w:vAlign w:val="center"/>
            <w:hideMark/>
          </w:tcPr>
          <w:p w14:paraId="50DC2EC9" w14:textId="77777777" w:rsidR="001B76DB" w:rsidRPr="006066BA" w:rsidRDefault="001B76DB" w:rsidP="00A91B93">
            <w:pPr>
              <w:jc w:val="center"/>
              <w:rPr>
                <w:rFonts w:ascii="Arial Narrow" w:hAnsi="Arial Narrow" w:cs="Arial"/>
                <w:sz w:val="22"/>
                <w:szCs w:val="20"/>
                <w:lang w:val="mn-MN" w:eastAsia="mn-MN"/>
              </w:rPr>
            </w:pPr>
            <w:r w:rsidRPr="006066BA">
              <w:rPr>
                <w:rFonts w:ascii="Arial Narrow" w:hAnsi="Arial Narrow" w:cs="Arial"/>
                <w:sz w:val="22"/>
                <w:szCs w:val="20"/>
                <w:lang w:val="mn-MN" w:eastAsia="mn-MN"/>
              </w:rPr>
              <w:t>5</w:t>
            </w:r>
          </w:p>
        </w:tc>
        <w:tc>
          <w:tcPr>
            <w:tcW w:w="1358" w:type="dxa"/>
            <w:tcBorders>
              <w:top w:val="nil"/>
              <w:left w:val="nil"/>
              <w:bottom w:val="nil"/>
              <w:right w:val="nil"/>
            </w:tcBorders>
            <w:vAlign w:val="center"/>
          </w:tcPr>
          <w:p w14:paraId="29FBB54E"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28,381</w:t>
            </w:r>
          </w:p>
        </w:tc>
        <w:tc>
          <w:tcPr>
            <w:tcW w:w="1358" w:type="dxa"/>
            <w:tcBorders>
              <w:top w:val="nil"/>
              <w:left w:val="nil"/>
              <w:bottom w:val="nil"/>
              <w:right w:val="nil"/>
            </w:tcBorders>
            <w:shd w:val="clear" w:color="auto" w:fill="auto"/>
            <w:noWrap/>
            <w:vAlign w:val="center"/>
            <w:hideMark/>
          </w:tcPr>
          <w:p w14:paraId="38673479"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43,138</w:t>
            </w:r>
          </w:p>
        </w:tc>
        <w:tc>
          <w:tcPr>
            <w:tcW w:w="1358" w:type="dxa"/>
            <w:tcBorders>
              <w:top w:val="nil"/>
              <w:left w:val="nil"/>
              <w:bottom w:val="nil"/>
              <w:right w:val="nil"/>
            </w:tcBorders>
            <w:shd w:val="clear" w:color="auto" w:fill="auto"/>
            <w:noWrap/>
            <w:vAlign w:val="center"/>
            <w:hideMark/>
          </w:tcPr>
          <w:p w14:paraId="6A54D634"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42,516</w:t>
            </w:r>
          </w:p>
        </w:tc>
        <w:tc>
          <w:tcPr>
            <w:tcW w:w="1358" w:type="dxa"/>
            <w:tcBorders>
              <w:top w:val="nil"/>
              <w:left w:val="nil"/>
              <w:bottom w:val="nil"/>
              <w:right w:val="nil"/>
            </w:tcBorders>
            <w:shd w:val="clear" w:color="auto" w:fill="auto"/>
            <w:noWrap/>
            <w:vAlign w:val="center"/>
            <w:hideMark/>
          </w:tcPr>
          <w:p w14:paraId="53AA7756"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50,872</w:t>
            </w:r>
          </w:p>
        </w:tc>
      </w:tr>
      <w:tr w:rsidR="001B76DB" w:rsidRPr="00B15F95" w14:paraId="3DB8BD99" w14:textId="77777777" w:rsidTr="000B5169">
        <w:trPr>
          <w:trHeight w:val="270"/>
        </w:trPr>
        <w:tc>
          <w:tcPr>
            <w:tcW w:w="2178" w:type="dxa"/>
            <w:tcBorders>
              <w:top w:val="nil"/>
              <w:left w:val="nil"/>
              <w:bottom w:val="single" w:sz="8" w:space="0" w:color="auto"/>
              <w:right w:val="nil"/>
            </w:tcBorders>
            <w:shd w:val="clear" w:color="auto" w:fill="auto"/>
            <w:noWrap/>
            <w:vAlign w:val="center"/>
            <w:hideMark/>
          </w:tcPr>
          <w:p w14:paraId="17A8E0A2" w14:textId="77777777" w:rsidR="001B76DB" w:rsidRPr="006066BA" w:rsidRDefault="001B76DB" w:rsidP="00A91B93">
            <w:pPr>
              <w:jc w:val="center"/>
              <w:rPr>
                <w:rFonts w:ascii="Arial Narrow" w:hAnsi="Arial Narrow" w:cs="Arial"/>
                <w:sz w:val="22"/>
                <w:szCs w:val="20"/>
                <w:lang w:eastAsia="mn-MN"/>
              </w:rPr>
            </w:pPr>
            <w:r w:rsidRPr="006066BA">
              <w:rPr>
                <w:rFonts w:ascii="Arial Narrow" w:hAnsi="Arial Narrow" w:cs="Arial"/>
                <w:sz w:val="22"/>
                <w:szCs w:val="20"/>
                <w:lang w:val="mn-MN" w:eastAsia="mn-MN"/>
              </w:rPr>
              <w:t>Total</w:t>
            </w:r>
          </w:p>
        </w:tc>
        <w:tc>
          <w:tcPr>
            <w:tcW w:w="1358" w:type="dxa"/>
            <w:tcBorders>
              <w:top w:val="nil"/>
              <w:left w:val="nil"/>
              <w:bottom w:val="single" w:sz="8" w:space="0" w:color="auto"/>
              <w:right w:val="nil"/>
            </w:tcBorders>
            <w:vAlign w:val="center"/>
          </w:tcPr>
          <w:p w14:paraId="44BE6903"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9,231</w:t>
            </w:r>
          </w:p>
        </w:tc>
        <w:tc>
          <w:tcPr>
            <w:tcW w:w="1358" w:type="dxa"/>
            <w:tcBorders>
              <w:top w:val="nil"/>
              <w:left w:val="nil"/>
              <w:bottom w:val="single" w:sz="8" w:space="0" w:color="auto"/>
              <w:right w:val="nil"/>
            </w:tcBorders>
            <w:shd w:val="clear" w:color="auto" w:fill="auto"/>
            <w:noWrap/>
            <w:vAlign w:val="center"/>
            <w:hideMark/>
          </w:tcPr>
          <w:p w14:paraId="57CF80D7"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15,072</w:t>
            </w:r>
          </w:p>
        </w:tc>
        <w:tc>
          <w:tcPr>
            <w:tcW w:w="1358" w:type="dxa"/>
            <w:tcBorders>
              <w:top w:val="nil"/>
              <w:left w:val="nil"/>
              <w:bottom w:val="single" w:sz="8" w:space="0" w:color="auto"/>
              <w:right w:val="nil"/>
            </w:tcBorders>
            <w:shd w:val="clear" w:color="auto" w:fill="auto"/>
            <w:noWrap/>
            <w:vAlign w:val="center"/>
            <w:hideMark/>
          </w:tcPr>
          <w:p w14:paraId="4E8E8F65"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15,275</w:t>
            </w:r>
          </w:p>
        </w:tc>
        <w:tc>
          <w:tcPr>
            <w:tcW w:w="1358" w:type="dxa"/>
            <w:tcBorders>
              <w:top w:val="nil"/>
              <w:left w:val="nil"/>
              <w:bottom w:val="single" w:sz="8" w:space="0" w:color="auto"/>
              <w:right w:val="nil"/>
            </w:tcBorders>
            <w:shd w:val="clear" w:color="auto" w:fill="auto"/>
            <w:noWrap/>
            <w:vAlign w:val="center"/>
            <w:hideMark/>
          </w:tcPr>
          <w:p w14:paraId="4E2006FC" w14:textId="77777777" w:rsidR="001B76DB" w:rsidRPr="0063527C" w:rsidRDefault="001B76DB" w:rsidP="001B76DB">
            <w:pPr>
              <w:jc w:val="center"/>
              <w:rPr>
                <w:rFonts w:ascii="Arial Narrow" w:hAnsi="Arial Narrow" w:cs="Arial"/>
                <w:sz w:val="22"/>
                <w:szCs w:val="18"/>
              </w:rPr>
            </w:pPr>
            <w:r w:rsidRPr="0063527C">
              <w:rPr>
                <w:rFonts w:ascii="Arial Narrow" w:hAnsi="Arial Narrow" w:cs="Arial"/>
                <w:sz w:val="22"/>
                <w:szCs w:val="18"/>
              </w:rPr>
              <w:t>18,164</w:t>
            </w:r>
          </w:p>
        </w:tc>
      </w:tr>
    </w:tbl>
    <w:p w14:paraId="734E7E6E" w14:textId="77777777" w:rsidR="00453010" w:rsidRPr="008B7EA0" w:rsidRDefault="00453010" w:rsidP="00453010">
      <w:pPr>
        <w:ind w:left="1440"/>
        <w:rPr>
          <w:i/>
          <w:sz w:val="22"/>
          <w:lang w:val="en-GB"/>
        </w:rPr>
      </w:pPr>
      <w:r w:rsidRPr="008B7EA0">
        <w:rPr>
          <w:i/>
          <w:sz w:val="22"/>
          <w:lang w:val="en-GB"/>
        </w:rPr>
        <w:t>Source: Mongolia Household Socio-Economic Surveys, 20</w:t>
      </w:r>
      <w:r w:rsidR="00736172">
        <w:rPr>
          <w:i/>
          <w:sz w:val="22"/>
          <w:lang w:val="en-GB"/>
        </w:rPr>
        <w:t>09</w:t>
      </w:r>
      <w:r w:rsidRPr="008B7EA0">
        <w:rPr>
          <w:i/>
          <w:sz w:val="22"/>
          <w:lang w:val="en-GB"/>
        </w:rPr>
        <w:t>-2012</w:t>
      </w:r>
    </w:p>
    <w:p w14:paraId="255538B9" w14:textId="77777777" w:rsidR="001A040E" w:rsidRDefault="00ED4941" w:rsidP="00ED4941">
      <w:pPr>
        <w:tabs>
          <w:tab w:val="left" w:pos="3026"/>
        </w:tabs>
        <w:jc w:val="both"/>
        <w:rPr>
          <w:rFonts w:ascii="Arial" w:hAnsi="Arial" w:cs="Arial"/>
          <w:lang w:val="en-GB"/>
        </w:rPr>
      </w:pPr>
      <w:r>
        <w:rPr>
          <w:rFonts w:ascii="Arial" w:hAnsi="Arial" w:cs="Arial"/>
          <w:lang w:val="en-GB"/>
        </w:rPr>
        <w:tab/>
      </w:r>
    </w:p>
    <w:p w14:paraId="516DE74D" w14:textId="21AC2253" w:rsidR="00615E54" w:rsidRPr="006066BA" w:rsidRDefault="00ED4941" w:rsidP="006066BA">
      <w:pPr>
        <w:pStyle w:val="Caption"/>
        <w:spacing w:line="240" w:lineRule="auto"/>
        <w:jc w:val="both"/>
        <w:rPr>
          <w:rFonts w:ascii="Arial" w:hAnsi="Arial" w:cs="Arial"/>
          <w:b w:val="0"/>
          <w:sz w:val="24"/>
          <w:szCs w:val="22"/>
        </w:rPr>
      </w:pPr>
      <w:r w:rsidRPr="006066BA">
        <w:rPr>
          <w:rFonts w:ascii="Arial" w:hAnsi="Arial" w:cs="Arial"/>
          <w:b w:val="0"/>
          <w:sz w:val="24"/>
          <w:szCs w:val="22"/>
        </w:rPr>
        <w:t xml:space="preserve">On average, </w:t>
      </w:r>
      <w:r w:rsidR="00E06CC7">
        <w:rPr>
          <w:rFonts w:ascii="Arial" w:hAnsi="Arial" w:cs="Arial"/>
          <w:b w:val="0"/>
          <w:sz w:val="24"/>
          <w:szCs w:val="22"/>
        </w:rPr>
        <w:t>household</w:t>
      </w:r>
      <w:r w:rsidRPr="006066BA">
        <w:rPr>
          <w:rFonts w:ascii="Arial" w:hAnsi="Arial" w:cs="Arial"/>
          <w:b w:val="0"/>
          <w:sz w:val="24"/>
          <w:szCs w:val="22"/>
        </w:rPr>
        <w:t xml:space="preserve"> o</w:t>
      </w:r>
      <w:r w:rsidR="00F671F9" w:rsidRPr="006066BA">
        <w:rPr>
          <w:rFonts w:ascii="Arial" w:hAnsi="Arial" w:cs="Arial"/>
          <w:b w:val="0"/>
          <w:sz w:val="24"/>
          <w:szCs w:val="22"/>
        </w:rPr>
        <w:t>ut of pocket payment</w:t>
      </w:r>
      <w:r w:rsidR="0063527C">
        <w:rPr>
          <w:rFonts w:ascii="Arial" w:hAnsi="Arial" w:cs="Arial"/>
          <w:b w:val="0"/>
          <w:sz w:val="24"/>
          <w:szCs w:val="22"/>
        </w:rPr>
        <w:t>s</w:t>
      </w:r>
      <w:r w:rsidR="00F671F9" w:rsidRPr="006066BA">
        <w:rPr>
          <w:rFonts w:ascii="Arial" w:hAnsi="Arial" w:cs="Arial"/>
          <w:b w:val="0"/>
          <w:sz w:val="24"/>
          <w:szCs w:val="22"/>
        </w:rPr>
        <w:t xml:space="preserve"> in geographical regions increased </w:t>
      </w:r>
      <w:r w:rsidRPr="006066BA">
        <w:rPr>
          <w:rFonts w:ascii="Arial" w:hAnsi="Arial" w:cs="Arial"/>
          <w:b w:val="0"/>
          <w:sz w:val="24"/>
          <w:szCs w:val="22"/>
        </w:rPr>
        <w:t xml:space="preserve">almost twice in real terms compared to 2009.  The </w:t>
      </w:r>
      <w:r w:rsidR="00E06CC7">
        <w:rPr>
          <w:rFonts w:ascii="Arial" w:hAnsi="Arial" w:cs="Arial"/>
          <w:b w:val="0"/>
          <w:sz w:val="24"/>
          <w:szCs w:val="22"/>
        </w:rPr>
        <w:t xml:space="preserve">OOPs increased the </w:t>
      </w:r>
      <w:r w:rsidRPr="006066BA">
        <w:rPr>
          <w:rFonts w:ascii="Arial" w:hAnsi="Arial" w:cs="Arial"/>
          <w:b w:val="0"/>
          <w:sz w:val="24"/>
          <w:szCs w:val="22"/>
        </w:rPr>
        <w:t>highest in eastern and western regions</w:t>
      </w:r>
      <w:r w:rsidR="000B5169">
        <w:rPr>
          <w:rFonts w:ascii="Arial" w:hAnsi="Arial" w:cs="Arial"/>
          <w:b w:val="0"/>
          <w:sz w:val="24"/>
          <w:szCs w:val="22"/>
        </w:rPr>
        <w:t xml:space="preserve"> (Table 12)</w:t>
      </w:r>
      <w:r w:rsidRPr="006066BA">
        <w:rPr>
          <w:rFonts w:ascii="Arial" w:hAnsi="Arial" w:cs="Arial"/>
          <w:b w:val="0"/>
          <w:sz w:val="24"/>
          <w:szCs w:val="22"/>
        </w:rPr>
        <w:t xml:space="preserve">. </w:t>
      </w:r>
    </w:p>
    <w:p w14:paraId="004F4380" w14:textId="746909FC" w:rsidR="00615E54" w:rsidRPr="00615E54" w:rsidRDefault="00615E54" w:rsidP="00615E54">
      <w:pPr>
        <w:pStyle w:val="Caption"/>
        <w:rPr>
          <w:rFonts w:ascii="Arial" w:hAnsi="Arial" w:cs="Arial"/>
          <w:b w:val="0"/>
          <w:sz w:val="22"/>
          <w:szCs w:val="22"/>
          <w:lang w:val="en-GB"/>
        </w:rPr>
      </w:pPr>
      <w:bookmarkStart w:id="34" w:name="_Toc310170095"/>
      <w:r w:rsidRPr="00560FA1">
        <w:rPr>
          <w:rFonts w:ascii="Arial" w:hAnsi="Arial" w:cs="Arial"/>
          <w:b w:val="0"/>
          <w:sz w:val="22"/>
          <w:szCs w:val="22"/>
        </w:rPr>
        <w:t xml:space="preserve">Table </w:t>
      </w:r>
      <w:r w:rsidR="00CB191B" w:rsidRPr="00560FA1">
        <w:rPr>
          <w:rFonts w:ascii="Arial" w:hAnsi="Arial" w:cs="Arial"/>
          <w:b w:val="0"/>
          <w:sz w:val="22"/>
          <w:szCs w:val="22"/>
        </w:rPr>
        <w:fldChar w:fldCharType="begin"/>
      </w:r>
      <w:r w:rsidRPr="00560FA1">
        <w:rPr>
          <w:rFonts w:ascii="Arial" w:hAnsi="Arial" w:cs="Arial"/>
          <w:b w:val="0"/>
          <w:sz w:val="22"/>
          <w:szCs w:val="22"/>
        </w:rPr>
        <w:instrText xml:space="preserve"> SEQ Table \* ARABIC </w:instrText>
      </w:r>
      <w:r w:rsidR="00CB191B" w:rsidRPr="00560FA1">
        <w:rPr>
          <w:rFonts w:ascii="Arial" w:hAnsi="Arial" w:cs="Arial"/>
          <w:b w:val="0"/>
          <w:sz w:val="22"/>
          <w:szCs w:val="22"/>
        </w:rPr>
        <w:fldChar w:fldCharType="separate"/>
      </w:r>
      <w:r w:rsidR="000B5169">
        <w:rPr>
          <w:rFonts w:ascii="Arial" w:hAnsi="Arial" w:cs="Arial"/>
          <w:b w:val="0"/>
          <w:noProof/>
          <w:sz w:val="22"/>
          <w:szCs w:val="22"/>
        </w:rPr>
        <w:t>12</w:t>
      </w:r>
      <w:r w:rsidR="00CB191B" w:rsidRPr="00560FA1">
        <w:rPr>
          <w:rFonts w:ascii="Arial" w:hAnsi="Arial" w:cs="Arial"/>
          <w:b w:val="0"/>
          <w:sz w:val="22"/>
          <w:szCs w:val="22"/>
        </w:rPr>
        <w:fldChar w:fldCharType="end"/>
      </w:r>
      <w:r w:rsidRPr="00560FA1">
        <w:rPr>
          <w:rFonts w:ascii="Arial" w:hAnsi="Arial" w:cs="Arial"/>
          <w:b w:val="0"/>
          <w:sz w:val="22"/>
          <w:szCs w:val="22"/>
        </w:rPr>
        <w:t>:</w:t>
      </w:r>
      <w:r w:rsidRPr="00560FA1">
        <w:rPr>
          <w:rFonts w:ascii="Arial" w:hAnsi="Arial" w:cs="Arial"/>
          <w:b w:val="0"/>
          <w:iCs/>
          <w:sz w:val="22"/>
          <w:szCs w:val="22"/>
        </w:rPr>
        <w:t xml:space="preserve"> Distribution of </w:t>
      </w:r>
      <w:r w:rsidR="00E06CC7">
        <w:rPr>
          <w:rFonts w:ascii="Arial" w:hAnsi="Arial" w:cs="Arial"/>
          <w:b w:val="0"/>
          <w:iCs/>
          <w:sz w:val="22"/>
          <w:szCs w:val="22"/>
        </w:rPr>
        <w:t>households o</w:t>
      </w:r>
      <w:r w:rsidRPr="00560FA1">
        <w:rPr>
          <w:rFonts w:ascii="Arial" w:hAnsi="Arial" w:cs="Arial"/>
          <w:b w:val="0"/>
          <w:iCs/>
          <w:sz w:val="22"/>
          <w:szCs w:val="22"/>
        </w:rPr>
        <w:t xml:space="preserve">ut of pocket health payments </w:t>
      </w:r>
      <w:r w:rsidRPr="00560FA1">
        <w:rPr>
          <w:rFonts w:ascii="Arial" w:hAnsi="Arial" w:cs="Arial"/>
          <w:b w:val="0"/>
          <w:sz w:val="22"/>
          <w:szCs w:val="22"/>
          <w:lang w:val="en-GB"/>
        </w:rPr>
        <w:t xml:space="preserve">in absolute terms by </w:t>
      </w:r>
      <w:r>
        <w:rPr>
          <w:rFonts w:ascii="Arial" w:hAnsi="Arial" w:cs="Arial"/>
          <w:b w:val="0"/>
          <w:sz w:val="22"/>
          <w:szCs w:val="22"/>
          <w:lang w:val="en-GB"/>
        </w:rPr>
        <w:t>regions, (2009 as base)</w:t>
      </w:r>
      <w:bookmarkEnd w:id="34"/>
    </w:p>
    <w:tbl>
      <w:tblPr>
        <w:tblW w:w="7158" w:type="dxa"/>
        <w:tblInd w:w="1440" w:type="dxa"/>
        <w:shd w:val="clear" w:color="000000" w:fill="auto"/>
        <w:tblLook w:val="04A0" w:firstRow="1" w:lastRow="0" w:firstColumn="1" w:lastColumn="0" w:noHBand="0" w:noVBand="1"/>
      </w:tblPr>
      <w:tblGrid>
        <w:gridCol w:w="1638"/>
        <w:gridCol w:w="1200"/>
        <w:gridCol w:w="1440"/>
        <w:gridCol w:w="1440"/>
        <w:gridCol w:w="1440"/>
      </w:tblGrid>
      <w:tr w:rsidR="00615E54" w:rsidRPr="001A040E" w14:paraId="4772AC21" w14:textId="77777777" w:rsidTr="00615E54">
        <w:trPr>
          <w:trHeight w:val="240"/>
        </w:trPr>
        <w:tc>
          <w:tcPr>
            <w:tcW w:w="1638" w:type="dxa"/>
            <w:tcBorders>
              <w:top w:val="single" w:sz="4" w:space="0" w:color="auto"/>
              <w:left w:val="nil"/>
              <w:bottom w:val="single" w:sz="4" w:space="0" w:color="auto"/>
              <w:right w:val="nil"/>
            </w:tcBorders>
            <w:shd w:val="clear" w:color="000000" w:fill="auto"/>
            <w:vAlign w:val="bottom"/>
          </w:tcPr>
          <w:p w14:paraId="7BDD46C2" w14:textId="3B835DD4" w:rsidR="00615E54" w:rsidRPr="006066BA" w:rsidRDefault="006066BA" w:rsidP="00615E54">
            <w:pPr>
              <w:rPr>
                <w:rFonts w:ascii="Arial Narrow" w:hAnsi="Arial Narrow" w:cs="Arial"/>
                <w:sz w:val="22"/>
                <w:szCs w:val="20"/>
              </w:rPr>
            </w:pPr>
            <w:r w:rsidRPr="006066BA">
              <w:rPr>
                <w:rFonts w:ascii="Arial Narrow" w:hAnsi="Arial Narrow" w:cs="Arial"/>
                <w:sz w:val="22"/>
                <w:szCs w:val="20"/>
              </w:rPr>
              <w:t>Geographical regions</w:t>
            </w:r>
          </w:p>
        </w:tc>
        <w:tc>
          <w:tcPr>
            <w:tcW w:w="1200" w:type="dxa"/>
            <w:tcBorders>
              <w:top w:val="single" w:sz="4" w:space="0" w:color="auto"/>
              <w:left w:val="nil"/>
              <w:bottom w:val="single" w:sz="4" w:space="0" w:color="auto"/>
              <w:right w:val="nil"/>
            </w:tcBorders>
            <w:shd w:val="clear" w:color="000000" w:fill="auto"/>
            <w:vAlign w:val="bottom"/>
            <w:hideMark/>
          </w:tcPr>
          <w:p w14:paraId="72F088B2" w14:textId="77777777" w:rsidR="00631ADC" w:rsidRPr="000B5169" w:rsidRDefault="00631ADC" w:rsidP="00631ADC">
            <w:pPr>
              <w:jc w:val="center"/>
              <w:rPr>
                <w:rFonts w:ascii="Arial Narrow" w:hAnsi="Arial Narrow" w:cs="Arial"/>
                <w:b/>
                <w:sz w:val="22"/>
                <w:szCs w:val="20"/>
                <w:lang w:eastAsia="mn-MN"/>
              </w:rPr>
            </w:pPr>
            <w:r w:rsidRPr="000B5169">
              <w:rPr>
                <w:rFonts w:ascii="Arial Narrow" w:hAnsi="Arial Narrow" w:cs="Arial"/>
                <w:b/>
                <w:sz w:val="22"/>
                <w:szCs w:val="20"/>
                <w:lang w:val="mn-MN" w:eastAsia="mn-MN"/>
              </w:rPr>
              <w:t>2009</w:t>
            </w:r>
          </w:p>
          <w:p w14:paraId="10B9056F" w14:textId="77777777" w:rsidR="00631ADC" w:rsidRPr="000B5169" w:rsidRDefault="00631ADC" w:rsidP="00631ADC">
            <w:pPr>
              <w:jc w:val="center"/>
              <w:rPr>
                <w:rFonts w:ascii="Arial Narrow" w:hAnsi="Arial Narrow" w:cs="Arial"/>
                <w:b/>
                <w:sz w:val="22"/>
                <w:szCs w:val="20"/>
              </w:rPr>
            </w:pPr>
            <w:proofErr w:type="gramStart"/>
            <w:r w:rsidRPr="000B5169">
              <w:rPr>
                <w:rFonts w:ascii="Arial Narrow" w:hAnsi="Arial Narrow" w:cs="Arial"/>
                <w:b/>
                <w:sz w:val="22"/>
                <w:szCs w:val="20"/>
                <w:lang w:eastAsia="mn-MN"/>
              </w:rPr>
              <w:t>base</w:t>
            </w:r>
            <w:proofErr w:type="gramEnd"/>
          </w:p>
        </w:tc>
        <w:tc>
          <w:tcPr>
            <w:tcW w:w="1440" w:type="dxa"/>
            <w:tcBorders>
              <w:top w:val="single" w:sz="4" w:space="0" w:color="auto"/>
              <w:left w:val="nil"/>
              <w:bottom w:val="single" w:sz="4" w:space="0" w:color="auto"/>
              <w:right w:val="nil"/>
            </w:tcBorders>
            <w:shd w:val="clear" w:color="000000" w:fill="auto"/>
            <w:noWrap/>
            <w:vAlign w:val="center"/>
            <w:hideMark/>
          </w:tcPr>
          <w:p w14:paraId="2512350A" w14:textId="77777777" w:rsidR="00615E54" w:rsidRPr="000B5169" w:rsidRDefault="00615E54" w:rsidP="00615E54">
            <w:pPr>
              <w:jc w:val="center"/>
              <w:rPr>
                <w:rFonts w:ascii="Arial Narrow" w:hAnsi="Arial Narrow" w:cs="Arial"/>
                <w:b/>
                <w:sz w:val="22"/>
                <w:szCs w:val="20"/>
              </w:rPr>
            </w:pPr>
            <w:r w:rsidRPr="000B5169">
              <w:rPr>
                <w:rFonts w:ascii="Arial Narrow" w:hAnsi="Arial Narrow" w:cs="Arial"/>
                <w:b/>
                <w:sz w:val="22"/>
                <w:szCs w:val="20"/>
              </w:rPr>
              <w:t>2010</w:t>
            </w:r>
          </w:p>
        </w:tc>
        <w:tc>
          <w:tcPr>
            <w:tcW w:w="1440" w:type="dxa"/>
            <w:tcBorders>
              <w:top w:val="single" w:sz="4" w:space="0" w:color="auto"/>
              <w:left w:val="nil"/>
              <w:bottom w:val="single" w:sz="4" w:space="0" w:color="auto"/>
              <w:right w:val="nil"/>
            </w:tcBorders>
            <w:shd w:val="clear" w:color="000000" w:fill="auto"/>
            <w:noWrap/>
            <w:vAlign w:val="center"/>
            <w:hideMark/>
          </w:tcPr>
          <w:p w14:paraId="46897F93" w14:textId="77777777" w:rsidR="00615E54" w:rsidRPr="000B5169" w:rsidRDefault="00615E54" w:rsidP="00615E54">
            <w:pPr>
              <w:jc w:val="center"/>
              <w:rPr>
                <w:rFonts w:ascii="Arial Narrow" w:hAnsi="Arial Narrow" w:cs="Arial"/>
                <w:b/>
                <w:sz w:val="22"/>
                <w:szCs w:val="20"/>
              </w:rPr>
            </w:pPr>
            <w:r w:rsidRPr="000B5169">
              <w:rPr>
                <w:rFonts w:ascii="Arial Narrow" w:hAnsi="Arial Narrow" w:cs="Arial"/>
                <w:b/>
                <w:sz w:val="22"/>
                <w:szCs w:val="20"/>
              </w:rPr>
              <w:t>2011</w:t>
            </w:r>
          </w:p>
        </w:tc>
        <w:tc>
          <w:tcPr>
            <w:tcW w:w="1440" w:type="dxa"/>
            <w:tcBorders>
              <w:top w:val="single" w:sz="4" w:space="0" w:color="auto"/>
              <w:left w:val="nil"/>
              <w:bottom w:val="single" w:sz="4" w:space="0" w:color="auto"/>
              <w:right w:val="nil"/>
            </w:tcBorders>
            <w:shd w:val="clear" w:color="000000" w:fill="auto"/>
            <w:noWrap/>
            <w:vAlign w:val="center"/>
            <w:hideMark/>
          </w:tcPr>
          <w:p w14:paraId="23EFF40F" w14:textId="77777777" w:rsidR="00615E54" w:rsidRPr="000B5169" w:rsidRDefault="00615E54" w:rsidP="00615E54">
            <w:pPr>
              <w:jc w:val="center"/>
              <w:rPr>
                <w:rFonts w:ascii="Arial Narrow" w:hAnsi="Arial Narrow" w:cs="Arial"/>
                <w:b/>
                <w:sz w:val="22"/>
                <w:szCs w:val="20"/>
              </w:rPr>
            </w:pPr>
            <w:r w:rsidRPr="000B5169">
              <w:rPr>
                <w:rFonts w:ascii="Arial Narrow" w:hAnsi="Arial Narrow" w:cs="Arial"/>
                <w:b/>
                <w:sz w:val="22"/>
                <w:szCs w:val="20"/>
              </w:rPr>
              <w:t>2012</w:t>
            </w:r>
          </w:p>
        </w:tc>
      </w:tr>
      <w:tr w:rsidR="00615E54" w:rsidRPr="001A040E" w14:paraId="15B5C12E" w14:textId="77777777" w:rsidTr="00615E54">
        <w:trPr>
          <w:trHeight w:val="240"/>
        </w:trPr>
        <w:tc>
          <w:tcPr>
            <w:tcW w:w="1638" w:type="dxa"/>
            <w:tcBorders>
              <w:top w:val="nil"/>
              <w:left w:val="nil"/>
              <w:bottom w:val="nil"/>
              <w:right w:val="nil"/>
            </w:tcBorders>
            <w:shd w:val="clear" w:color="000000" w:fill="auto"/>
            <w:vAlign w:val="bottom"/>
          </w:tcPr>
          <w:p w14:paraId="15424F2C" w14:textId="77777777" w:rsidR="00615E54" w:rsidRPr="006066BA" w:rsidRDefault="00615E54" w:rsidP="00615E54">
            <w:pPr>
              <w:rPr>
                <w:rFonts w:ascii="Arial Narrow" w:hAnsi="Arial Narrow" w:cs="Arial"/>
                <w:sz w:val="22"/>
                <w:szCs w:val="20"/>
              </w:rPr>
            </w:pPr>
            <w:r w:rsidRPr="006066BA">
              <w:rPr>
                <w:rFonts w:ascii="Arial Narrow" w:hAnsi="Arial Narrow" w:cs="Arial"/>
                <w:sz w:val="22"/>
                <w:szCs w:val="20"/>
              </w:rPr>
              <w:t>West</w:t>
            </w:r>
          </w:p>
        </w:tc>
        <w:tc>
          <w:tcPr>
            <w:tcW w:w="1200" w:type="dxa"/>
            <w:tcBorders>
              <w:top w:val="nil"/>
              <w:left w:val="nil"/>
              <w:bottom w:val="nil"/>
              <w:right w:val="nil"/>
            </w:tcBorders>
            <w:shd w:val="clear" w:color="000000" w:fill="auto"/>
            <w:noWrap/>
            <w:vAlign w:val="bottom"/>
            <w:hideMark/>
          </w:tcPr>
          <w:p w14:paraId="2BE41504"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6,430</w:t>
            </w:r>
          </w:p>
        </w:tc>
        <w:tc>
          <w:tcPr>
            <w:tcW w:w="1440" w:type="dxa"/>
            <w:tcBorders>
              <w:top w:val="nil"/>
              <w:left w:val="nil"/>
              <w:bottom w:val="nil"/>
              <w:right w:val="nil"/>
            </w:tcBorders>
            <w:shd w:val="clear" w:color="000000" w:fill="auto"/>
            <w:noWrap/>
            <w:vAlign w:val="bottom"/>
            <w:hideMark/>
          </w:tcPr>
          <w:p w14:paraId="6806FF9C"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8,385</w:t>
            </w:r>
          </w:p>
        </w:tc>
        <w:tc>
          <w:tcPr>
            <w:tcW w:w="1440" w:type="dxa"/>
            <w:tcBorders>
              <w:top w:val="nil"/>
              <w:left w:val="nil"/>
              <w:bottom w:val="nil"/>
              <w:right w:val="nil"/>
            </w:tcBorders>
            <w:shd w:val="clear" w:color="000000" w:fill="auto"/>
            <w:noWrap/>
            <w:vAlign w:val="bottom"/>
            <w:hideMark/>
          </w:tcPr>
          <w:p w14:paraId="6F88F69C"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10,196</w:t>
            </w:r>
          </w:p>
        </w:tc>
        <w:tc>
          <w:tcPr>
            <w:tcW w:w="1440" w:type="dxa"/>
            <w:tcBorders>
              <w:top w:val="nil"/>
              <w:left w:val="nil"/>
              <w:bottom w:val="nil"/>
              <w:right w:val="nil"/>
            </w:tcBorders>
            <w:shd w:val="clear" w:color="000000" w:fill="auto"/>
            <w:noWrap/>
            <w:vAlign w:val="bottom"/>
            <w:hideMark/>
          </w:tcPr>
          <w:p w14:paraId="7469B0EF"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14,718</w:t>
            </w:r>
          </w:p>
        </w:tc>
      </w:tr>
      <w:tr w:rsidR="00615E54" w:rsidRPr="001A040E" w14:paraId="129B5526" w14:textId="77777777" w:rsidTr="00615E54">
        <w:trPr>
          <w:trHeight w:val="240"/>
        </w:trPr>
        <w:tc>
          <w:tcPr>
            <w:tcW w:w="1638" w:type="dxa"/>
            <w:tcBorders>
              <w:top w:val="nil"/>
              <w:left w:val="nil"/>
              <w:bottom w:val="nil"/>
              <w:right w:val="nil"/>
            </w:tcBorders>
            <w:shd w:val="clear" w:color="000000" w:fill="auto"/>
            <w:vAlign w:val="bottom"/>
          </w:tcPr>
          <w:p w14:paraId="78C0BB07" w14:textId="77777777" w:rsidR="00615E54" w:rsidRPr="006066BA" w:rsidRDefault="00615E54" w:rsidP="00615E54">
            <w:pPr>
              <w:rPr>
                <w:rFonts w:ascii="Arial Narrow" w:hAnsi="Arial Narrow" w:cs="Arial"/>
                <w:sz w:val="22"/>
                <w:szCs w:val="20"/>
              </w:rPr>
            </w:pPr>
            <w:r w:rsidRPr="006066BA">
              <w:rPr>
                <w:rFonts w:ascii="Arial Narrow" w:hAnsi="Arial Narrow" w:cs="Arial"/>
                <w:sz w:val="22"/>
                <w:szCs w:val="20"/>
              </w:rPr>
              <w:t>Highlands</w:t>
            </w:r>
          </w:p>
        </w:tc>
        <w:tc>
          <w:tcPr>
            <w:tcW w:w="1200" w:type="dxa"/>
            <w:tcBorders>
              <w:top w:val="nil"/>
              <w:left w:val="nil"/>
              <w:bottom w:val="nil"/>
              <w:right w:val="nil"/>
            </w:tcBorders>
            <w:shd w:val="clear" w:color="000000" w:fill="auto"/>
            <w:noWrap/>
            <w:vAlign w:val="bottom"/>
            <w:hideMark/>
          </w:tcPr>
          <w:p w14:paraId="14D3FA06"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8,145</w:t>
            </w:r>
          </w:p>
        </w:tc>
        <w:tc>
          <w:tcPr>
            <w:tcW w:w="1440" w:type="dxa"/>
            <w:tcBorders>
              <w:top w:val="nil"/>
              <w:left w:val="nil"/>
              <w:bottom w:val="nil"/>
              <w:right w:val="nil"/>
            </w:tcBorders>
            <w:shd w:val="clear" w:color="000000" w:fill="auto"/>
            <w:noWrap/>
            <w:vAlign w:val="bottom"/>
            <w:hideMark/>
          </w:tcPr>
          <w:p w14:paraId="232B8309"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13,174</w:t>
            </w:r>
          </w:p>
        </w:tc>
        <w:tc>
          <w:tcPr>
            <w:tcW w:w="1440" w:type="dxa"/>
            <w:tcBorders>
              <w:top w:val="nil"/>
              <w:left w:val="nil"/>
              <w:bottom w:val="nil"/>
              <w:right w:val="nil"/>
            </w:tcBorders>
            <w:shd w:val="clear" w:color="000000" w:fill="auto"/>
            <w:noWrap/>
            <w:vAlign w:val="bottom"/>
            <w:hideMark/>
          </w:tcPr>
          <w:p w14:paraId="574EB55A"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12,057</w:t>
            </w:r>
          </w:p>
        </w:tc>
        <w:tc>
          <w:tcPr>
            <w:tcW w:w="1440" w:type="dxa"/>
            <w:tcBorders>
              <w:top w:val="nil"/>
              <w:left w:val="nil"/>
              <w:bottom w:val="nil"/>
              <w:right w:val="nil"/>
            </w:tcBorders>
            <w:shd w:val="clear" w:color="000000" w:fill="auto"/>
            <w:noWrap/>
            <w:vAlign w:val="bottom"/>
            <w:hideMark/>
          </w:tcPr>
          <w:p w14:paraId="019029AC"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14,473</w:t>
            </w:r>
          </w:p>
        </w:tc>
      </w:tr>
      <w:tr w:rsidR="00615E54" w:rsidRPr="001A040E" w14:paraId="576E255A" w14:textId="77777777" w:rsidTr="00615E54">
        <w:trPr>
          <w:trHeight w:val="240"/>
        </w:trPr>
        <w:tc>
          <w:tcPr>
            <w:tcW w:w="1638" w:type="dxa"/>
            <w:tcBorders>
              <w:top w:val="nil"/>
              <w:left w:val="nil"/>
              <w:bottom w:val="nil"/>
              <w:right w:val="nil"/>
            </w:tcBorders>
            <w:shd w:val="clear" w:color="000000" w:fill="auto"/>
            <w:vAlign w:val="bottom"/>
          </w:tcPr>
          <w:p w14:paraId="6C1E45FB" w14:textId="77777777" w:rsidR="00615E54" w:rsidRPr="006066BA" w:rsidRDefault="00615E54" w:rsidP="00615E54">
            <w:pPr>
              <w:rPr>
                <w:rFonts w:ascii="Arial Narrow" w:hAnsi="Arial Narrow" w:cs="Arial"/>
                <w:sz w:val="22"/>
                <w:szCs w:val="20"/>
              </w:rPr>
            </w:pPr>
            <w:r w:rsidRPr="006066BA">
              <w:rPr>
                <w:rFonts w:ascii="Arial Narrow" w:hAnsi="Arial Narrow" w:cs="Arial"/>
                <w:sz w:val="22"/>
                <w:szCs w:val="20"/>
              </w:rPr>
              <w:t>Central</w:t>
            </w:r>
          </w:p>
        </w:tc>
        <w:tc>
          <w:tcPr>
            <w:tcW w:w="1200" w:type="dxa"/>
            <w:tcBorders>
              <w:top w:val="nil"/>
              <w:left w:val="nil"/>
              <w:bottom w:val="nil"/>
              <w:right w:val="nil"/>
            </w:tcBorders>
            <w:shd w:val="clear" w:color="000000" w:fill="auto"/>
            <w:noWrap/>
            <w:vAlign w:val="bottom"/>
            <w:hideMark/>
          </w:tcPr>
          <w:p w14:paraId="606F95D8"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10,385</w:t>
            </w:r>
          </w:p>
        </w:tc>
        <w:tc>
          <w:tcPr>
            <w:tcW w:w="1440" w:type="dxa"/>
            <w:tcBorders>
              <w:top w:val="nil"/>
              <w:left w:val="nil"/>
              <w:bottom w:val="nil"/>
              <w:right w:val="nil"/>
            </w:tcBorders>
            <w:shd w:val="clear" w:color="000000" w:fill="auto"/>
            <w:noWrap/>
            <w:vAlign w:val="bottom"/>
            <w:hideMark/>
          </w:tcPr>
          <w:p w14:paraId="33D47808"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20,163</w:t>
            </w:r>
          </w:p>
        </w:tc>
        <w:tc>
          <w:tcPr>
            <w:tcW w:w="1440" w:type="dxa"/>
            <w:tcBorders>
              <w:top w:val="nil"/>
              <w:left w:val="nil"/>
              <w:bottom w:val="nil"/>
              <w:right w:val="nil"/>
            </w:tcBorders>
            <w:shd w:val="clear" w:color="000000" w:fill="auto"/>
            <w:noWrap/>
            <w:vAlign w:val="bottom"/>
            <w:hideMark/>
          </w:tcPr>
          <w:p w14:paraId="790D8858"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20,955</w:t>
            </w:r>
          </w:p>
        </w:tc>
        <w:tc>
          <w:tcPr>
            <w:tcW w:w="1440" w:type="dxa"/>
            <w:tcBorders>
              <w:top w:val="nil"/>
              <w:left w:val="nil"/>
              <w:bottom w:val="nil"/>
              <w:right w:val="nil"/>
            </w:tcBorders>
            <w:shd w:val="clear" w:color="000000" w:fill="auto"/>
            <w:noWrap/>
            <w:vAlign w:val="bottom"/>
            <w:hideMark/>
          </w:tcPr>
          <w:p w14:paraId="17349613"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17,859</w:t>
            </w:r>
          </w:p>
        </w:tc>
      </w:tr>
      <w:tr w:rsidR="00615E54" w:rsidRPr="001A040E" w14:paraId="63941352" w14:textId="77777777" w:rsidTr="00615E54">
        <w:trPr>
          <w:trHeight w:val="240"/>
        </w:trPr>
        <w:tc>
          <w:tcPr>
            <w:tcW w:w="1638" w:type="dxa"/>
            <w:tcBorders>
              <w:top w:val="nil"/>
              <w:left w:val="nil"/>
              <w:bottom w:val="nil"/>
              <w:right w:val="nil"/>
            </w:tcBorders>
            <w:shd w:val="clear" w:color="000000" w:fill="auto"/>
            <w:vAlign w:val="bottom"/>
          </w:tcPr>
          <w:p w14:paraId="379BCE5B" w14:textId="77777777" w:rsidR="00615E54" w:rsidRPr="006066BA" w:rsidRDefault="00615E54" w:rsidP="00615E54">
            <w:pPr>
              <w:rPr>
                <w:rFonts w:ascii="Arial Narrow" w:hAnsi="Arial Narrow" w:cs="Arial"/>
                <w:sz w:val="22"/>
                <w:szCs w:val="20"/>
              </w:rPr>
            </w:pPr>
            <w:r w:rsidRPr="006066BA">
              <w:rPr>
                <w:rFonts w:ascii="Arial Narrow" w:hAnsi="Arial Narrow" w:cs="Arial"/>
                <w:sz w:val="22"/>
                <w:szCs w:val="20"/>
              </w:rPr>
              <w:t>East</w:t>
            </w:r>
          </w:p>
        </w:tc>
        <w:tc>
          <w:tcPr>
            <w:tcW w:w="1200" w:type="dxa"/>
            <w:tcBorders>
              <w:top w:val="nil"/>
              <w:left w:val="nil"/>
              <w:bottom w:val="nil"/>
              <w:right w:val="nil"/>
            </w:tcBorders>
            <w:shd w:val="clear" w:color="000000" w:fill="auto"/>
            <w:noWrap/>
            <w:vAlign w:val="bottom"/>
            <w:hideMark/>
          </w:tcPr>
          <w:p w14:paraId="6F4838AC"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5,711</w:t>
            </w:r>
          </w:p>
        </w:tc>
        <w:tc>
          <w:tcPr>
            <w:tcW w:w="1440" w:type="dxa"/>
            <w:tcBorders>
              <w:top w:val="nil"/>
              <w:left w:val="nil"/>
              <w:bottom w:val="nil"/>
              <w:right w:val="nil"/>
            </w:tcBorders>
            <w:shd w:val="clear" w:color="000000" w:fill="auto"/>
            <w:noWrap/>
            <w:vAlign w:val="bottom"/>
            <w:hideMark/>
          </w:tcPr>
          <w:p w14:paraId="40B3007E"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15,439</w:t>
            </w:r>
          </w:p>
        </w:tc>
        <w:tc>
          <w:tcPr>
            <w:tcW w:w="1440" w:type="dxa"/>
            <w:tcBorders>
              <w:top w:val="nil"/>
              <w:left w:val="nil"/>
              <w:bottom w:val="nil"/>
              <w:right w:val="nil"/>
            </w:tcBorders>
            <w:shd w:val="clear" w:color="000000" w:fill="auto"/>
            <w:noWrap/>
            <w:vAlign w:val="bottom"/>
            <w:hideMark/>
          </w:tcPr>
          <w:p w14:paraId="2E26ABBB"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13,549</w:t>
            </w:r>
          </w:p>
        </w:tc>
        <w:tc>
          <w:tcPr>
            <w:tcW w:w="1440" w:type="dxa"/>
            <w:tcBorders>
              <w:top w:val="nil"/>
              <w:left w:val="nil"/>
              <w:bottom w:val="nil"/>
              <w:right w:val="nil"/>
            </w:tcBorders>
            <w:shd w:val="clear" w:color="000000" w:fill="auto"/>
            <w:noWrap/>
            <w:vAlign w:val="bottom"/>
            <w:hideMark/>
          </w:tcPr>
          <w:p w14:paraId="1C96E320"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16,253</w:t>
            </w:r>
          </w:p>
        </w:tc>
      </w:tr>
      <w:tr w:rsidR="00615E54" w:rsidRPr="001A040E" w14:paraId="325CCCE5" w14:textId="77777777" w:rsidTr="00615E54">
        <w:trPr>
          <w:trHeight w:val="240"/>
        </w:trPr>
        <w:tc>
          <w:tcPr>
            <w:tcW w:w="1638" w:type="dxa"/>
            <w:tcBorders>
              <w:top w:val="nil"/>
              <w:left w:val="nil"/>
              <w:bottom w:val="single" w:sz="4" w:space="0" w:color="auto"/>
              <w:right w:val="nil"/>
            </w:tcBorders>
            <w:shd w:val="clear" w:color="000000" w:fill="auto"/>
            <w:vAlign w:val="bottom"/>
          </w:tcPr>
          <w:p w14:paraId="42B622AE" w14:textId="77777777" w:rsidR="00615E54" w:rsidRPr="006066BA" w:rsidRDefault="00615E54" w:rsidP="00615E54">
            <w:pPr>
              <w:rPr>
                <w:rFonts w:ascii="Arial Narrow" w:hAnsi="Arial Narrow" w:cs="Arial"/>
                <w:sz w:val="22"/>
                <w:szCs w:val="20"/>
              </w:rPr>
            </w:pPr>
            <w:r w:rsidRPr="006066BA">
              <w:rPr>
                <w:rFonts w:ascii="Arial Narrow" w:hAnsi="Arial Narrow" w:cs="Arial"/>
                <w:sz w:val="22"/>
                <w:szCs w:val="20"/>
              </w:rPr>
              <w:t>Ulaanbaatar</w:t>
            </w:r>
          </w:p>
        </w:tc>
        <w:tc>
          <w:tcPr>
            <w:tcW w:w="1200" w:type="dxa"/>
            <w:tcBorders>
              <w:top w:val="nil"/>
              <w:left w:val="nil"/>
              <w:bottom w:val="single" w:sz="4" w:space="0" w:color="auto"/>
              <w:right w:val="nil"/>
            </w:tcBorders>
            <w:shd w:val="clear" w:color="000000" w:fill="auto"/>
            <w:noWrap/>
            <w:vAlign w:val="bottom"/>
            <w:hideMark/>
          </w:tcPr>
          <w:p w14:paraId="605D4AA5"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11,443</w:t>
            </w:r>
          </w:p>
        </w:tc>
        <w:tc>
          <w:tcPr>
            <w:tcW w:w="1440" w:type="dxa"/>
            <w:tcBorders>
              <w:top w:val="nil"/>
              <w:left w:val="nil"/>
              <w:bottom w:val="single" w:sz="4" w:space="0" w:color="auto"/>
              <w:right w:val="nil"/>
            </w:tcBorders>
            <w:shd w:val="clear" w:color="000000" w:fill="auto"/>
            <w:noWrap/>
            <w:vAlign w:val="bottom"/>
            <w:hideMark/>
          </w:tcPr>
          <w:p w14:paraId="7605892F"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15,926</w:t>
            </w:r>
          </w:p>
        </w:tc>
        <w:tc>
          <w:tcPr>
            <w:tcW w:w="1440" w:type="dxa"/>
            <w:tcBorders>
              <w:top w:val="nil"/>
              <w:left w:val="nil"/>
              <w:bottom w:val="single" w:sz="4" w:space="0" w:color="auto"/>
              <w:right w:val="nil"/>
            </w:tcBorders>
            <w:shd w:val="clear" w:color="000000" w:fill="auto"/>
            <w:noWrap/>
            <w:vAlign w:val="bottom"/>
            <w:hideMark/>
          </w:tcPr>
          <w:p w14:paraId="4D6CC9D5"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16,379</w:t>
            </w:r>
          </w:p>
        </w:tc>
        <w:tc>
          <w:tcPr>
            <w:tcW w:w="1440" w:type="dxa"/>
            <w:tcBorders>
              <w:top w:val="nil"/>
              <w:left w:val="nil"/>
              <w:bottom w:val="single" w:sz="4" w:space="0" w:color="auto"/>
              <w:right w:val="nil"/>
            </w:tcBorders>
            <w:shd w:val="clear" w:color="000000" w:fill="auto"/>
            <w:noWrap/>
            <w:vAlign w:val="bottom"/>
            <w:hideMark/>
          </w:tcPr>
          <w:p w14:paraId="6187D0A9"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21,242</w:t>
            </w:r>
          </w:p>
        </w:tc>
      </w:tr>
      <w:tr w:rsidR="00615E54" w:rsidRPr="001A040E" w14:paraId="0CBF2364" w14:textId="77777777" w:rsidTr="00615E54">
        <w:trPr>
          <w:trHeight w:val="240"/>
        </w:trPr>
        <w:tc>
          <w:tcPr>
            <w:tcW w:w="1638" w:type="dxa"/>
            <w:tcBorders>
              <w:top w:val="single" w:sz="4" w:space="0" w:color="auto"/>
              <w:left w:val="nil"/>
              <w:bottom w:val="single" w:sz="4" w:space="0" w:color="auto"/>
              <w:right w:val="nil"/>
            </w:tcBorders>
            <w:shd w:val="clear" w:color="000000" w:fill="auto"/>
            <w:vAlign w:val="bottom"/>
          </w:tcPr>
          <w:p w14:paraId="2D2D3D71" w14:textId="77777777" w:rsidR="00615E54" w:rsidRPr="006066BA" w:rsidRDefault="00615E54" w:rsidP="00615E54">
            <w:pPr>
              <w:rPr>
                <w:rFonts w:ascii="Arial Narrow" w:hAnsi="Arial Narrow" w:cs="Arial"/>
                <w:sz w:val="22"/>
                <w:szCs w:val="20"/>
              </w:rPr>
            </w:pPr>
            <w:r w:rsidRPr="006066BA">
              <w:rPr>
                <w:rFonts w:ascii="Arial Narrow" w:hAnsi="Arial Narrow" w:cs="Arial"/>
                <w:sz w:val="22"/>
                <w:szCs w:val="20"/>
              </w:rPr>
              <w:t>Total</w:t>
            </w:r>
          </w:p>
        </w:tc>
        <w:tc>
          <w:tcPr>
            <w:tcW w:w="1200" w:type="dxa"/>
            <w:tcBorders>
              <w:top w:val="single" w:sz="4" w:space="0" w:color="auto"/>
              <w:left w:val="nil"/>
              <w:bottom w:val="single" w:sz="4" w:space="0" w:color="auto"/>
              <w:right w:val="nil"/>
            </w:tcBorders>
            <w:shd w:val="clear" w:color="000000" w:fill="auto"/>
            <w:noWrap/>
            <w:vAlign w:val="bottom"/>
            <w:hideMark/>
          </w:tcPr>
          <w:p w14:paraId="3B9AE022"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9,231</w:t>
            </w:r>
          </w:p>
        </w:tc>
        <w:tc>
          <w:tcPr>
            <w:tcW w:w="1440" w:type="dxa"/>
            <w:tcBorders>
              <w:top w:val="single" w:sz="4" w:space="0" w:color="auto"/>
              <w:left w:val="nil"/>
              <w:bottom w:val="single" w:sz="4" w:space="0" w:color="auto"/>
              <w:right w:val="nil"/>
            </w:tcBorders>
            <w:shd w:val="clear" w:color="000000" w:fill="auto"/>
            <w:noWrap/>
            <w:vAlign w:val="bottom"/>
            <w:hideMark/>
          </w:tcPr>
          <w:p w14:paraId="3F954827"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15,072</w:t>
            </w:r>
          </w:p>
        </w:tc>
        <w:tc>
          <w:tcPr>
            <w:tcW w:w="1440" w:type="dxa"/>
            <w:tcBorders>
              <w:top w:val="single" w:sz="4" w:space="0" w:color="auto"/>
              <w:left w:val="nil"/>
              <w:bottom w:val="single" w:sz="4" w:space="0" w:color="auto"/>
              <w:right w:val="nil"/>
            </w:tcBorders>
            <w:shd w:val="clear" w:color="000000" w:fill="auto"/>
            <w:noWrap/>
            <w:vAlign w:val="bottom"/>
            <w:hideMark/>
          </w:tcPr>
          <w:p w14:paraId="5CFDC4CD" w14:textId="77777777" w:rsidR="00615E54" w:rsidRPr="006066BA" w:rsidRDefault="00615E54" w:rsidP="00615E54">
            <w:pPr>
              <w:jc w:val="center"/>
              <w:rPr>
                <w:rFonts w:ascii="Arial Narrow" w:hAnsi="Arial Narrow" w:cs="Arial"/>
                <w:sz w:val="22"/>
                <w:szCs w:val="20"/>
              </w:rPr>
            </w:pPr>
            <w:r w:rsidRPr="006066BA">
              <w:rPr>
                <w:rFonts w:ascii="Arial Narrow" w:hAnsi="Arial Narrow" w:cs="Arial"/>
                <w:sz w:val="22"/>
                <w:szCs w:val="20"/>
              </w:rPr>
              <w:t>15,275</w:t>
            </w:r>
          </w:p>
        </w:tc>
        <w:tc>
          <w:tcPr>
            <w:tcW w:w="1440" w:type="dxa"/>
            <w:tcBorders>
              <w:top w:val="single" w:sz="4" w:space="0" w:color="auto"/>
              <w:left w:val="nil"/>
              <w:bottom w:val="single" w:sz="4" w:space="0" w:color="auto"/>
              <w:right w:val="nil"/>
            </w:tcBorders>
            <w:shd w:val="clear" w:color="000000" w:fill="auto"/>
            <w:noWrap/>
            <w:vAlign w:val="bottom"/>
            <w:hideMark/>
          </w:tcPr>
          <w:p w14:paraId="0E73D500" w14:textId="77777777" w:rsidR="00615E54" w:rsidRPr="006066BA" w:rsidRDefault="00615E54" w:rsidP="00615E54">
            <w:pPr>
              <w:jc w:val="center"/>
              <w:rPr>
                <w:rFonts w:ascii="Arial Narrow" w:hAnsi="Arial Narrow" w:cs="Arial"/>
                <w:color w:val="FFFFFF" w:themeColor="background1"/>
                <w:sz w:val="22"/>
                <w:szCs w:val="20"/>
              </w:rPr>
            </w:pPr>
            <w:r w:rsidRPr="006066BA">
              <w:rPr>
                <w:rFonts w:ascii="Arial Narrow" w:hAnsi="Arial Narrow" w:cs="Arial"/>
                <w:sz w:val="22"/>
                <w:szCs w:val="20"/>
              </w:rPr>
              <w:t>18,164</w:t>
            </w:r>
          </w:p>
        </w:tc>
      </w:tr>
    </w:tbl>
    <w:p w14:paraId="1BBD6442" w14:textId="77777777" w:rsidR="00ED4941" w:rsidRPr="008B7EA0" w:rsidRDefault="00ED4941" w:rsidP="00ED4941">
      <w:pPr>
        <w:ind w:left="1440"/>
        <w:rPr>
          <w:i/>
          <w:sz w:val="22"/>
          <w:lang w:val="en-GB"/>
        </w:rPr>
      </w:pPr>
      <w:r w:rsidRPr="008B7EA0">
        <w:rPr>
          <w:i/>
          <w:sz w:val="22"/>
          <w:lang w:val="en-GB"/>
        </w:rPr>
        <w:t>Source: Mongolia Household Socio-Economic Surveys, 20</w:t>
      </w:r>
      <w:r>
        <w:rPr>
          <w:i/>
          <w:sz w:val="22"/>
          <w:lang w:val="en-GB"/>
        </w:rPr>
        <w:t>09</w:t>
      </w:r>
      <w:r w:rsidRPr="008B7EA0">
        <w:rPr>
          <w:i/>
          <w:sz w:val="22"/>
          <w:lang w:val="en-GB"/>
        </w:rPr>
        <w:t>-2012</w:t>
      </w:r>
    </w:p>
    <w:p w14:paraId="4BBC02E8" w14:textId="77777777" w:rsidR="001A040E" w:rsidRDefault="001A040E" w:rsidP="001A040E">
      <w:pPr>
        <w:ind w:left="720"/>
        <w:jc w:val="both"/>
        <w:rPr>
          <w:rFonts w:ascii="Arial" w:hAnsi="Arial" w:cs="Arial"/>
          <w:lang w:val="en-GB"/>
        </w:rPr>
      </w:pPr>
    </w:p>
    <w:p w14:paraId="59AB69C0" w14:textId="548A2219" w:rsidR="00066CD5" w:rsidRDefault="00A863E5" w:rsidP="000D0EB7">
      <w:pPr>
        <w:jc w:val="both"/>
        <w:rPr>
          <w:rFonts w:ascii="Arial" w:hAnsi="Arial" w:cs="Arial"/>
          <w:lang w:val="en-GB"/>
        </w:rPr>
      </w:pPr>
      <w:r w:rsidRPr="00560FA1">
        <w:rPr>
          <w:rFonts w:ascii="Arial" w:hAnsi="Arial" w:cs="Arial"/>
          <w:lang w:val="en-GB"/>
        </w:rPr>
        <w:t>Nationally, the share</w:t>
      </w:r>
      <w:r w:rsidR="00BF19F5" w:rsidRPr="00560FA1">
        <w:rPr>
          <w:rFonts w:ascii="Arial" w:hAnsi="Arial" w:cs="Arial"/>
          <w:lang w:val="en-GB"/>
        </w:rPr>
        <w:t>s</w:t>
      </w:r>
      <w:r w:rsidRPr="00560FA1">
        <w:rPr>
          <w:rFonts w:ascii="Arial" w:hAnsi="Arial" w:cs="Arial"/>
          <w:lang w:val="en-GB"/>
        </w:rPr>
        <w:t xml:space="preserve"> of out of pocket health payments in </w:t>
      </w:r>
      <w:r w:rsidR="00BF19F5" w:rsidRPr="00560FA1">
        <w:rPr>
          <w:rFonts w:ascii="Arial" w:hAnsi="Arial" w:cs="Arial"/>
          <w:lang w:val="en-GB"/>
        </w:rPr>
        <w:t xml:space="preserve">both </w:t>
      </w:r>
      <w:r w:rsidRPr="00560FA1">
        <w:rPr>
          <w:rFonts w:ascii="Arial" w:hAnsi="Arial" w:cs="Arial"/>
          <w:lang w:val="en-GB"/>
        </w:rPr>
        <w:t xml:space="preserve">total household expenditure </w:t>
      </w:r>
      <w:r w:rsidR="00BF19F5" w:rsidRPr="00560FA1">
        <w:rPr>
          <w:rFonts w:ascii="Arial" w:hAnsi="Arial" w:cs="Arial"/>
          <w:lang w:val="en-GB"/>
        </w:rPr>
        <w:t xml:space="preserve">and </w:t>
      </w:r>
      <w:r w:rsidR="0063527C">
        <w:rPr>
          <w:rFonts w:ascii="Arial" w:hAnsi="Arial" w:cs="Arial"/>
          <w:lang w:val="en-GB"/>
        </w:rPr>
        <w:t xml:space="preserve">in the </w:t>
      </w:r>
      <w:r w:rsidR="00BF19F5" w:rsidRPr="00560FA1">
        <w:rPr>
          <w:rFonts w:ascii="Arial" w:hAnsi="Arial" w:cs="Arial"/>
          <w:lang w:val="en-GB"/>
        </w:rPr>
        <w:t xml:space="preserve">capacity to pay </w:t>
      </w:r>
      <w:r w:rsidRPr="00560FA1">
        <w:rPr>
          <w:rFonts w:ascii="Arial" w:hAnsi="Arial" w:cs="Arial"/>
          <w:lang w:val="en-GB"/>
        </w:rPr>
        <w:t xml:space="preserve">decreased </w:t>
      </w:r>
      <w:r w:rsidR="00B41D1B">
        <w:rPr>
          <w:rFonts w:ascii="Arial" w:hAnsi="Arial" w:cs="Arial"/>
          <w:lang w:val="en-GB"/>
        </w:rPr>
        <w:t>from 20</w:t>
      </w:r>
      <w:r w:rsidR="00BF19F5" w:rsidRPr="00560FA1">
        <w:rPr>
          <w:rFonts w:ascii="Arial" w:hAnsi="Arial" w:cs="Arial"/>
          <w:lang w:val="en-GB"/>
        </w:rPr>
        <w:t>0</w:t>
      </w:r>
      <w:r w:rsidR="00B41D1B">
        <w:rPr>
          <w:rFonts w:ascii="Arial" w:hAnsi="Arial" w:cs="Arial"/>
          <w:lang w:val="en-GB"/>
        </w:rPr>
        <w:t>9</w:t>
      </w:r>
      <w:r w:rsidR="00BF19F5" w:rsidRPr="00560FA1">
        <w:rPr>
          <w:rFonts w:ascii="Arial" w:hAnsi="Arial" w:cs="Arial"/>
          <w:lang w:val="en-GB"/>
        </w:rPr>
        <w:t xml:space="preserve"> to 2012</w:t>
      </w:r>
      <w:r w:rsidR="00CC14F7">
        <w:rPr>
          <w:rFonts w:ascii="Arial" w:hAnsi="Arial" w:cs="Arial"/>
          <w:lang w:val="en-GB"/>
        </w:rPr>
        <w:t xml:space="preserve"> (Figure 6</w:t>
      </w:r>
      <w:r w:rsidR="006066BA">
        <w:rPr>
          <w:rFonts w:ascii="Arial" w:hAnsi="Arial" w:cs="Arial"/>
          <w:lang w:val="en-GB"/>
        </w:rPr>
        <w:t>)</w:t>
      </w:r>
      <w:r w:rsidR="00BF19F5" w:rsidRPr="00560FA1">
        <w:rPr>
          <w:rFonts w:ascii="Arial" w:hAnsi="Arial" w:cs="Arial"/>
          <w:lang w:val="en-GB"/>
        </w:rPr>
        <w:t>. For example, the share of out of pocket health payments in total househ</w:t>
      </w:r>
      <w:r w:rsidR="00B41D1B">
        <w:rPr>
          <w:rFonts w:ascii="Arial" w:hAnsi="Arial" w:cs="Arial"/>
          <w:lang w:val="en-GB"/>
        </w:rPr>
        <w:t>old expenditure was 3.2% in 2009</w:t>
      </w:r>
      <w:r w:rsidR="00BF19F5" w:rsidRPr="00560FA1">
        <w:rPr>
          <w:rFonts w:ascii="Arial" w:hAnsi="Arial" w:cs="Arial"/>
          <w:lang w:val="en-GB"/>
        </w:rPr>
        <w:t xml:space="preserve"> and</w:t>
      </w:r>
      <w:r w:rsidRPr="00560FA1">
        <w:rPr>
          <w:rFonts w:ascii="Arial" w:hAnsi="Arial" w:cs="Arial"/>
          <w:lang w:val="en-GB"/>
        </w:rPr>
        <w:t xml:space="preserve"> 2.8% in 2012</w:t>
      </w:r>
      <w:r w:rsidR="00BF19F5" w:rsidRPr="00560FA1">
        <w:rPr>
          <w:rFonts w:ascii="Arial" w:hAnsi="Arial" w:cs="Arial"/>
          <w:lang w:val="en-GB"/>
        </w:rPr>
        <w:t xml:space="preserve"> respectively</w:t>
      </w:r>
      <w:r w:rsidRPr="00560FA1">
        <w:rPr>
          <w:rFonts w:ascii="Arial" w:hAnsi="Arial" w:cs="Arial"/>
          <w:lang w:val="en-GB"/>
        </w:rPr>
        <w:t xml:space="preserve">. </w:t>
      </w:r>
      <w:r w:rsidR="00A91528">
        <w:rPr>
          <w:rFonts w:ascii="Arial" w:hAnsi="Arial" w:cs="Arial"/>
          <w:lang w:val="en-GB"/>
        </w:rPr>
        <w:t>Further, t</w:t>
      </w:r>
      <w:r w:rsidR="00A91528" w:rsidRPr="00560FA1">
        <w:rPr>
          <w:rFonts w:ascii="Arial" w:hAnsi="Arial" w:cs="Arial"/>
          <w:lang w:val="en-GB"/>
        </w:rPr>
        <w:t xml:space="preserve">he share of OOPs in capacity to pay </w:t>
      </w:r>
      <w:r w:rsidR="00A91528">
        <w:rPr>
          <w:rFonts w:ascii="Arial" w:hAnsi="Arial" w:cs="Arial"/>
          <w:lang w:val="en-GB"/>
        </w:rPr>
        <w:t xml:space="preserve">was </w:t>
      </w:r>
      <w:r w:rsidR="00234C6A">
        <w:rPr>
          <w:rFonts w:ascii="Arial" w:hAnsi="Arial" w:cs="Arial"/>
          <w:lang w:val="en-GB"/>
        </w:rPr>
        <w:t xml:space="preserve">5.5% in 2009 </w:t>
      </w:r>
      <w:r w:rsidR="00A91528" w:rsidRPr="00560FA1">
        <w:rPr>
          <w:rFonts w:ascii="Arial" w:hAnsi="Arial" w:cs="Arial"/>
          <w:lang w:val="en-GB"/>
        </w:rPr>
        <w:t>and fell to 3.7% in 2012</w:t>
      </w:r>
      <w:r w:rsidR="00CC14F7">
        <w:rPr>
          <w:rFonts w:ascii="Arial" w:hAnsi="Arial" w:cs="Arial"/>
          <w:lang w:val="en-GB"/>
        </w:rPr>
        <w:t xml:space="preserve"> (Figure 7</w:t>
      </w:r>
      <w:r w:rsidR="00A91528">
        <w:rPr>
          <w:rFonts w:ascii="Arial" w:hAnsi="Arial" w:cs="Arial"/>
          <w:lang w:val="en-GB"/>
        </w:rPr>
        <w:t>)</w:t>
      </w:r>
      <w:r w:rsidR="00A91528" w:rsidRPr="00560FA1">
        <w:rPr>
          <w:rFonts w:ascii="Arial" w:hAnsi="Arial" w:cs="Arial"/>
          <w:lang w:val="en-GB"/>
        </w:rPr>
        <w:t xml:space="preserve">. </w:t>
      </w:r>
    </w:p>
    <w:p w14:paraId="71FC6644" w14:textId="77777777" w:rsidR="00066CD5" w:rsidRDefault="00066CD5" w:rsidP="000D0EB7">
      <w:pPr>
        <w:jc w:val="both"/>
        <w:rPr>
          <w:rFonts w:ascii="Arial" w:hAnsi="Arial" w:cs="Arial"/>
          <w:lang w:val="en-GB"/>
        </w:rPr>
      </w:pPr>
    </w:p>
    <w:p w14:paraId="4CD886BB" w14:textId="13C7637F" w:rsidR="006B3BC1" w:rsidRPr="00066CD5" w:rsidRDefault="00066CD5" w:rsidP="000D0EB7">
      <w:pPr>
        <w:jc w:val="both"/>
        <w:rPr>
          <w:rFonts w:ascii="Arial" w:hAnsi="Arial" w:cs="Arial"/>
          <w:lang w:val="en-GB"/>
        </w:rPr>
      </w:pPr>
      <w:r>
        <w:rPr>
          <w:rFonts w:ascii="Arial" w:hAnsi="Arial" w:cs="Arial"/>
        </w:rPr>
        <w:lastRenderedPageBreak/>
        <w:t>The</w:t>
      </w:r>
      <w:r w:rsidR="00714890" w:rsidRPr="00714890">
        <w:rPr>
          <w:rFonts w:ascii="Arial" w:hAnsi="Arial" w:cs="Arial"/>
        </w:rPr>
        <w:t xml:space="preserve"> overall decline</w:t>
      </w:r>
      <w:r w:rsidR="00714890">
        <w:rPr>
          <w:rFonts w:ascii="Arial" w:hAnsi="Arial" w:cs="Arial"/>
        </w:rPr>
        <w:t>s</w:t>
      </w:r>
      <w:r w:rsidR="00714890" w:rsidRPr="00714890">
        <w:rPr>
          <w:rFonts w:ascii="Arial" w:hAnsi="Arial" w:cs="Arial"/>
        </w:rPr>
        <w:t xml:space="preserve"> in the shares of </w:t>
      </w:r>
      <w:r w:rsidR="00714890" w:rsidRPr="00714890">
        <w:rPr>
          <w:rFonts w:ascii="Arial" w:hAnsi="Arial" w:cs="Arial"/>
          <w:lang w:val="en-GB"/>
        </w:rPr>
        <w:t>out of pocket health payments in both total household expenditure and in the capacity to pay</w:t>
      </w:r>
      <w:r w:rsidR="00714890">
        <w:rPr>
          <w:rFonts w:ascii="Arial" w:hAnsi="Arial" w:cs="Arial"/>
          <w:lang w:val="en-GB"/>
        </w:rPr>
        <w:t xml:space="preserve"> have been largely due to higher </w:t>
      </w:r>
      <w:r>
        <w:rPr>
          <w:rFonts w:ascii="Arial" w:hAnsi="Arial" w:cs="Arial"/>
          <w:lang w:val="en-GB"/>
        </w:rPr>
        <w:t>decreases</w:t>
      </w:r>
      <w:r w:rsidR="00714890">
        <w:rPr>
          <w:rFonts w:ascii="Arial" w:hAnsi="Arial" w:cs="Arial"/>
          <w:lang w:val="en-GB"/>
        </w:rPr>
        <w:t xml:space="preserve"> in </w:t>
      </w:r>
      <w:r w:rsidR="00E06CC7">
        <w:rPr>
          <w:rFonts w:ascii="Arial" w:hAnsi="Arial" w:cs="Arial"/>
          <w:lang w:val="en-GB"/>
        </w:rPr>
        <w:t>respective</w:t>
      </w:r>
      <w:r w:rsidR="00714890">
        <w:rPr>
          <w:rFonts w:ascii="Arial" w:hAnsi="Arial" w:cs="Arial"/>
          <w:lang w:val="en-GB"/>
        </w:rPr>
        <w:t xml:space="preserve"> </w:t>
      </w:r>
      <w:r>
        <w:rPr>
          <w:rFonts w:ascii="Arial" w:hAnsi="Arial" w:cs="Arial"/>
          <w:lang w:val="en-GB"/>
        </w:rPr>
        <w:t xml:space="preserve">shares of </w:t>
      </w:r>
      <w:r w:rsidR="00714890">
        <w:rPr>
          <w:rFonts w:ascii="Arial" w:hAnsi="Arial" w:cs="Arial"/>
          <w:lang w:val="en-GB"/>
        </w:rPr>
        <w:t xml:space="preserve">richest quintile </w:t>
      </w:r>
      <w:r>
        <w:rPr>
          <w:rFonts w:ascii="Arial" w:hAnsi="Arial" w:cs="Arial"/>
          <w:lang w:val="en-GB"/>
        </w:rPr>
        <w:t xml:space="preserve">from 2009 to 2012. For all other wealth quintiles, there is moderate decreasing trend in shares of </w:t>
      </w:r>
      <w:r w:rsidRPr="00560FA1">
        <w:rPr>
          <w:rFonts w:ascii="Arial" w:hAnsi="Arial" w:cs="Arial"/>
          <w:lang w:val="en-GB"/>
        </w:rPr>
        <w:t xml:space="preserve">out of pocket health payments in both total household expenditure and </w:t>
      </w:r>
      <w:r>
        <w:rPr>
          <w:rFonts w:ascii="Arial" w:hAnsi="Arial" w:cs="Arial"/>
          <w:lang w:val="en-GB"/>
        </w:rPr>
        <w:t xml:space="preserve">in the capacity to pay. </w:t>
      </w:r>
    </w:p>
    <w:p w14:paraId="574010B2" w14:textId="77777777" w:rsidR="00066CD5" w:rsidRDefault="00066CD5" w:rsidP="000D0EB7">
      <w:pPr>
        <w:jc w:val="both"/>
        <w:rPr>
          <w:rFonts w:ascii="Arial" w:hAnsi="Arial" w:cs="Arial"/>
          <w:sz w:val="22"/>
          <w:szCs w:val="22"/>
        </w:rPr>
      </w:pPr>
    </w:p>
    <w:p w14:paraId="29B58455" w14:textId="77777777" w:rsidR="000D0EB7" w:rsidRPr="003C6C57" w:rsidRDefault="00A863E5" w:rsidP="000D0EB7">
      <w:pPr>
        <w:jc w:val="both"/>
        <w:rPr>
          <w:rFonts w:ascii="Arial" w:hAnsi="Arial" w:cs="Arial"/>
          <w:sz w:val="22"/>
          <w:szCs w:val="22"/>
          <w:lang w:val="en-GB"/>
        </w:rPr>
      </w:pPr>
      <w:bookmarkStart w:id="35" w:name="_Toc310170111"/>
      <w:r w:rsidRPr="00560FA1">
        <w:rPr>
          <w:rFonts w:ascii="Arial" w:hAnsi="Arial" w:cs="Arial"/>
          <w:sz w:val="22"/>
          <w:szCs w:val="22"/>
        </w:rPr>
        <w:t xml:space="preserve">Figure </w:t>
      </w:r>
      <w:r w:rsidR="00CB191B" w:rsidRPr="00560FA1">
        <w:rPr>
          <w:rFonts w:ascii="Arial" w:hAnsi="Arial" w:cs="Arial"/>
          <w:sz w:val="22"/>
          <w:szCs w:val="22"/>
        </w:rPr>
        <w:fldChar w:fldCharType="begin"/>
      </w:r>
      <w:r w:rsidRPr="00560FA1">
        <w:rPr>
          <w:rFonts w:ascii="Arial" w:hAnsi="Arial" w:cs="Arial"/>
          <w:sz w:val="22"/>
          <w:szCs w:val="22"/>
        </w:rPr>
        <w:instrText xml:space="preserve"> SEQ Figure \* ARABIC </w:instrText>
      </w:r>
      <w:r w:rsidR="00CB191B" w:rsidRPr="00560FA1">
        <w:rPr>
          <w:rFonts w:ascii="Arial" w:hAnsi="Arial" w:cs="Arial"/>
          <w:sz w:val="22"/>
          <w:szCs w:val="22"/>
        </w:rPr>
        <w:fldChar w:fldCharType="separate"/>
      </w:r>
      <w:r w:rsidR="00CC14F7">
        <w:rPr>
          <w:rFonts w:ascii="Arial" w:hAnsi="Arial" w:cs="Arial"/>
          <w:noProof/>
          <w:sz w:val="22"/>
          <w:szCs w:val="22"/>
        </w:rPr>
        <w:t>6</w:t>
      </w:r>
      <w:r w:rsidR="00CB191B" w:rsidRPr="00560FA1">
        <w:rPr>
          <w:rFonts w:ascii="Arial" w:hAnsi="Arial" w:cs="Arial"/>
          <w:sz w:val="22"/>
          <w:szCs w:val="22"/>
        </w:rPr>
        <w:fldChar w:fldCharType="end"/>
      </w:r>
      <w:r w:rsidRPr="00560FA1">
        <w:rPr>
          <w:rFonts w:ascii="Arial" w:hAnsi="Arial" w:cs="Arial"/>
          <w:sz w:val="22"/>
          <w:szCs w:val="22"/>
        </w:rPr>
        <w:t>:</w:t>
      </w:r>
      <w:r w:rsidRPr="00560FA1">
        <w:rPr>
          <w:rFonts w:ascii="Arial" w:hAnsi="Arial" w:cs="Arial"/>
          <w:iCs/>
          <w:sz w:val="22"/>
          <w:szCs w:val="22"/>
        </w:rPr>
        <w:t xml:space="preserve"> </w:t>
      </w:r>
      <w:r w:rsidR="00560FA1" w:rsidRPr="00560FA1">
        <w:rPr>
          <w:rFonts w:ascii="Arial" w:hAnsi="Arial" w:cs="Arial"/>
          <w:iCs/>
          <w:sz w:val="22"/>
          <w:szCs w:val="22"/>
        </w:rPr>
        <w:t>Percentage d</w:t>
      </w:r>
      <w:r w:rsidRPr="00560FA1">
        <w:rPr>
          <w:rFonts w:ascii="Arial" w:hAnsi="Arial" w:cs="Arial"/>
          <w:iCs/>
          <w:sz w:val="22"/>
          <w:szCs w:val="22"/>
        </w:rPr>
        <w:t>istribution of out of pocket health payments</w:t>
      </w:r>
      <w:r w:rsidR="000D0EB7" w:rsidRPr="00560FA1">
        <w:rPr>
          <w:rFonts w:ascii="Arial" w:hAnsi="Arial" w:cs="Arial"/>
          <w:sz w:val="22"/>
          <w:szCs w:val="22"/>
          <w:lang w:val="en-GB"/>
        </w:rPr>
        <w:t xml:space="preserve"> as share of total household expenditure by quintiles</w:t>
      </w:r>
      <w:bookmarkEnd w:id="35"/>
    </w:p>
    <w:p w14:paraId="33A286E6" w14:textId="4DAE0F73" w:rsidR="00A863E5" w:rsidRDefault="00D3265D" w:rsidP="00234C6A">
      <w:pPr>
        <w:jc w:val="center"/>
        <w:rPr>
          <w:lang w:val="en-GB"/>
        </w:rPr>
      </w:pPr>
      <w:r w:rsidRPr="00D3265D">
        <w:rPr>
          <w:noProof/>
        </w:rPr>
        <w:drawing>
          <wp:inline distT="0" distB="0" distL="0" distR="0" wp14:anchorId="3BF36EEE" wp14:editId="238AA961">
            <wp:extent cx="5490210" cy="2673557"/>
            <wp:effectExtent l="0" t="0" r="0" b="0"/>
            <wp:docPr id="1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90210" cy="2673557"/>
                    </a:xfrm>
                    <a:prstGeom prst="rect">
                      <a:avLst/>
                    </a:prstGeom>
                    <a:noFill/>
                    <a:ln>
                      <a:noFill/>
                    </a:ln>
                  </pic:spPr>
                </pic:pic>
              </a:graphicData>
            </a:graphic>
          </wp:inline>
        </w:drawing>
      </w:r>
    </w:p>
    <w:p w14:paraId="7D1DED1C" w14:textId="77777777" w:rsidR="003C6C57" w:rsidRPr="003C6C57" w:rsidRDefault="00453010" w:rsidP="003C6C57">
      <w:pPr>
        <w:rPr>
          <w:i/>
          <w:sz w:val="22"/>
          <w:lang w:val="en-GB"/>
        </w:rPr>
      </w:pPr>
      <w:r w:rsidRPr="008B7EA0">
        <w:rPr>
          <w:i/>
          <w:sz w:val="22"/>
          <w:lang w:val="en-GB"/>
        </w:rPr>
        <w:t>Source: Mongolia Household Socio-Economic Surveys, 20</w:t>
      </w:r>
      <w:r w:rsidR="008A10E8">
        <w:rPr>
          <w:i/>
          <w:sz w:val="22"/>
          <w:lang w:val="en-GB"/>
        </w:rPr>
        <w:t>10</w:t>
      </w:r>
      <w:r w:rsidRPr="008B7EA0">
        <w:rPr>
          <w:i/>
          <w:sz w:val="22"/>
          <w:lang w:val="en-GB"/>
        </w:rPr>
        <w:t>-2012</w:t>
      </w:r>
    </w:p>
    <w:p w14:paraId="001E36EC" w14:textId="77777777" w:rsidR="003C6C57" w:rsidRDefault="003C6C57" w:rsidP="003C6C57">
      <w:pPr>
        <w:jc w:val="both"/>
        <w:rPr>
          <w:rFonts w:ascii="Arial" w:hAnsi="Arial" w:cs="Arial"/>
          <w:sz w:val="22"/>
          <w:szCs w:val="22"/>
        </w:rPr>
      </w:pPr>
    </w:p>
    <w:p w14:paraId="5963D86A" w14:textId="77777777" w:rsidR="001F4E72" w:rsidRPr="00E15BB8" w:rsidRDefault="001F4E72" w:rsidP="001F4E72">
      <w:pPr>
        <w:jc w:val="both"/>
        <w:rPr>
          <w:rFonts w:ascii="Arial" w:hAnsi="Arial" w:cs="Arial"/>
          <w:lang w:val="en-GB"/>
        </w:rPr>
      </w:pPr>
      <w:r w:rsidRPr="00E15BB8">
        <w:rPr>
          <w:rFonts w:ascii="Arial" w:hAnsi="Arial" w:cs="Arial"/>
        </w:rPr>
        <w:t>O</w:t>
      </w:r>
      <w:r>
        <w:rPr>
          <w:rFonts w:ascii="Arial" w:hAnsi="Arial" w:cs="Arial"/>
        </w:rPr>
        <w:t>ut-of-pocket health expenditure</w:t>
      </w:r>
      <w:r w:rsidRPr="00E15BB8">
        <w:rPr>
          <w:rFonts w:ascii="Arial" w:hAnsi="Arial" w:cs="Arial"/>
        </w:rPr>
        <w:t xml:space="preserve"> as a share of total expenditure for the highest expenditure quintile </w:t>
      </w:r>
      <w:r>
        <w:rPr>
          <w:rFonts w:ascii="Arial" w:hAnsi="Arial" w:cs="Arial"/>
        </w:rPr>
        <w:t xml:space="preserve">was </w:t>
      </w:r>
      <w:r w:rsidRPr="00E15BB8">
        <w:rPr>
          <w:rFonts w:ascii="Arial" w:hAnsi="Arial" w:cs="Arial"/>
        </w:rPr>
        <w:t>4%</w:t>
      </w:r>
      <w:r>
        <w:rPr>
          <w:rFonts w:ascii="Arial" w:hAnsi="Arial" w:cs="Arial"/>
        </w:rPr>
        <w:t xml:space="preserve"> in 2012 that </w:t>
      </w:r>
      <w:r w:rsidRPr="00E15BB8">
        <w:rPr>
          <w:rFonts w:ascii="Arial" w:hAnsi="Arial" w:cs="Arial"/>
        </w:rPr>
        <w:t>is double the share of the lowest quintile</w:t>
      </w:r>
      <w:r>
        <w:rPr>
          <w:rFonts w:ascii="Arial" w:hAnsi="Arial" w:cs="Arial"/>
        </w:rPr>
        <w:t xml:space="preserve"> (1.9%)</w:t>
      </w:r>
      <w:r w:rsidRPr="00E15BB8">
        <w:rPr>
          <w:rFonts w:ascii="Arial" w:hAnsi="Arial" w:cs="Arial"/>
        </w:rPr>
        <w:t>.</w:t>
      </w:r>
      <w:r>
        <w:rPr>
          <w:rFonts w:ascii="Arial" w:hAnsi="Arial" w:cs="Arial"/>
        </w:rPr>
        <w:t xml:space="preserve"> </w:t>
      </w:r>
      <w:r w:rsidRPr="00E15BB8">
        <w:rPr>
          <w:rFonts w:ascii="Arial" w:hAnsi="Arial" w:cs="Arial"/>
        </w:rPr>
        <w:t xml:space="preserve">  </w:t>
      </w:r>
    </w:p>
    <w:p w14:paraId="79F30F49" w14:textId="77777777" w:rsidR="002A4DE1" w:rsidRPr="00560FA1" w:rsidRDefault="002A4DE1" w:rsidP="002A4DE1">
      <w:pPr>
        <w:jc w:val="both"/>
        <w:rPr>
          <w:rFonts w:ascii="Arial" w:hAnsi="Arial" w:cs="Arial"/>
          <w:lang w:val="en-GB"/>
        </w:rPr>
      </w:pPr>
    </w:p>
    <w:p w14:paraId="7C9E53E9" w14:textId="77777777" w:rsidR="000D0EB7" w:rsidRPr="00560FA1" w:rsidRDefault="003D2810" w:rsidP="000D0EB7">
      <w:pPr>
        <w:jc w:val="both"/>
        <w:rPr>
          <w:rFonts w:ascii="Arial" w:hAnsi="Arial" w:cs="Arial"/>
          <w:sz w:val="22"/>
          <w:szCs w:val="22"/>
          <w:lang w:val="en-GB"/>
        </w:rPr>
      </w:pPr>
      <w:bookmarkStart w:id="36" w:name="_Toc310170112"/>
      <w:r w:rsidRPr="00560FA1">
        <w:rPr>
          <w:rFonts w:ascii="Arial" w:hAnsi="Arial" w:cs="Arial"/>
          <w:sz w:val="22"/>
          <w:szCs w:val="22"/>
        </w:rPr>
        <w:t xml:space="preserve">Figure </w:t>
      </w:r>
      <w:r w:rsidR="00CB191B" w:rsidRPr="00560FA1">
        <w:rPr>
          <w:rFonts w:ascii="Arial" w:hAnsi="Arial" w:cs="Arial"/>
          <w:sz w:val="22"/>
          <w:szCs w:val="22"/>
        </w:rPr>
        <w:fldChar w:fldCharType="begin"/>
      </w:r>
      <w:r w:rsidRPr="00560FA1">
        <w:rPr>
          <w:rFonts w:ascii="Arial" w:hAnsi="Arial" w:cs="Arial"/>
          <w:sz w:val="22"/>
          <w:szCs w:val="22"/>
        </w:rPr>
        <w:instrText xml:space="preserve"> SEQ Figure \* ARABIC </w:instrText>
      </w:r>
      <w:r w:rsidR="00CB191B" w:rsidRPr="00560FA1">
        <w:rPr>
          <w:rFonts w:ascii="Arial" w:hAnsi="Arial" w:cs="Arial"/>
          <w:sz w:val="22"/>
          <w:szCs w:val="22"/>
        </w:rPr>
        <w:fldChar w:fldCharType="separate"/>
      </w:r>
      <w:r w:rsidR="00CC14F7">
        <w:rPr>
          <w:rFonts w:ascii="Arial" w:hAnsi="Arial" w:cs="Arial"/>
          <w:noProof/>
          <w:sz w:val="22"/>
          <w:szCs w:val="22"/>
        </w:rPr>
        <w:t>7</w:t>
      </w:r>
      <w:r w:rsidR="00CB191B" w:rsidRPr="00560FA1">
        <w:rPr>
          <w:rFonts w:ascii="Arial" w:hAnsi="Arial" w:cs="Arial"/>
          <w:sz w:val="22"/>
          <w:szCs w:val="22"/>
        </w:rPr>
        <w:fldChar w:fldCharType="end"/>
      </w:r>
      <w:r w:rsidRPr="00560FA1">
        <w:rPr>
          <w:rFonts w:ascii="Arial" w:hAnsi="Arial" w:cs="Arial"/>
          <w:sz w:val="22"/>
          <w:szCs w:val="22"/>
        </w:rPr>
        <w:t>:</w:t>
      </w:r>
      <w:r w:rsidRPr="00560FA1">
        <w:rPr>
          <w:rFonts w:ascii="Arial" w:hAnsi="Arial" w:cs="Arial"/>
          <w:iCs/>
          <w:sz w:val="22"/>
          <w:szCs w:val="22"/>
        </w:rPr>
        <w:t xml:space="preserve"> </w:t>
      </w:r>
      <w:r w:rsidR="002A4DE1">
        <w:rPr>
          <w:rFonts w:ascii="Arial" w:hAnsi="Arial" w:cs="Arial"/>
          <w:iCs/>
          <w:sz w:val="22"/>
          <w:szCs w:val="22"/>
        </w:rPr>
        <w:t>Percentage d</w:t>
      </w:r>
      <w:r w:rsidRPr="00560FA1">
        <w:rPr>
          <w:rFonts w:ascii="Arial" w:hAnsi="Arial" w:cs="Arial"/>
          <w:iCs/>
          <w:sz w:val="22"/>
          <w:szCs w:val="22"/>
        </w:rPr>
        <w:t>istribution of out of pocket health payments</w:t>
      </w:r>
      <w:r w:rsidRPr="00560FA1">
        <w:rPr>
          <w:rFonts w:ascii="Arial" w:hAnsi="Arial" w:cs="Arial"/>
          <w:sz w:val="22"/>
          <w:szCs w:val="22"/>
          <w:lang w:val="en-GB"/>
        </w:rPr>
        <w:t xml:space="preserve"> as </w:t>
      </w:r>
      <w:r w:rsidR="000D0EB7" w:rsidRPr="00560FA1">
        <w:rPr>
          <w:rFonts w:ascii="Arial" w:hAnsi="Arial" w:cs="Arial"/>
          <w:sz w:val="22"/>
          <w:szCs w:val="22"/>
          <w:lang w:val="en-GB"/>
        </w:rPr>
        <w:t>share of capacity to pay by quintiles</w:t>
      </w:r>
      <w:bookmarkEnd w:id="36"/>
    </w:p>
    <w:p w14:paraId="6105FD2A" w14:textId="7B2435CB" w:rsidR="003D2810" w:rsidRDefault="00D3265D" w:rsidP="004055C3">
      <w:pPr>
        <w:jc w:val="both"/>
        <w:rPr>
          <w:lang w:val="en-GB"/>
        </w:rPr>
      </w:pPr>
      <w:r w:rsidRPr="00D3265D">
        <w:rPr>
          <w:noProof/>
        </w:rPr>
        <w:drawing>
          <wp:inline distT="0" distB="0" distL="0" distR="0" wp14:anchorId="3F6E144A" wp14:editId="35C638AA">
            <wp:extent cx="5490210" cy="2005410"/>
            <wp:effectExtent l="0" t="0" r="0" b="1270"/>
            <wp:docPr id="1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90210" cy="2005410"/>
                    </a:xfrm>
                    <a:prstGeom prst="rect">
                      <a:avLst/>
                    </a:prstGeom>
                    <a:noFill/>
                    <a:ln>
                      <a:noFill/>
                    </a:ln>
                  </pic:spPr>
                </pic:pic>
              </a:graphicData>
            </a:graphic>
          </wp:inline>
        </w:drawing>
      </w:r>
    </w:p>
    <w:p w14:paraId="3DCE2746" w14:textId="77777777" w:rsidR="00453010" w:rsidRPr="008B7EA0" w:rsidRDefault="00453010" w:rsidP="00832DEB">
      <w:pPr>
        <w:ind w:left="360"/>
        <w:rPr>
          <w:i/>
          <w:sz w:val="22"/>
          <w:lang w:val="en-GB"/>
        </w:rPr>
      </w:pPr>
      <w:r w:rsidRPr="008B7EA0">
        <w:rPr>
          <w:i/>
          <w:sz w:val="22"/>
          <w:lang w:val="en-GB"/>
        </w:rPr>
        <w:t>Source: Mongolia Household Socio-Economic Surveys, 20</w:t>
      </w:r>
      <w:r w:rsidR="008A10E8">
        <w:rPr>
          <w:i/>
          <w:sz w:val="22"/>
          <w:lang w:val="en-GB"/>
        </w:rPr>
        <w:t>10</w:t>
      </w:r>
      <w:r w:rsidRPr="008B7EA0">
        <w:rPr>
          <w:i/>
          <w:sz w:val="22"/>
          <w:lang w:val="en-GB"/>
        </w:rPr>
        <w:t>-2012</w:t>
      </w:r>
    </w:p>
    <w:p w14:paraId="28C57B4D" w14:textId="77777777" w:rsidR="003D2810" w:rsidRDefault="003D2810" w:rsidP="000D0EB7">
      <w:pPr>
        <w:jc w:val="both"/>
        <w:rPr>
          <w:lang w:val="en-GB"/>
        </w:rPr>
      </w:pPr>
    </w:p>
    <w:p w14:paraId="3B180EC4" w14:textId="6B645D15" w:rsidR="00917EFA" w:rsidRDefault="00917EFA" w:rsidP="00917EFA">
      <w:pPr>
        <w:jc w:val="both"/>
        <w:rPr>
          <w:rFonts w:ascii="Arial" w:hAnsi="Arial" w:cs="Arial"/>
          <w:lang w:val="en-GB"/>
        </w:rPr>
      </w:pPr>
      <w:r>
        <w:rPr>
          <w:rFonts w:ascii="Arial" w:hAnsi="Arial" w:cs="Arial"/>
          <w:lang w:val="en-GB"/>
        </w:rPr>
        <w:lastRenderedPageBreak/>
        <w:t>T</w:t>
      </w:r>
      <w:r w:rsidRPr="00560FA1">
        <w:rPr>
          <w:rFonts w:ascii="Arial" w:hAnsi="Arial" w:cs="Arial"/>
          <w:lang w:val="en-GB"/>
        </w:rPr>
        <w:t>he shares of out of pocket health payments in total household expenditure</w:t>
      </w:r>
      <w:r>
        <w:rPr>
          <w:rFonts w:ascii="Arial" w:hAnsi="Arial" w:cs="Arial"/>
          <w:lang w:val="en-GB"/>
        </w:rPr>
        <w:t xml:space="preserve"> and capacity to pay </w:t>
      </w:r>
      <w:r w:rsidR="006066BA">
        <w:rPr>
          <w:rFonts w:ascii="Arial" w:hAnsi="Arial" w:cs="Arial"/>
          <w:lang w:val="en-GB"/>
        </w:rPr>
        <w:t xml:space="preserve">have </w:t>
      </w:r>
      <w:r w:rsidR="00CC14F7">
        <w:rPr>
          <w:rFonts w:ascii="Arial" w:hAnsi="Arial" w:cs="Arial"/>
          <w:lang w:val="en-GB"/>
        </w:rPr>
        <w:t xml:space="preserve">declined </w:t>
      </w:r>
      <w:r>
        <w:rPr>
          <w:rFonts w:ascii="Arial" w:hAnsi="Arial" w:cs="Arial"/>
          <w:lang w:val="en-GB"/>
        </w:rPr>
        <w:t>in all regions except Ulaanbaatar</w:t>
      </w:r>
      <w:r w:rsidR="001455A9">
        <w:rPr>
          <w:rFonts w:ascii="Arial" w:hAnsi="Arial" w:cs="Arial"/>
          <w:lang w:val="en-GB"/>
        </w:rPr>
        <w:t xml:space="preserve"> (Table 13</w:t>
      </w:r>
      <w:r w:rsidR="007C4BCE">
        <w:rPr>
          <w:rFonts w:ascii="Arial" w:hAnsi="Arial" w:cs="Arial"/>
          <w:lang w:val="en-GB"/>
        </w:rPr>
        <w:t>)</w:t>
      </w:r>
      <w:r>
        <w:rPr>
          <w:rFonts w:ascii="Arial" w:hAnsi="Arial" w:cs="Arial"/>
          <w:lang w:val="en-GB"/>
        </w:rPr>
        <w:t xml:space="preserve">. </w:t>
      </w:r>
    </w:p>
    <w:p w14:paraId="24FB4E38" w14:textId="77777777" w:rsidR="00917EFA" w:rsidRDefault="00917EFA" w:rsidP="000D0EB7">
      <w:pPr>
        <w:jc w:val="both"/>
        <w:rPr>
          <w:lang w:val="en-GB"/>
        </w:rPr>
      </w:pPr>
    </w:p>
    <w:p w14:paraId="107893FF" w14:textId="77777777" w:rsidR="00D3265D" w:rsidRDefault="00D3265D" w:rsidP="00917EFA">
      <w:pPr>
        <w:jc w:val="both"/>
        <w:rPr>
          <w:rFonts w:ascii="Arial" w:hAnsi="Arial" w:cs="Arial"/>
          <w:iCs/>
          <w:sz w:val="22"/>
          <w:szCs w:val="22"/>
        </w:rPr>
      </w:pPr>
    </w:p>
    <w:p w14:paraId="57F48C17" w14:textId="77777777" w:rsidR="00917EFA" w:rsidRPr="003C6C57" w:rsidRDefault="00A11550" w:rsidP="00917EFA">
      <w:pPr>
        <w:jc w:val="both"/>
        <w:rPr>
          <w:rFonts w:ascii="Arial" w:hAnsi="Arial" w:cs="Arial"/>
          <w:sz w:val="22"/>
          <w:szCs w:val="22"/>
          <w:lang w:val="en-GB"/>
        </w:rPr>
      </w:pPr>
      <w:bookmarkStart w:id="37" w:name="_Toc310170096"/>
      <w:r w:rsidRPr="00D16F85">
        <w:rPr>
          <w:rFonts w:ascii="Arial" w:hAnsi="Arial" w:cs="Arial"/>
          <w:iCs/>
          <w:sz w:val="22"/>
          <w:szCs w:val="22"/>
        </w:rPr>
        <w:t xml:space="preserve">Table </w:t>
      </w:r>
      <w:r w:rsidRPr="00D16F85">
        <w:rPr>
          <w:rFonts w:ascii="Arial" w:hAnsi="Arial" w:cs="Arial"/>
          <w:b/>
          <w:iCs/>
          <w:sz w:val="22"/>
          <w:szCs w:val="22"/>
        </w:rPr>
        <w:fldChar w:fldCharType="begin"/>
      </w:r>
      <w:r w:rsidRPr="00D16F85">
        <w:rPr>
          <w:rFonts w:ascii="Arial" w:hAnsi="Arial" w:cs="Arial"/>
          <w:iCs/>
          <w:sz w:val="22"/>
          <w:szCs w:val="22"/>
        </w:rPr>
        <w:instrText xml:space="preserve"> SEQ Table \* ARABIC </w:instrText>
      </w:r>
      <w:r w:rsidRPr="00D16F85">
        <w:rPr>
          <w:rFonts w:ascii="Arial" w:hAnsi="Arial" w:cs="Arial"/>
          <w:b/>
          <w:iCs/>
          <w:sz w:val="22"/>
          <w:szCs w:val="22"/>
        </w:rPr>
        <w:fldChar w:fldCharType="separate"/>
      </w:r>
      <w:r w:rsidR="00CC14F7">
        <w:rPr>
          <w:rFonts w:ascii="Arial" w:hAnsi="Arial" w:cs="Arial"/>
          <w:iCs/>
          <w:noProof/>
          <w:sz w:val="22"/>
          <w:szCs w:val="22"/>
        </w:rPr>
        <w:t>13</w:t>
      </w:r>
      <w:r w:rsidRPr="00D16F85">
        <w:rPr>
          <w:rFonts w:ascii="Arial" w:hAnsi="Arial" w:cs="Arial"/>
          <w:b/>
          <w:iCs/>
          <w:sz w:val="22"/>
          <w:szCs w:val="22"/>
        </w:rPr>
        <w:fldChar w:fldCharType="end"/>
      </w:r>
      <w:r w:rsidRPr="00D16F85">
        <w:rPr>
          <w:rFonts w:ascii="Arial" w:hAnsi="Arial" w:cs="Arial"/>
          <w:iCs/>
          <w:sz w:val="22"/>
          <w:szCs w:val="22"/>
        </w:rPr>
        <w:t xml:space="preserve">: </w:t>
      </w:r>
      <w:r w:rsidR="00917EFA" w:rsidRPr="00560FA1">
        <w:rPr>
          <w:rFonts w:ascii="Arial" w:hAnsi="Arial" w:cs="Arial"/>
          <w:iCs/>
          <w:sz w:val="22"/>
          <w:szCs w:val="22"/>
        </w:rPr>
        <w:t>Percentage distribution of out of pocket health payments</w:t>
      </w:r>
      <w:r w:rsidR="00917EFA" w:rsidRPr="00560FA1">
        <w:rPr>
          <w:rFonts w:ascii="Arial" w:hAnsi="Arial" w:cs="Arial"/>
          <w:sz w:val="22"/>
          <w:szCs w:val="22"/>
          <w:lang w:val="en-GB"/>
        </w:rPr>
        <w:t xml:space="preserve"> as share of total household expenditure </w:t>
      </w:r>
      <w:r w:rsidR="00917EFA">
        <w:rPr>
          <w:rFonts w:ascii="Arial" w:hAnsi="Arial" w:cs="Arial"/>
          <w:sz w:val="22"/>
          <w:szCs w:val="22"/>
          <w:lang w:val="en-GB"/>
        </w:rPr>
        <w:t xml:space="preserve">and capacity to pay </w:t>
      </w:r>
      <w:r w:rsidR="00917EFA" w:rsidRPr="00560FA1">
        <w:rPr>
          <w:rFonts w:ascii="Arial" w:hAnsi="Arial" w:cs="Arial"/>
          <w:sz w:val="22"/>
          <w:szCs w:val="22"/>
          <w:lang w:val="en-GB"/>
        </w:rPr>
        <w:t xml:space="preserve">by </w:t>
      </w:r>
      <w:r w:rsidR="00917EFA">
        <w:rPr>
          <w:rFonts w:ascii="Arial" w:hAnsi="Arial" w:cs="Arial"/>
          <w:sz w:val="22"/>
          <w:szCs w:val="22"/>
          <w:lang w:val="en-GB"/>
        </w:rPr>
        <w:t>regions</w:t>
      </w:r>
      <w:bookmarkEnd w:id="37"/>
    </w:p>
    <w:p w14:paraId="5BAF2EB6" w14:textId="77777777" w:rsidR="00917EFA" w:rsidRDefault="00917EFA" w:rsidP="000D0EB7">
      <w:pPr>
        <w:jc w:val="both"/>
        <w:rPr>
          <w:lang w:val="en-GB"/>
        </w:rPr>
      </w:pPr>
    </w:p>
    <w:tbl>
      <w:tblPr>
        <w:tblW w:w="9060" w:type="dxa"/>
        <w:tblInd w:w="93" w:type="dxa"/>
        <w:tblBorders>
          <w:top w:val="single" w:sz="4" w:space="0" w:color="auto"/>
          <w:bottom w:val="single" w:sz="4" w:space="0" w:color="auto"/>
        </w:tblBorders>
        <w:tblLayout w:type="fixed"/>
        <w:tblLook w:val="04A0" w:firstRow="1" w:lastRow="0" w:firstColumn="1" w:lastColumn="0" w:noHBand="0" w:noVBand="1"/>
      </w:tblPr>
      <w:tblGrid>
        <w:gridCol w:w="1455"/>
        <w:gridCol w:w="1350"/>
        <w:gridCol w:w="1215"/>
        <w:gridCol w:w="1305"/>
        <w:gridCol w:w="1215"/>
        <w:gridCol w:w="1305"/>
        <w:gridCol w:w="1215"/>
      </w:tblGrid>
      <w:tr w:rsidR="00170DBB" w:rsidRPr="006066BA" w14:paraId="7EC5A027" w14:textId="77777777" w:rsidTr="006066BA">
        <w:trPr>
          <w:trHeight w:val="240"/>
        </w:trPr>
        <w:tc>
          <w:tcPr>
            <w:tcW w:w="1455" w:type="dxa"/>
            <w:tcBorders>
              <w:top w:val="single" w:sz="4" w:space="0" w:color="auto"/>
              <w:bottom w:val="nil"/>
            </w:tcBorders>
            <w:shd w:val="clear" w:color="auto" w:fill="auto"/>
            <w:noWrap/>
            <w:hideMark/>
          </w:tcPr>
          <w:p w14:paraId="6A9FEC95" w14:textId="47E54F5D" w:rsidR="00170DBB" w:rsidRPr="006066BA" w:rsidRDefault="006066BA" w:rsidP="00917EFA">
            <w:pPr>
              <w:rPr>
                <w:rFonts w:ascii="Arial Narrow" w:hAnsi="Arial Narrow" w:cs="Arial"/>
                <w:sz w:val="22"/>
                <w:szCs w:val="20"/>
              </w:rPr>
            </w:pPr>
            <w:r w:rsidRPr="006066BA">
              <w:rPr>
                <w:rFonts w:ascii="Arial Narrow" w:hAnsi="Arial Narrow" w:cs="Arial"/>
                <w:sz w:val="22"/>
                <w:szCs w:val="20"/>
              </w:rPr>
              <w:t>Geographical</w:t>
            </w:r>
          </w:p>
        </w:tc>
        <w:tc>
          <w:tcPr>
            <w:tcW w:w="2565" w:type="dxa"/>
            <w:gridSpan w:val="2"/>
            <w:tcBorders>
              <w:top w:val="single" w:sz="4" w:space="0" w:color="auto"/>
              <w:bottom w:val="single" w:sz="4" w:space="0" w:color="auto"/>
            </w:tcBorders>
            <w:shd w:val="clear" w:color="auto" w:fill="auto"/>
            <w:noWrap/>
            <w:hideMark/>
          </w:tcPr>
          <w:p w14:paraId="1444029F" w14:textId="77777777" w:rsidR="00170DBB" w:rsidRPr="001455A9" w:rsidRDefault="00170DBB" w:rsidP="00917EFA">
            <w:pPr>
              <w:jc w:val="center"/>
              <w:rPr>
                <w:rFonts w:ascii="Arial Narrow" w:hAnsi="Arial Narrow" w:cs="Arial"/>
                <w:b/>
                <w:sz w:val="22"/>
                <w:szCs w:val="20"/>
              </w:rPr>
            </w:pPr>
            <w:r w:rsidRPr="001455A9">
              <w:rPr>
                <w:rFonts w:ascii="Arial Narrow" w:hAnsi="Arial Narrow" w:cs="Arial"/>
                <w:b/>
                <w:sz w:val="22"/>
                <w:szCs w:val="20"/>
              </w:rPr>
              <w:t>2010</w:t>
            </w:r>
          </w:p>
        </w:tc>
        <w:tc>
          <w:tcPr>
            <w:tcW w:w="2520" w:type="dxa"/>
            <w:gridSpan w:val="2"/>
            <w:tcBorders>
              <w:top w:val="single" w:sz="4" w:space="0" w:color="auto"/>
              <w:bottom w:val="single" w:sz="4" w:space="0" w:color="auto"/>
            </w:tcBorders>
            <w:shd w:val="clear" w:color="auto" w:fill="auto"/>
            <w:noWrap/>
            <w:hideMark/>
          </w:tcPr>
          <w:p w14:paraId="10255638" w14:textId="77777777" w:rsidR="00170DBB" w:rsidRPr="001455A9" w:rsidRDefault="00170DBB" w:rsidP="00917EFA">
            <w:pPr>
              <w:jc w:val="center"/>
              <w:rPr>
                <w:rFonts w:ascii="Arial Narrow" w:hAnsi="Arial Narrow" w:cs="Arial"/>
                <w:b/>
                <w:sz w:val="22"/>
                <w:szCs w:val="20"/>
              </w:rPr>
            </w:pPr>
            <w:r w:rsidRPr="001455A9">
              <w:rPr>
                <w:rFonts w:ascii="Arial Narrow" w:hAnsi="Arial Narrow" w:cs="Arial"/>
                <w:b/>
                <w:sz w:val="22"/>
                <w:szCs w:val="20"/>
              </w:rPr>
              <w:t>2011</w:t>
            </w:r>
          </w:p>
        </w:tc>
        <w:tc>
          <w:tcPr>
            <w:tcW w:w="2520" w:type="dxa"/>
            <w:gridSpan w:val="2"/>
            <w:tcBorders>
              <w:top w:val="single" w:sz="4" w:space="0" w:color="auto"/>
              <w:bottom w:val="single" w:sz="4" w:space="0" w:color="auto"/>
            </w:tcBorders>
            <w:shd w:val="clear" w:color="auto" w:fill="auto"/>
            <w:noWrap/>
            <w:hideMark/>
          </w:tcPr>
          <w:p w14:paraId="03696EA0" w14:textId="77777777" w:rsidR="00170DBB" w:rsidRPr="001455A9" w:rsidRDefault="00170DBB" w:rsidP="00917EFA">
            <w:pPr>
              <w:jc w:val="center"/>
              <w:rPr>
                <w:rFonts w:ascii="Arial Narrow" w:hAnsi="Arial Narrow" w:cs="Arial"/>
                <w:b/>
                <w:sz w:val="22"/>
                <w:szCs w:val="20"/>
              </w:rPr>
            </w:pPr>
            <w:r w:rsidRPr="001455A9">
              <w:rPr>
                <w:rFonts w:ascii="Arial Narrow" w:hAnsi="Arial Narrow" w:cs="Arial"/>
                <w:b/>
                <w:sz w:val="22"/>
                <w:szCs w:val="20"/>
              </w:rPr>
              <w:t>2012</w:t>
            </w:r>
          </w:p>
        </w:tc>
      </w:tr>
      <w:tr w:rsidR="00917EFA" w:rsidRPr="006066BA" w14:paraId="589F907B" w14:textId="77777777" w:rsidTr="006066BA">
        <w:trPr>
          <w:trHeight w:val="240"/>
        </w:trPr>
        <w:tc>
          <w:tcPr>
            <w:tcW w:w="1455" w:type="dxa"/>
            <w:tcBorders>
              <w:top w:val="nil"/>
              <w:bottom w:val="single" w:sz="4" w:space="0" w:color="auto"/>
            </w:tcBorders>
            <w:shd w:val="clear" w:color="auto" w:fill="auto"/>
            <w:noWrap/>
          </w:tcPr>
          <w:p w14:paraId="7E9DE290" w14:textId="1C534077" w:rsidR="00917EFA" w:rsidRPr="006066BA" w:rsidRDefault="006066BA" w:rsidP="00917EFA">
            <w:pPr>
              <w:rPr>
                <w:rFonts w:ascii="Arial Narrow" w:hAnsi="Arial Narrow" w:cs="Arial"/>
                <w:sz w:val="22"/>
                <w:szCs w:val="20"/>
              </w:rPr>
            </w:pPr>
            <w:proofErr w:type="gramStart"/>
            <w:r w:rsidRPr="006066BA">
              <w:rPr>
                <w:rFonts w:ascii="Arial Narrow" w:hAnsi="Arial Narrow" w:cs="Arial"/>
                <w:sz w:val="22"/>
                <w:szCs w:val="20"/>
              </w:rPr>
              <w:t>r</w:t>
            </w:r>
            <w:r w:rsidR="00917EFA" w:rsidRPr="006066BA">
              <w:rPr>
                <w:rFonts w:ascii="Arial Narrow" w:hAnsi="Arial Narrow" w:cs="Arial"/>
                <w:sz w:val="22"/>
                <w:szCs w:val="20"/>
              </w:rPr>
              <w:t>egions</w:t>
            </w:r>
            <w:proofErr w:type="gramEnd"/>
          </w:p>
        </w:tc>
        <w:tc>
          <w:tcPr>
            <w:tcW w:w="1350" w:type="dxa"/>
            <w:tcBorders>
              <w:top w:val="single" w:sz="4" w:space="0" w:color="auto"/>
              <w:bottom w:val="single" w:sz="4" w:space="0" w:color="auto"/>
            </w:tcBorders>
            <w:shd w:val="clear" w:color="auto" w:fill="auto"/>
            <w:noWrap/>
          </w:tcPr>
          <w:p w14:paraId="0A09ABD2" w14:textId="721DAD23" w:rsidR="00917EFA" w:rsidRPr="006066BA" w:rsidRDefault="00917EFA" w:rsidP="006066BA">
            <w:pPr>
              <w:jc w:val="center"/>
              <w:rPr>
                <w:rFonts w:ascii="Arial Narrow" w:hAnsi="Arial Narrow" w:cs="Arial"/>
                <w:sz w:val="22"/>
                <w:szCs w:val="20"/>
              </w:rPr>
            </w:pPr>
            <w:r w:rsidRPr="006066BA">
              <w:rPr>
                <w:rFonts w:ascii="Arial Narrow" w:hAnsi="Arial Narrow" w:cs="Arial"/>
                <w:sz w:val="22"/>
                <w:szCs w:val="20"/>
              </w:rPr>
              <w:t xml:space="preserve">% </w:t>
            </w:r>
            <w:proofErr w:type="gramStart"/>
            <w:r w:rsidRPr="006066BA">
              <w:rPr>
                <w:rFonts w:ascii="Arial Narrow" w:hAnsi="Arial Narrow" w:cs="Arial"/>
                <w:sz w:val="22"/>
                <w:szCs w:val="20"/>
              </w:rPr>
              <w:t>of</w:t>
            </w:r>
            <w:proofErr w:type="gramEnd"/>
            <w:r w:rsidRPr="006066BA">
              <w:rPr>
                <w:rFonts w:ascii="Arial Narrow" w:hAnsi="Arial Narrow" w:cs="Arial"/>
                <w:sz w:val="22"/>
                <w:szCs w:val="20"/>
              </w:rPr>
              <w:t xml:space="preserve"> </w:t>
            </w:r>
            <w:r w:rsidR="006066BA">
              <w:rPr>
                <w:rFonts w:ascii="Arial Narrow" w:hAnsi="Arial Narrow" w:cs="Arial"/>
                <w:sz w:val="22"/>
                <w:szCs w:val="20"/>
              </w:rPr>
              <w:t>TE</w:t>
            </w:r>
          </w:p>
        </w:tc>
        <w:tc>
          <w:tcPr>
            <w:tcW w:w="1215" w:type="dxa"/>
            <w:tcBorders>
              <w:top w:val="single" w:sz="4" w:space="0" w:color="auto"/>
              <w:bottom w:val="single" w:sz="4" w:space="0" w:color="auto"/>
            </w:tcBorders>
            <w:shd w:val="clear" w:color="auto" w:fill="auto"/>
          </w:tcPr>
          <w:p w14:paraId="3011545B" w14:textId="39CB5266" w:rsidR="00917EFA" w:rsidRPr="006066BA" w:rsidRDefault="00917EFA" w:rsidP="006066BA">
            <w:pPr>
              <w:jc w:val="center"/>
              <w:rPr>
                <w:rFonts w:ascii="Arial Narrow" w:hAnsi="Arial Narrow" w:cs="Arial"/>
                <w:sz w:val="22"/>
                <w:szCs w:val="20"/>
              </w:rPr>
            </w:pPr>
            <w:r w:rsidRPr="006066BA">
              <w:rPr>
                <w:rFonts w:ascii="Arial Narrow" w:hAnsi="Arial Narrow" w:cs="Arial"/>
                <w:sz w:val="22"/>
                <w:szCs w:val="20"/>
              </w:rPr>
              <w:t xml:space="preserve">% </w:t>
            </w:r>
            <w:proofErr w:type="gramStart"/>
            <w:r w:rsidRPr="006066BA">
              <w:rPr>
                <w:rFonts w:ascii="Arial Narrow" w:hAnsi="Arial Narrow" w:cs="Arial"/>
                <w:sz w:val="22"/>
                <w:szCs w:val="20"/>
              </w:rPr>
              <w:t>of</w:t>
            </w:r>
            <w:proofErr w:type="gramEnd"/>
            <w:r w:rsidRPr="006066BA">
              <w:rPr>
                <w:rFonts w:ascii="Arial Narrow" w:hAnsi="Arial Narrow" w:cs="Arial"/>
                <w:sz w:val="22"/>
                <w:szCs w:val="20"/>
              </w:rPr>
              <w:t xml:space="preserve"> </w:t>
            </w:r>
            <w:r w:rsidR="006066BA">
              <w:rPr>
                <w:rFonts w:ascii="Arial Narrow" w:hAnsi="Arial Narrow" w:cs="Arial"/>
                <w:sz w:val="22"/>
                <w:szCs w:val="20"/>
              </w:rPr>
              <w:t>CTP</w:t>
            </w:r>
          </w:p>
        </w:tc>
        <w:tc>
          <w:tcPr>
            <w:tcW w:w="1305" w:type="dxa"/>
            <w:tcBorders>
              <w:top w:val="single" w:sz="4" w:space="0" w:color="auto"/>
              <w:bottom w:val="single" w:sz="4" w:space="0" w:color="auto"/>
            </w:tcBorders>
            <w:shd w:val="clear" w:color="auto" w:fill="auto"/>
            <w:noWrap/>
          </w:tcPr>
          <w:p w14:paraId="23DE0253" w14:textId="436DACBF" w:rsidR="00917EFA" w:rsidRPr="006066BA" w:rsidRDefault="00917EFA" w:rsidP="006066BA">
            <w:pPr>
              <w:jc w:val="center"/>
              <w:rPr>
                <w:rFonts w:ascii="Arial Narrow" w:hAnsi="Arial Narrow" w:cs="Arial"/>
                <w:sz w:val="22"/>
                <w:szCs w:val="20"/>
              </w:rPr>
            </w:pPr>
            <w:r w:rsidRPr="006066BA">
              <w:rPr>
                <w:rFonts w:ascii="Arial Narrow" w:hAnsi="Arial Narrow" w:cs="Arial"/>
                <w:sz w:val="22"/>
                <w:szCs w:val="20"/>
              </w:rPr>
              <w:t xml:space="preserve">% </w:t>
            </w:r>
            <w:proofErr w:type="gramStart"/>
            <w:r w:rsidRPr="006066BA">
              <w:rPr>
                <w:rFonts w:ascii="Arial Narrow" w:hAnsi="Arial Narrow" w:cs="Arial"/>
                <w:sz w:val="22"/>
                <w:szCs w:val="20"/>
              </w:rPr>
              <w:t>of</w:t>
            </w:r>
            <w:proofErr w:type="gramEnd"/>
            <w:r w:rsidRPr="006066BA">
              <w:rPr>
                <w:rFonts w:ascii="Arial Narrow" w:hAnsi="Arial Narrow" w:cs="Arial"/>
                <w:sz w:val="22"/>
                <w:szCs w:val="20"/>
              </w:rPr>
              <w:t xml:space="preserve"> </w:t>
            </w:r>
            <w:r w:rsidR="006066BA">
              <w:rPr>
                <w:rFonts w:ascii="Arial Narrow" w:hAnsi="Arial Narrow" w:cs="Arial"/>
                <w:sz w:val="22"/>
                <w:szCs w:val="20"/>
              </w:rPr>
              <w:t>TE</w:t>
            </w:r>
          </w:p>
        </w:tc>
        <w:tc>
          <w:tcPr>
            <w:tcW w:w="1215" w:type="dxa"/>
            <w:tcBorders>
              <w:top w:val="single" w:sz="4" w:space="0" w:color="auto"/>
              <w:bottom w:val="single" w:sz="4" w:space="0" w:color="auto"/>
            </w:tcBorders>
            <w:shd w:val="clear" w:color="auto" w:fill="auto"/>
          </w:tcPr>
          <w:p w14:paraId="170BE6C6" w14:textId="5BA2415B" w:rsidR="00917EFA" w:rsidRPr="006066BA" w:rsidRDefault="00917EFA" w:rsidP="006066BA">
            <w:pPr>
              <w:jc w:val="center"/>
              <w:rPr>
                <w:rFonts w:ascii="Arial Narrow" w:hAnsi="Arial Narrow" w:cs="Arial"/>
                <w:sz w:val="22"/>
                <w:szCs w:val="20"/>
              </w:rPr>
            </w:pPr>
            <w:r w:rsidRPr="006066BA">
              <w:rPr>
                <w:rFonts w:ascii="Arial Narrow" w:hAnsi="Arial Narrow" w:cs="Arial"/>
                <w:sz w:val="22"/>
                <w:szCs w:val="20"/>
              </w:rPr>
              <w:t xml:space="preserve">% </w:t>
            </w:r>
            <w:proofErr w:type="gramStart"/>
            <w:r w:rsidRPr="006066BA">
              <w:rPr>
                <w:rFonts w:ascii="Arial Narrow" w:hAnsi="Arial Narrow" w:cs="Arial"/>
                <w:sz w:val="22"/>
                <w:szCs w:val="20"/>
              </w:rPr>
              <w:t>of</w:t>
            </w:r>
            <w:proofErr w:type="gramEnd"/>
            <w:r w:rsidRPr="006066BA">
              <w:rPr>
                <w:rFonts w:ascii="Arial Narrow" w:hAnsi="Arial Narrow" w:cs="Arial"/>
                <w:sz w:val="22"/>
                <w:szCs w:val="20"/>
              </w:rPr>
              <w:t xml:space="preserve"> </w:t>
            </w:r>
            <w:r w:rsidR="006066BA">
              <w:rPr>
                <w:rFonts w:ascii="Arial Narrow" w:hAnsi="Arial Narrow" w:cs="Arial"/>
                <w:sz w:val="22"/>
                <w:szCs w:val="20"/>
              </w:rPr>
              <w:t>CTP</w:t>
            </w:r>
          </w:p>
        </w:tc>
        <w:tc>
          <w:tcPr>
            <w:tcW w:w="1305" w:type="dxa"/>
            <w:tcBorders>
              <w:top w:val="single" w:sz="4" w:space="0" w:color="auto"/>
              <w:bottom w:val="single" w:sz="4" w:space="0" w:color="auto"/>
            </w:tcBorders>
            <w:shd w:val="clear" w:color="auto" w:fill="auto"/>
            <w:noWrap/>
          </w:tcPr>
          <w:p w14:paraId="3EA0EB62" w14:textId="20F9974D" w:rsidR="00917EFA" w:rsidRPr="006066BA" w:rsidRDefault="00917EFA" w:rsidP="006066BA">
            <w:pPr>
              <w:jc w:val="center"/>
              <w:rPr>
                <w:rFonts w:ascii="Arial Narrow" w:hAnsi="Arial Narrow" w:cs="Arial"/>
                <w:sz w:val="22"/>
                <w:szCs w:val="20"/>
              </w:rPr>
            </w:pPr>
            <w:r w:rsidRPr="006066BA">
              <w:rPr>
                <w:rFonts w:ascii="Arial Narrow" w:hAnsi="Arial Narrow" w:cs="Arial"/>
                <w:sz w:val="22"/>
                <w:szCs w:val="20"/>
              </w:rPr>
              <w:t xml:space="preserve">% </w:t>
            </w:r>
            <w:proofErr w:type="gramStart"/>
            <w:r w:rsidRPr="006066BA">
              <w:rPr>
                <w:rFonts w:ascii="Arial Narrow" w:hAnsi="Arial Narrow" w:cs="Arial"/>
                <w:sz w:val="22"/>
                <w:szCs w:val="20"/>
              </w:rPr>
              <w:t>of</w:t>
            </w:r>
            <w:proofErr w:type="gramEnd"/>
            <w:r w:rsidRPr="006066BA">
              <w:rPr>
                <w:rFonts w:ascii="Arial Narrow" w:hAnsi="Arial Narrow" w:cs="Arial"/>
                <w:sz w:val="22"/>
                <w:szCs w:val="20"/>
              </w:rPr>
              <w:t xml:space="preserve"> </w:t>
            </w:r>
            <w:r w:rsidR="006066BA">
              <w:rPr>
                <w:rFonts w:ascii="Arial Narrow" w:hAnsi="Arial Narrow" w:cs="Arial"/>
                <w:sz w:val="22"/>
                <w:szCs w:val="20"/>
              </w:rPr>
              <w:t>TE</w:t>
            </w:r>
          </w:p>
        </w:tc>
        <w:tc>
          <w:tcPr>
            <w:tcW w:w="1215" w:type="dxa"/>
            <w:tcBorders>
              <w:top w:val="single" w:sz="4" w:space="0" w:color="auto"/>
              <w:bottom w:val="single" w:sz="4" w:space="0" w:color="auto"/>
            </w:tcBorders>
            <w:shd w:val="clear" w:color="auto" w:fill="auto"/>
          </w:tcPr>
          <w:p w14:paraId="613299FE" w14:textId="77777777" w:rsidR="00917EFA" w:rsidRDefault="00917EFA" w:rsidP="006066BA">
            <w:pPr>
              <w:jc w:val="center"/>
              <w:rPr>
                <w:rFonts w:ascii="Arial Narrow" w:hAnsi="Arial Narrow" w:cs="Arial"/>
                <w:sz w:val="22"/>
                <w:szCs w:val="20"/>
              </w:rPr>
            </w:pPr>
            <w:r w:rsidRPr="006066BA">
              <w:rPr>
                <w:rFonts w:ascii="Arial Narrow" w:hAnsi="Arial Narrow" w:cs="Arial"/>
                <w:sz w:val="22"/>
                <w:szCs w:val="20"/>
              </w:rPr>
              <w:t xml:space="preserve">% </w:t>
            </w:r>
            <w:proofErr w:type="gramStart"/>
            <w:r w:rsidRPr="006066BA">
              <w:rPr>
                <w:rFonts w:ascii="Arial Narrow" w:hAnsi="Arial Narrow" w:cs="Arial"/>
                <w:sz w:val="22"/>
                <w:szCs w:val="20"/>
              </w:rPr>
              <w:t>of</w:t>
            </w:r>
            <w:proofErr w:type="gramEnd"/>
            <w:r w:rsidRPr="006066BA">
              <w:rPr>
                <w:rFonts w:ascii="Arial Narrow" w:hAnsi="Arial Narrow" w:cs="Arial"/>
                <w:sz w:val="22"/>
                <w:szCs w:val="20"/>
              </w:rPr>
              <w:t xml:space="preserve"> </w:t>
            </w:r>
            <w:r w:rsidR="006066BA">
              <w:rPr>
                <w:rFonts w:ascii="Arial Narrow" w:hAnsi="Arial Narrow" w:cs="Arial"/>
                <w:sz w:val="22"/>
                <w:szCs w:val="20"/>
              </w:rPr>
              <w:t>CTP</w:t>
            </w:r>
          </w:p>
          <w:p w14:paraId="3E72E3F2" w14:textId="222E31A0" w:rsidR="006066BA" w:rsidRPr="006066BA" w:rsidRDefault="006066BA" w:rsidP="006066BA">
            <w:pPr>
              <w:jc w:val="center"/>
              <w:rPr>
                <w:rFonts w:ascii="Arial Narrow" w:hAnsi="Arial Narrow" w:cs="Arial"/>
                <w:sz w:val="22"/>
                <w:szCs w:val="20"/>
              </w:rPr>
            </w:pPr>
          </w:p>
        </w:tc>
      </w:tr>
      <w:tr w:rsidR="00917EFA" w:rsidRPr="006066BA" w14:paraId="7FF4D6B1" w14:textId="77777777" w:rsidTr="00A11550">
        <w:trPr>
          <w:trHeight w:val="207"/>
        </w:trPr>
        <w:tc>
          <w:tcPr>
            <w:tcW w:w="1455" w:type="dxa"/>
            <w:tcBorders>
              <w:top w:val="single" w:sz="4" w:space="0" w:color="auto"/>
            </w:tcBorders>
            <w:shd w:val="clear" w:color="auto" w:fill="auto"/>
            <w:noWrap/>
            <w:hideMark/>
          </w:tcPr>
          <w:p w14:paraId="7C76A927" w14:textId="6D4AA16D" w:rsidR="00917EFA" w:rsidRPr="006066BA" w:rsidRDefault="00917EFA" w:rsidP="00917EFA">
            <w:pPr>
              <w:rPr>
                <w:rFonts w:ascii="Arial Narrow" w:hAnsi="Arial Narrow" w:cs="Arial"/>
                <w:sz w:val="22"/>
                <w:szCs w:val="20"/>
              </w:rPr>
            </w:pPr>
            <w:r w:rsidRPr="006066BA">
              <w:rPr>
                <w:rFonts w:ascii="Arial Narrow" w:hAnsi="Arial Narrow" w:cs="Arial"/>
                <w:sz w:val="22"/>
                <w:szCs w:val="20"/>
              </w:rPr>
              <w:t>West</w:t>
            </w:r>
          </w:p>
        </w:tc>
        <w:tc>
          <w:tcPr>
            <w:tcW w:w="1350" w:type="dxa"/>
            <w:tcBorders>
              <w:top w:val="single" w:sz="4" w:space="0" w:color="auto"/>
            </w:tcBorders>
            <w:shd w:val="clear" w:color="auto" w:fill="auto"/>
            <w:noWrap/>
            <w:hideMark/>
          </w:tcPr>
          <w:p w14:paraId="6F4441A3"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3.0%</w:t>
            </w:r>
          </w:p>
        </w:tc>
        <w:tc>
          <w:tcPr>
            <w:tcW w:w="1215" w:type="dxa"/>
            <w:tcBorders>
              <w:top w:val="single" w:sz="4" w:space="0" w:color="auto"/>
            </w:tcBorders>
            <w:shd w:val="clear" w:color="auto" w:fill="auto"/>
            <w:noWrap/>
            <w:hideMark/>
          </w:tcPr>
          <w:p w14:paraId="28970FD0"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4.5%</w:t>
            </w:r>
          </w:p>
        </w:tc>
        <w:tc>
          <w:tcPr>
            <w:tcW w:w="1305" w:type="dxa"/>
            <w:tcBorders>
              <w:top w:val="single" w:sz="4" w:space="0" w:color="auto"/>
            </w:tcBorders>
            <w:shd w:val="clear" w:color="auto" w:fill="auto"/>
            <w:noWrap/>
            <w:hideMark/>
          </w:tcPr>
          <w:p w14:paraId="4646734E"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3.5%</w:t>
            </w:r>
          </w:p>
        </w:tc>
        <w:tc>
          <w:tcPr>
            <w:tcW w:w="1215" w:type="dxa"/>
            <w:tcBorders>
              <w:top w:val="single" w:sz="4" w:space="0" w:color="auto"/>
            </w:tcBorders>
            <w:shd w:val="clear" w:color="auto" w:fill="auto"/>
            <w:noWrap/>
            <w:hideMark/>
          </w:tcPr>
          <w:p w14:paraId="17C261E3"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5.3%</w:t>
            </w:r>
          </w:p>
        </w:tc>
        <w:tc>
          <w:tcPr>
            <w:tcW w:w="1305" w:type="dxa"/>
            <w:tcBorders>
              <w:top w:val="single" w:sz="4" w:space="0" w:color="auto"/>
            </w:tcBorders>
            <w:shd w:val="clear" w:color="auto" w:fill="auto"/>
            <w:noWrap/>
            <w:hideMark/>
          </w:tcPr>
          <w:p w14:paraId="1732002F"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2.8%</w:t>
            </w:r>
          </w:p>
        </w:tc>
        <w:tc>
          <w:tcPr>
            <w:tcW w:w="1215" w:type="dxa"/>
            <w:tcBorders>
              <w:top w:val="single" w:sz="4" w:space="0" w:color="auto"/>
            </w:tcBorders>
            <w:shd w:val="clear" w:color="auto" w:fill="auto"/>
            <w:noWrap/>
            <w:hideMark/>
          </w:tcPr>
          <w:p w14:paraId="743DBFD2"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3.8%</w:t>
            </w:r>
          </w:p>
        </w:tc>
      </w:tr>
      <w:tr w:rsidR="00917EFA" w:rsidRPr="006066BA" w14:paraId="085A5B98" w14:textId="77777777" w:rsidTr="00917EFA">
        <w:trPr>
          <w:trHeight w:val="240"/>
        </w:trPr>
        <w:tc>
          <w:tcPr>
            <w:tcW w:w="1455" w:type="dxa"/>
            <w:shd w:val="clear" w:color="auto" w:fill="auto"/>
            <w:noWrap/>
            <w:hideMark/>
          </w:tcPr>
          <w:p w14:paraId="6EDD4ACB" w14:textId="77777777" w:rsidR="00917EFA" w:rsidRPr="006066BA" w:rsidRDefault="00917EFA" w:rsidP="00917EFA">
            <w:pPr>
              <w:rPr>
                <w:rFonts w:ascii="Arial Narrow" w:hAnsi="Arial Narrow" w:cs="Arial"/>
                <w:sz w:val="22"/>
                <w:szCs w:val="20"/>
              </w:rPr>
            </w:pPr>
            <w:r w:rsidRPr="006066BA">
              <w:rPr>
                <w:rFonts w:ascii="Arial Narrow" w:hAnsi="Arial Narrow" w:cs="Arial"/>
                <w:sz w:val="22"/>
                <w:szCs w:val="20"/>
              </w:rPr>
              <w:t>Highlands</w:t>
            </w:r>
          </w:p>
        </w:tc>
        <w:tc>
          <w:tcPr>
            <w:tcW w:w="1350" w:type="dxa"/>
            <w:shd w:val="clear" w:color="auto" w:fill="auto"/>
            <w:noWrap/>
            <w:hideMark/>
          </w:tcPr>
          <w:p w14:paraId="3A8B4FBF"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3.8%</w:t>
            </w:r>
          </w:p>
        </w:tc>
        <w:tc>
          <w:tcPr>
            <w:tcW w:w="1215" w:type="dxa"/>
            <w:shd w:val="clear" w:color="auto" w:fill="auto"/>
            <w:noWrap/>
            <w:hideMark/>
          </w:tcPr>
          <w:p w14:paraId="0D7F31EC"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5.4%</w:t>
            </w:r>
          </w:p>
        </w:tc>
        <w:tc>
          <w:tcPr>
            <w:tcW w:w="1305" w:type="dxa"/>
            <w:shd w:val="clear" w:color="auto" w:fill="auto"/>
            <w:noWrap/>
            <w:hideMark/>
          </w:tcPr>
          <w:p w14:paraId="63AAF4E9"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3.5%</w:t>
            </w:r>
          </w:p>
        </w:tc>
        <w:tc>
          <w:tcPr>
            <w:tcW w:w="1215" w:type="dxa"/>
            <w:shd w:val="clear" w:color="auto" w:fill="auto"/>
            <w:noWrap/>
            <w:hideMark/>
          </w:tcPr>
          <w:p w14:paraId="3082881B"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5.0%</w:t>
            </w:r>
          </w:p>
        </w:tc>
        <w:tc>
          <w:tcPr>
            <w:tcW w:w="1305" w:type="dxa"/>
            <w:shd w:val="clear" w:color="auto" w:fill="auto"/>
            <w:noWrap/>
            <w:hideMark/>
          </w:tcPr>
          <w:p w14:paraId="1AAC3825"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3.0%</w:t>
            </w:r>
          </w:p>
        </w:tc>
        <w:tc>
          <w:tcPr>
            <w:tcW w:w="1215" w:type="dxa"/>
            <w:shd w:val="clear" w:color="auto" w:fill="auto"/>
            <w:noWrap/>
            <w:hideMark/>
          </w:tcPr>
          <w:p w14:paraId="5BF2B017"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3.9%</w:t>
            </w:r>
          </w:p>
        </w:tc>
      </w:tr>
      <w:tr w:rsidR="00917EFA" w:rsidRPr="006066BA" w14:paraId="2D02ED29" w14:textId="77777777" w:rsidTr="00917EFA">
        <w:trPr>
          <w:trHeight w:val="240"/>
        </w:trPr>
        <w:tc>
          <w:tcPr>
            <w:tcW w:w="1455" w:type="dxa"/>
            <w:shd w:val="clear" w:color="auto" w:fill="auto"/>
            <w:noWrap/>
            <w:hideMark/>
          </w:tcPr>
          <w:p w14:paraId="0D7885A7" w14:textId="77777777" w:rsidR="00917EFA" w:rsidRPr="006066BA" w:rsidRDefault="00917EFA" w:rsidP="00917EFA">
            <w:pPr>
              <w:rPr>
                <w:rFonts w:ascii="Arial Narrow" w:hAnsi="Arial Narrow" w:cs="Arial"/>
                <w:sz w:val="22"/>
                <w:szCs w:val="20"/>
              </w:rPr>
            </w:pPr>
            <w:r w:rsidRPr="006066BA">
              <w:rPr>
                <w:rFonts w:ascii="Arial Narrow" w:hAnsi="Arial Narrow" w:cs="Arial"/>
                <w:sz w:val="22"/>
                <w:szCs w:val="20"/>
              </w:rPr>
              <w:t>Central</w:t>
            </w:r>
          </w:p>
        </w:tc>
        <w:tc>
          <w:tcPr>
            <w:tcW w:w="1350" w:type="dxa"/>
            <w:shd w:val="clear" w:color="auto" w:fill="auto"/>
            <w:noWrap/>
            <w:hideMark/>
          </w:tcPr>
          <w:p w14:paraId="63AC0A51"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3.9%</w:t>
            </w:r>
          </w:p>
        </w:tc>
        <w:tc>
          <w:tcPr>
            <w:tcW w:w="1215" w:type="dxa"/>
            <w:shd w:val="clear" w:color="auto" w:fill="auto"/>
            <w:noWrap/>
            <w:hideMark/>
          </w:tcPr>
          <w:p w14:paraId="5A14BD89"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5.5%</w:t>
            </w:r>
          </w:p>
        </w:tc>
        <w:tc>
          <w:tcPr>
            <w:tcW w:w="1305" w:type="dxa"/>
            <w:shd w:val="clear" w:color="auto" w:fill="auto"/>
            <w:noWrap/>
            <w:hideMark/>
          </w:tcPr>
          <w:p w14:paraId="68B81120"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4.0%</w:t>
            </w:r>
          </w:p>
        </w:tc>
        <w:tc>
          <w:tcPr>
            <w:tcW w:w="1215" w:type="dxa"/>
            <w:shd w:val="clear" w:color="auto" w:fill="auto"/>
            <w:noWrap/>
            <w:hideMark/>
          </w:tcPr>
          <w:p w14:paraId="7875E917"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5.6%</w:t>
            </w:r>
          </w:p>
        </w:tc>
        <w:tc>
          <w:tcPr>
            <w:tcW w:w="1305" w:type="dxa"/>
            <w:shd w:val="clear" w:color="auto" w:fill="auto"/>
            <w:noWrap/>
            <w:hideMark/>
          </w:tcPr>
          <w:p w14:paraId="5E7C09D8"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2.9%</w:t>
            </w:r>
          </w:p>
        </w:tc>
        <w:tc>
          <w:tcPr>
            <w:tcW w:w="1215" w:type="dxa"/>
            <w:shd w:val="clear" w:color="auto" w:fill="auto"/>
            <w:noWrap/>
            <w:hideMark/>
          </w:tcPr>
          <w:p w14:paraId="57929249"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3.8%</w:t>
            </w:r>
          </w:p>
        </w:tc>
      </w:tr>
      <w:tr w:rsidR="00917EFA" w:rsidRPr="006066BA" w14:paraId="06625B21" w14:textId="77777777" w:rsidTr="00917EFA">
        <w:trPr>
          <w:trHeight w:val="240"/>
        </w:trPr>
        <w:tc>
          <w:tcPr>
            <w:tcW w:w="1455" w:type="dxa"/>
            <w:shd w:val="clear" w:color="auto" w:fill="auto"/>
            <w:noWrap/>
            <w:hideMark/>
          </w:tcPr>
          <w:p w14:paraId="64511449" w14:textId="77777777" w:rsidR="00917EFA" w:rsidRPr="006066BA" w:rsidRDefault="00917EFA" w:rsidP="00917EFA">
            <w:pPr>
              <w:rPr>
                <w:rFonts w:ascii="Arial Narrow" w:hAnsi="Arial Narrow" w:cs="Arial"/>
                <w:sz w:val="22"/>
                <w:szCs w:val="20"/>
              </w:rPr>
            </w:pPr>
            <w:r w:rsidRPr="006066BA">
              <w:rPr>
                <w:rFonts w:ascii="Arial Narrow" w:hAnsi="Arial Narrow" w:cs="Arial"/>
                <w:sz w:val="22"/>
                <w:szCs w:val="20"/>
              </w:rPr>
              <w:t>East</w:t>
            </w:r>
          </w:p>
        </w:tc>
        <w:tc>
          <w:tcPr>
            <w:tcW w:w="1350" w:type="dxa"/>
            <w:shd w:val="clear" w:color="auto" w:fill="auto"/>
            <w:noWrap/>
            <w:hideMark/>
          </w:tcPr>
          <w:p w14:paraId="15841EEC"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3.9%</w:t>
            </w:r>
          </w:p>
        </w:tc>
        <w:tc>
          <w:tcPr>
            <w:tcW w:w="1215" w:type="dxa"/>
            <w:shd w:val="clear" w:color="auto" w:fill="auto"/>
            <w:noWrap/>
            <w:hideMark/>
          </w:tcPr>
          <w:p w14:paraId="08A2F484"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5.7%</w:t>
            </w:r>
          </w:p>
        </w:tc>
        <w:tc>
          <w:tcPr>
            <w:tcW w:w="1305" w:type="dxa"/>
            <w:shd w:val="clear" w:color="auto" w:fill="auto"/>
            <w:noWrap/>
            <w:hideMark/>
          </w:tcPr>
          <w:p w14:paraId="6E8B28F1"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3.5%</w:t>
            </w:r>
          </w:p>
        </w:tc>
        <w:tc>
          <w:tcPr>
            <w:tcW w:w="1215" w:type="dxa"/>
            <w:shd w:val="clear" w:color="auto" w:fill="auto"/>
            <w:noWrap/>
            <w:hideMark/>
          </w:tcPr>
          <w:p w14:paraId="6BAEA035"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4.7%</w:t>
            </w:r>
          </w:p>
        </w:tc>
        <w:tc>
          <w:tcPr>
            <w:tcW w:w="1305" w:type="dxa"/>
            <w:shd w:val="clear" w:color="auto" w:fill="auto"/>
            <w:noWrap/>
            <w:hideMark/>
          </w:tcPr>
          <w:p w14:paraId="2544F86F"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2.9%</w:t>
            </w:r>
          </w:p>
        </w:tc>
        <w:tc>
          <w:tcPr>
            <w:tcW w:w="1215" w:type="dxa"/>
            <w:shd w:val="clear" w:color="auto" w:fill="auto"/>
            <w:noWrap/>
            <w:hideMark/>
          </w:tcPr>
          <w:p w14:paraId="61FB7272"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3.9%</w:t>
            </w:r>
          </w:p>
        </w:tc>
      </w:tr>
      <w:tr w:rsidR="00917EFA" w:rsidRPr="006066BA" w14:paraId="23259924" w14:textId="77777777" w:rsidTr="00917EFA">
        <w:trPr>
          <w:trHeight w:val="240"/>
        </w:trPr>
        <w:tc>
          <w:tcPr>
            <w:tcW w:w="1455" w:type="dxa"/>
            <w:tcBorders>
              <w:bottom w:val="single" w:sz="4" w:space="0" w:color="auto"/>
            </w:tcBorders>
            <w:shd w:val="clear" w:color="auto" w:fill="auto"/>
            <w:noWrap/>
            <w:hideMark/>
          </w:tcPr>
          <w:p w14:paraId="064EC10E" w14:textId="77777777" w:rsidR="00917EFA" w:rsidRPr="006066BA" w:rsidRDefault="00917EFA" w:rsidP="00917EFA">
            <w:pPr>
              <w:rPr>
                <w:rFonts w:ascii="Arial Narrow" w:hAnsi="Arial Narrow" w:cs="Arial"/>
                <w:sz w:val="22"/>
                <w:szCs w:val="20"/>
              </w:rPr>
            </w:pPr>
            <w:r w:rsidRPr="006066BA">
              <w:rPr>
                <w:rFonts w:ascii="Arial Narrow" w:hAnsi="Arial Narrow" w:cs="Arial"/>
                <w:sz w:val="22"/>
                <w:szCs w:val="20"/>
              </w:rPr>
              <w:t>Ulaanbaatar</w:t>
            </w:r>
          </w:p>
        </w:tc>
        <w:tc>
          <w:tcPr>
            <w:tcW w:w="1350" w:type="dxa"/>
            <w:tcBorders>
              <w:bottom w:val="single" w:sz="4" w:space="0" w:color="auto"/>
            </w:tcBorders>
            <w:shd w:val="clear" w:color="auto" w:fill="auto"/>
            <w:noWrap/>
            <w:hideMark/>
          </w:tcPr>
          <w:p w14:paraId="1650F52E"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2.6%</w:t>
            </w:r>
          </w:p>
        </w:tc>
        <w:tc>
          <w:tcPr>
            <w:tcW w:w="1215" w:type="dxa"/>
            <w:tcBorders>
              <w:bottom w:val="single" w:sz="4" w:space="0" w:color="auto"/>
            </w:tcBorders>
            <w:shd w:val="clear" w:color="auto" w:fill="auto"/>
            <w:noWrap/>
            <w:hideMark/>
          </w:tcPr>
          <w:p w14:paraId="3ADA96F1"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3.8%</w:t>
            </w:r>
          </w:p>
        </w:tc>
        <w:tc>
          <w:tcPr>
            <w:tcW w:w="1305" w:type="dxa"/>
            <w:tcBorders>
              <w:bottom w:val="single" w:sz="4" w:space="0" w:color="auto"/>
            </w:tcBorders>
            <w:shd w:val="clear" w:color="auto" w:fill="auto"/>
            <w:noWrap/>
            <w:hideMark/>
          </w:tcPr>
          <w:p w14:paraId="6EDD5BFD"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2.7%</w:t>
            </w:r>
          </w:p>
        </w:tc>
        <w:tc>
          <w:tcPr>
            <w:tcW w:w="1215" w:type="dxa"/>
            <w:tcBorders>
              <w:bottom w:val="single" w:sz="4" w:space="0" w:color="auto"/>
            </w:tcBorders>
            <w:shd w:val="clear" w:color="auto" w:fill="auto"/>
            <w:noWrap/>
            <w:hideMark/>
          </w:tcPr>
          <w:p w14:paraId="3D1EDAD8"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3.8%</w:t>
            </w:r>
          </w:p>
        </w:tc>
        <w:tc>
          <w:tcPr>
            <w:tcW w:w="1305" w:type="dxa"/>
            <w:tcBorders>
              <w:bottom w:val="single" w:sz="4" w:space="0" w:color="auto"/>
            </w:tcBorders>
            <w:shd w:val="clear" w:color="auto" w:fill="auto"/>
            <w:noWrap/>
            <w:hideMark/>
          </w:tcPr>
          <w:p w14:paraId="63BE5387"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2.6%</w:t>
            </w:r>
          </w:p>
        </w:tc>
        <w:tc>
          <w:tcPr>
            <w:tcW w:w="1215" w:type="dxa"/>
            <w:tcBorders>
              <w:bottom w:val="single" w:sz="4" w:space="0" w:color="auto"/>
            </w:tcBorders>
            <w:shd w:val="clear" w:color="auto" w:fill="auto"/>
            <w:noWrap/>
            <w:hideMark/>
          </w:tcPr>
          <w:p w14:paraId="179751B0"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3.6%</w:t>
            </w:r>
          </w:p>
        </w:tc>
      </w:tr>
      <w:tr w:rsidR="00917EFA" w:rsidRPr="006066BA" w14:paraId="57FA735A" w14:textId="77777777" w:rsidTr="00917EFA">
        <w:trPr>
          <w:trHeight w:val="240"/>
        </w:trPr>
        <w:tc>
          <w:tcPr>
            <w:tcW w:w="1455" w:type="dxa"/>
            <w:tcBorders>
              <w:top w:val="single" w:sz="4" w:space="0" w:color="auto"/>
              <w:bottom w:val="single" w:sz="4" w:space="0" w:color="auto"/>
            </w:tcBorders>
            <w:shd w:val="clear" w:color="auto" w:fill="auto"/>
            <w:noWrap/>
            <w:hideMark/>
          </w:tcPr>
          <w:p w14:paraId="7470C980" w14:textId="77777777" w:rsidR="00917EFA" w:rsidRPr="006066BA" w:rsidRDefault="00917EFA" w:rsidP="00917EFA">
            <w:pPr>
              <w:rPr>
                <w:rFonts w:ascii="Arial Narrow" w:hAnsi="Arial Narrow" w:cs="Arial"/>
                <w:sz w:val="22"/>
                <w:szCs w:val="20"/>
              </w:rPr>
            </w:pPr>
            <w:r w:rsidRPr="006066BA">
              <w:rPr>
                <w:rFonts w:ascii="Arial Narrow" w:hAnsi="Arial Narrow" w:cs="Arial"/>
                <w:sz w:val="22"/>
                <w:szCs w:val="20"/>
              </w:rPr>
              <w:t>Total</w:t>
            </w:r>
          </w:p>
        </w:tc>
        <w:tc>
          <w:tcPr>
            <w:tcW w:w="1350" w:type="dxa"/>
            <w:tcBorders>
              <w:top w:val="single" w:sz="4" w:space="0" w:color="auto"/>
              <w:bottom w:val="single" w:sz="4" w:space="0" w:color="auto"/>
            </w:tcBorders>
            <w:shd w:val="clear" w:color="auto" w:fill="auto"/>
            <w:noWrap/>
            <w:hideMark/>
          </w:tcPr>
          <w:p w14:paraId="25EF2205"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3.2%</w:t>
            </w:r>
          </w:p>
        </w:tc>
        <w:tc>
          <w:tcPr>
            <w:tcW w:w="1215" w:type="dxa"/>
            <w:tcBorders>
              <w:top w:val="single" w:sz="4" w:space="0" w:color="auto"/>
              <w:bottom w:val="single" w:sz="4" w:space="0" w:color="auto"/>
            </w:tcBorders>
            <w:shd w:val="clear" w:color="auto" w:fill="auto"/>
            <w:noWrap/>
            <w:hideMark/>
          </w:tcPr>
          <w:p w14:paraId="61F8F0A8"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4.6%</w:t>
            </w:r>
          </w:p>
        </w:tc>
        <w:tc>
          <w:tcPr>
            <w:tcW w:w="1305" w:type="dxa"/>
            <w:tcBorders>
              <w:top w:val="single" w:sz="4" w:space="0" w:color="auto"/>
              <w:bottom w:val="single" w:sz="4" w:space="0" w:color="auto"/>
            </w:tcBorders>
            <w:shd w:val="clear" w:color="auto" w:fill="auto"/>
            <w:noWrap/>
            <w:hideMark/>
          </w:tcPr>
          <w:p w14:paraId="26354AE1"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3.2%</w:t>
            </w:r>
          </w:p>
        </w:tc>
        <w:tc>
          <w:tcPr>
            <w:tcW w:w="1215" w:type="dxa"/>
            <w:tcBorders>
              <w:top w:val="single" w:sz="4" w:space="0" w:color="auto"/>
              <w:bottom w:val="single" w:sz="4" w:space="0" w:color="auto"/>
            </w:tcBorders>
            <w:shd w:val="clear" w:color="auto" w:fill="auto"/>
            <w:noWrap/>
            <w:hideMark/>
          </w:tcPr>
          <w:p w14:paraId="65865827"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4.6%</w:t>
            </w:r>
          </w:p>
        </w:tc>
        <w:tc>
          <w:tcPr>
            <w:tcW w:w="1305" w:type="dxa"/>
            <w:tcBorders>
              <w:top w:val="single" w:sz="4" w:space="0" w:color="auto"/>
              <w:bottom w:val="single" w:sz="4" w:space="0" w:color="auto"/>
            </w:tcBorders>
            <w:shd w:val="clear" w:color="auto" w:fill="auto"/>
            <w:noWrap/>
            <w:hideMark/>
          </w:tcPr>
          <w:p w14:paraId="6DF0B5C5"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2.8%</w:t>
            </w:r>
          </w:p>
        </w:tc>
        <w:tc>
          <w:tcPr>
            <w:tcW w:w="1215" w:type="dxa"/>
            <w:tcBorders>
              <w:top w:val="single" w:sz="4" w:space="0" w:color="auto"/>
              <w:bottom w:val="single" w:sz="4" w:space="0" w:color="auto"/>
            </w:tcBorders>
            <w:shd w:val="clear" w:color="auto" w:fill="auto"/>
            <w:noWrap/>
            <w:hideMark/>
          </w:tcPr>
          <w:p w14:paraId="467A2C18" w14:textId="77777777" w:rsidR="00917EFA" w:rsidRPr="006066BA" w:rsidRDefault="00917EFA" w:rsidP="00917EFA">
            <w:pPr>
              <w:jc w:val="center"/>
              <w:rPr>
                <w:rFonts w:ascii="Arial Narrow" w:hAnsi="Arial Narrow" w:cs="Arial"/>
                <w:sz w:val="22"/>
                <w:szCs w:val="20"/>
              </w:rPr>
            </w:pPr>
            <w:r w:rsidRPr="006066BA">
              <w:rPr>
                <w:rFonts w:ascii="Arial Narrow" w:hAnsi="Arial Narrow" w:cs="Arial"/>
                <w:sz w:val="22"/>
                <w:szCs w:val="20"/>
              </w:rPr>
              <w:t>3.7%</w:t>
            </w:r>
          </w:p>
        </w:tc>
      </w:tr>
    </w:tbl>
    <w:p w14:paraId="3E282D58" w14:textId="77777777" w:rsidR="00917EFA" w:rsidRPr="008B7EA0" w:rsidRDefault="00917EFA" w:rsidP="00917EFA">
      <w:pPr>
        <w:ind w:left="360"/>
        <w:rPr>
          <w:i/>
          <w:sz w:val="22"/>
          <w:lang w:val="en-GB"/>
        </w:rPr>
      </w:pPr>
      <w:r w:rsidRPr="008B7EA0">
        <w:rPr>
          <w:i/>
          <w:sz w:val="22"/>
          <w:lang w:val="en-GB"/>
        </w:rPr>
        <w:t>Source: Mongolia Household Socio-Economic Surveys, 20</w:t>
      </w:r>
      <w:r>
        <w:rPr>
          <w:i/>
          <w:sz w:val="22"/>
          <w:lang w:val="en-GB"/>
        </w:rPr>
        <w:t>10</w:t>
      </w:r>
      <w:r w:rsidRPr="008B7EA0">
        <w:rPr>
          <w:i/>
          <w:sz w:val="22"/>
          <w:lang w:val="en-GB"/>
        </w:rPr>
        <w:t>-2012</w:t>
      </w:r>
    </w:p>
    <w:p w14:paraId="26606728" w14:textId="6340BF46" w:rsidR="00170DBB" w:rsidRPr="001455A9" w:rsidRDefault="001455A9" w:rsidP="001455A9">
      <w:pPr>
        <w:ind w:firstLine="360"/>
        <w:jc w:val="both"/>
        <w:rPr>
          <w:sz w:val="22"/>
          <w:lang w:val="en-GB"/>
        </w:rPr>
      </w:pPr>
      <w:r w:rsidRPr="001455A9">
        <w:rPr>
          <w:sz w:val="22"/>
          <w:lang w:val="en-GB"/>
        </w:rPr>
        <w:t xml:space="preserve">TE=total </w:t>
      </w:r>
      <w:r w:rsidR="00E06CC7">
        <w:rPr>
          <w:sz w:val="22"/>
          <w:lang w:val="en-GB"/>
        </w:rPr>
        <w:t xml:space="preserve">household </w:t>
      </w:r>
      <w:r w:rsidRPr="001455A9">
        <w:rPr>
          <w:sz w:val="22"/>
          <w:lang w:val="en-GB"/>
        </w:rPr>
        <w:t>expenditure, CTP=capacity to pay</w:t>
      </w:r>
    </w:p>
    <w:p w14:paraId="063E974D" w14:textId="77777777" w:rsidR="00A91528" w:rsidRDefault="00A91528" w:rsidP="000D0EB7">
      <w:pPr>
        <w:jc w:val="both"/>
        <w:rPr>
          <w:lang w:val="en-GB"/>
        </w:rPr>
      </w:pPr>
    </w:p>
    <w:p w14:paraId="5B62295E" w14:textId="77777777" w:rsidR="00580844" w:rsidRPr="002A4DE1" w:rsidRDefault="00580844" w:rsidP="00A668EF">
      <w:pPr>
        <w:pStyle w:val="ListParagraph"/>
        <w:numPr>
          <w:ilvl w:val="0"/>
          <w:numId w:val="3"/>
        </w:numPr>
        <w:ind w:left="720"/>
        <w:jc w:val="both"/>
        <w:rPr>
          <w:rFonts w:ascii="Arial" w:hAnsi="Arial" w:cs="Arial"/>
          <w:sz w:val="22"/>
          <w:lang w:val="en-GB"/>
        </w:rPr>
      </w:pPr>
      <w:r w:rsidRPr="002A4DE1">
        <w:rPr>
          <w:rFonts w:ascii="Arial" w:hAnsi="Arial" w:cs="Arial"/>
          <w:sz w:val="22"/>
          <w:lang w:val="en-GB"/>
        </w:rPr>
        <w:t>Structure of out-of-pocket health payments and its distribution</w:t>
      </w:r>
    </w:p>
    <w:p w14:paraId="5FD9F20F" w14:textId="77777777" w:rsidR="00BE1FF8" w:rsidRDefault="00BE1FF8" w:rsidP="00BF19F5">
      <w:pPr>
        <w:jc w:val="both"/>
        <w:rPr>
          <w:lang w:val="en-GB"/>
        </w:rPr>
      </w:pPr>
    </w:p>
    <w:p w14:paraId="5A0DCFC9" w14:textId="76366F49" w:rsidR="007A1C56" w:rsidRDefault="00CC14F7" w:rsidP="00BF19F5">
      <w:pPr>
        <w:jc w:val="both"/>
        <w:rPr>
          <w:rFonts w:ascii="Arial" w:hAnsi="Arial" w:cs="Arial"/>
          <w:lang w:val="en-GB"/>
        </w:rPr>
      </w:pPr>
      <w:r>
        <w:rPr>
          <w:rFonts w:ascii="Arial" w:hAnsi="Arial" w:cs="Arial"/>
          <w:lang w:val="en-GB"/>
        </w:rPr>
        <w:t>The medic</w:t>
      </w:r>
      <w:r w:rsidR="00E06CC7">
        <w:rPr>
          <w:rFonts w:ascii="Arial" w:hAnsi="Arial" w:cs="Arial"/>
          <w:lang w:val="en-GB"/>
        </w:rPr>
        <w:t>ine and medical supplies remain</w:t>
      </w:r>
      <w:r>
        <w:rPr>
          <w:rFonts w:ascii="Arial" w:hAnsi="Arial" w:cs="Arial"/>
          <w:lang w:val="en-GB"/>
        </w:rPr>
        <w:t xml:space="preserve"> to take the largest share in monthly household out of pocket payments. However, as shown in the Figure 8</w:t>
      </w:r>
      <w:r w:rsidR="001455A9">
        <w:rPr>
          <w:rFonts w:ascii="Arial" w:hAnsi="Arial" w:cs="Arial"/>
          <w:lang w:val="en-GB"/>
        </w:rPr>
        <w:t>, t</w:t>
      </w:r>
      <w:r w:rsidR="00444DB5">
        <w:rPr>
          <w:rFonts w:ascii="Arial" w:hAnsi="Arial" w:cs="Arial"/>
          <w:lang w:val="en-GB"/>
        </w:rPr>
        <w:t>here is a significant dec</w:t>
      </w:r>
      <w:r w:rsidR="00E06CC7">
        <w:rPr>
          <w:rFonts w:ascii="Arial" w:hAnsi="Arial" w:cs="Arial"/>
          <w:lang w:val="en-GB"/>
        </w:rPr>
        <w:t xml:space="preserve">line </w:t>
      </w:r>
      <w:r w:rsidR="00444DB5">
        <w:rPr>
          <w:rFonts w:ascii="Arial" w:hAnsi="Arial" w:cs="Arial"/>
          <w:lang w:val="en-GB"/>
        </w:rPr>
        <w:t>of out of pocket payments for medicines and supplies from 75% in 2009 to a</w:t>
      </w:r>
      <w:r w:rsidR="002A4DE1" w:rsidRPr="002A4DE1">
        <w:rPr>
          <w:rFonts w:ascii="Arial" w:hAnsi="Arial" w:cs="Arial"/>
          <w:lang w:val="en-GB"/>
        </w:rPr>
        <w:t>bout</w:t>
      </w:r>
      <w:r w:rsidR="00A55A46" w:rsidRPr="002A4DE1">
        <w:rPr>
          <w:rFonts w:ascii="Arial" w:hAnsi="Arial" w:cs="Arial"/>
          <w:lang w:val="en-GB"/>
        </w:rPr>
        <w:t xml:space="preserve"> 60% </w:t>
      </w:r>
      <w:r w:rsidR="007A1C56">
        <w:rPr>
          <w:rFonts w:ascii="Arial" w:hAnsi="Arial" w:cs="Arial"/>
          <w:lang w:val="en-GB"/>
        </w:rPr>
        <w:t xml:space="preserve">in 2012 </w:t>
      </w:r>
      <w:r w:rsidR="00444DB5">
        <w:rPr>
          <w:rFonts w:ascii="Arial" w:hAnsi="Arial" w:cs="Arial"/>
          <w:lang w:val="en-GB"/>
        </w:rPr>
        <w:t>in</w:t>
      </w:r>
      <w:r w:rsidR="00A55A46" w:rsidRPr="002A4DE1">
        <w:rPr>
          <w:rFonts w:ascii="Arial" w:hAnsi="Arial" w:cs="Arial"/>
          <w:lang w:val="en-GB"/>
        </w:rPr>
        <w:t xml:space="preserve"> </w:t>
      </w:r>
      <w:r w:rsidR="00A41687">
        <w:rPr>
          <w:rFonts w:ascii="Arial" w:hAnsi="Arial" w:cs="Arial"/>
          <w:lang w:val="en-GB"/>
        </w:rPr>
        <w:t xml:space="preserve">the </w:t>
      </w:r>
      <w:r w:rsidR="002A4DE1">
        <w:rPr>
          <w:rFonts w:ascii="Arial" w:hAnsi="Arial" w:cs="Arial"/>
          <w:lang w:val="en-GB"/>
        </w:rPr>
        <w:t>household</w:t>
      </w:r>
      <w:r w:rsidR="002A4DE1" w:rsidRPr="002A4DE1">
        <w:rPr>
          <w:rFonts w:ascii="Arial" w:hAnsi="Arial" w:cs="Arial"/>
          <w:lang w:val="en-GB"/>
        </w:rPr>
        <w:t xml:space="preserve"> </w:t>
      </w:r>
      <w:r w:rsidR="004F06E6" w:rsidRPr="002A4DE1">
        <w:rPr>
          <w:rFonts w:ascii="Arial" w:hAnsi="Arial" w:cs="Arial"/>
          <w:lang w:val="en-GB"/>
        </w:rPr>
        <w:t>total</w:t>
      </w:r>
      <w:r w:rsidR="007A1C56">
        <w:rPr>
          <w:rFonts w:ascii="Arial" w:hAnsi="Arial" w:cs="Arial"/>
          <w:lang w:val="en-GB"/>
        </w:rPr>
        <w:t xml:space="preserve"> OOPs</w:t>
      </w:r>
      <w:r w:rsidR="002A4DE1">
        <w:rPr>
          <w:rFonts w:ascii="Arial" w:hAnsi="Arial" w:cs="Arial"/>
          <w:lang w:val="en-GB"/>
        </w:rPr>
        <w:t xml:space="preserve">. </w:t>
      </w:r>
    </w:p>
    <w:p w14:paraId="3366BB88" w14:textId="77777777" w:rsidR="007A1C56" w:rsidRDefault="007A1C56" w:rsidP="00BF19F5">
      <w:pPr>
        <w:jc w:val="both"/>
        <w:rPr>
          <w:rFonts w:ascii="Arial" w:hAnsi="Arial" w:cs="Arial"/>
          <w:lang w:val="en-GB"/>
        </w:rPr>
      </w:pPr>
    </w:p>
    <w:p w14:paraId="07352F92" w14:textId="5584F625" w:rsidR="007A1C56" w:rsidRDefault="004F06E6" w:rsidP="00BF19F5">
      <w:pPr>
        <w:jc w:val="both"/>
        <w:rPr>
          <w:rFonts w:ascii="Arial" w:hAnsi="Arial" w:cs="Arial"/>
          <w:lang w:val="en-GB"/>
        </w:rPr>
      </w:pPr>
      <w:r w:rsidRPr="002A4DE1">
        <w:rPr>
          <w:rFonts w:ascii="Arial" w:hAnsi="Arial" w:cs="Arial"/>
          <w:lang w:val="en-GB"/>
        </w:rPr>
        <w:t xml:space="preserve">The next major payment </w:t>
      </w:r>
      <w:r w:rsidR="00A41687">
        <w:rPr>
          <w:rFonts w:ascii="Arial" w:hAnsi="Arial" w:cs="Arial"/>
          <w:lang w:val="en-GB"/>
        </w:rPr>
        <w:t xml:space="preserve">for health </w:t>
      </w:r>
      <w:r w:rsidR="008A10E8">
        <w:rPr>
          <w:rFonts w:ascii="Arial" w:hAnsi="Arial" w:cs="Arial"/>
          <w:lang w:val="en-GB"/>
        </w:rPr>
        <w:t xml:space="preserve">is </w:t>
      </w:r>
      <w:r w:rsidR="00A41687">
        <w:rPr>
          <w:rFonts w:ascii="Arial" w:hAnsi="Arial" w:cs="Arial"/>
          <w:lang w:val="en-GB"/>
        </w:rPr>
        <w:t>for</w:t>
      </w:r>
      <w:r w:rsidRPr="002A4DE1">
        <w:rPr>
          <w:rFonts w:ascii="Arial" w:hAnsi="Arial" w:cs="Arial"/>
          <w:lang w:val="en-GB"/>
        </w:rPr>
        <w:t xml:space="preserve"> access</w:t>
      </w:r>
      <w:r w:rsidR="00A41687">
        <w:rPr>
          <w:rFonts w:ascii="Arial" w:hAnsi="Arial" w:cs="Arial"/>
          <w:lang w:val="en-GB"/>
        </w:rPr>
        <w:t>ing</w:t>
      </w:r>
      <w:r w:rsidRPr="002A4DE1">
        <w:rPr>
          <w:rFonts w:ascii="Arial" w:hAnsi="Arial" w:cs="Arial"/>
          <w:lang w:val="en-GB"/>
        </w:rPr>
        <w:t xml:space="preserve"> inpatient care</w:t>
      </w:r>
      <w:r w:rsidR="002A4DE1">
        <w:rPr>
          <w:rFonts w:ascii="Arial" w:hAnsi="Arial" w:cs="Arial"/>
          <w:lang w:val="en-GB"/>
        </w:rPr>
        <w:t xml:space="preserve"> </w:t>
      </w:r>
      <w:r w:rsidR="007C4BCE">
        <w:rPr>
          <w:rFonts w:ascii="Arial" w:hAnsi="Arial" w:cs="Arial"/>
          <w:lang w:val="en-GB"/>
        </w:rPr>
        <w:t xml:space="preserve">(28% in 2010 and 2012) </w:t>
      </w:r>
      <w:r w:rsidR="002A4DE1">
        <w:rPr>
          <w:rFonts w:ascii="Arial" w:hAnsi="Arial" w:cs="Arial"/>
          <w:lang w:val="en-GB"/>
        </w:rPr>
        <w:t>at health facilities</w:t>
      </w:r>
      <w:r w:rsidR="00A41687">
        <w:rPr>
          <w:rFonts w:ascii="Arial" w:hAnsi="Arial" w:cs="Arial"/>
          <w:lang w:val="en-GB"/>
        </w:rPr>
        <w:t xml:space="preserve"> and f</w:t>
      </w:r>
      <w:r w:rsidR="007A1C56">
        <w:rPr>
          <w:rFonts w:ascii="Arial" w:hAnsi="Arial" w:cs="Arial"/>
          <w:lang w:val="en-GB"/>
        </w:rPr>
        <w:t xml:space="preserve">rom 17.5% </w:t>
      </w:r>
      <w:r w:rsidR="00A41687">
        <w:rPr>
          <w:rFonts w:ascii="Arial" w:hAnsi="Arial" w:cs="Arial"/>
          <w:lang w:val="en-GB"/>
        </w:rPr>
        <w:t xml:space="preserve">of total household health payment </w:t>
      </w:r>
      <w:r w:rsidR="007A1C56">
        <w:rPr>
          <w:rFonts w:ascii="Arial" w:hAnsi="Arial" w:cs="Arial"/>
          <w:lang w:val="en-GB"/>
        </w:rPr>
        <w:t>in 2009.</w:t>
      </w:r>
    </w:p>
    <w:p w14:paraId="144B9994" w14:textId="77777777" w:rsidR="007A1C56" w:rsidRDefault="007A1C56" w:rsidP="00BF19F5">
      <w:pPr>
        <w:jc w:val="both"/>
        <w:rPr>
          <w:rFonts w:ascii="Arial" w:hAnsi="Arial" w:cs="Arial"/>
          <w:lang w:val="en-GB"/>
        </w:rPr>
      </w:pPr>
    </w:p>
    <w:p w14:paraId="5BD3A35D" w14:textId="4BCF33D9" w:rsidR="007A1C56" w:rsidRDefault="004F06E6" w:rsidP="001455A9">
      <w:pPr>
        <w:jc w:val="both"/>
        <w:rPr>
          <w:rFonts w:ascii="Arial" w:hAnsi="Arial" w:cs="Arial"/>
          <w:lang w:val="en-GB"/>
        </w:rPr>
      </w:pPr>
      <w:r w:rsidRPr="002A4DE1">
        <w:rPr>
          <w:rFonts w:ascii="Arial" w:hAnsi="Arial" w:cs="Arial"/>
          <w:lang w:val="en-GB"/>
        </w:rPr>
        <w:t xml:space="preserve">Ancillary services such as diagnostic imaging and laboratory tests </w:t>
      </w:r>
      <w:r w:rsidR="00D3265D">
        <w:rPr>
          <w:rFonts w:ascii="Arial" w:hAnsi="Arial" w:cs="Arial"/>
          <w:lang w:val="en-GB"/>
        </w:rPr>
        <w:t xml:space="preserve">constitute </w:t>
      </w:r>
      <w:r w:rsidR="00D3265D" w:rsidRPr="002A4DE1">
        <w:rPr>
          <w:rFonts w:ascii="Arial" w:hAnsi="Arial" w:cs="Arial"/>
          <w:lang w:val="en-GB"/>
        </w:rPr>
        <w:t>about</w:t>
      </w:r>
      <w:r w:rsidRPr="002A4DE1">
        <w:rPr>
          <w:rFonts w:ascii="Arial" w:hAnsi="Arial" w:cs="Arial"/>
          <w:lang w:val="en-GB"/>
        </w:rPr>
        <w:t xml:space="preserve"> 6%-10% of </w:t>
      </w:r>
      <w:r w:rsidR="00A41687">
        <w:rPr>
          <w:rFonts w:ascii="Arial" w:hAnsi="Arial" w:cs="Arial"/>
          <w:lang w:val="en-GB"/>
        </w:rPr>
        <w:t xml:space="preserve">total </w:t>
      </w:r>
      <w:r w:rsidRPr="002A4DE1">
        <w:rPr>
          <w:rFonts w:ascii="Arial" w:hAnsi="Arial" w:cs="Arial"/>
          <w:lang w:val="en-GB"/>
        </w:rPr>
        <w:t xml:space="preserve">OOPs. </w:t>
      </w:r>
    </w:p>
    <w:p w14:paraId="401749FD" w14:textId="77777777" w:rsidR="00CC14F7" w:rsidRPr="001455A9" w:rsidRDefault="00CC14F7" w:rsidP="001455A9">
      <w:pPr>
        <w:jc w:val="both"/>
        <w:rPr>
          <w:rFonts w:ascii="Arial" w:hAnsi="Arial" w:cs="Arial"/>
          <w:lang w:val="en-GB"/>
        </w:rPr>
      </w:pPr>
    </w:p>
    <w:p w14:paraId="4C049B37" w14:textId="77777777" w:rsidR="00BF19F5" w:rsidRDefault="006F3359" w:rsidP="0055231E">
      <w:pPr>
        <w:jc w:val="center"/>
        <w:rPr>
          <w:rFonts w:ascii="Arial" w:hAnsi="Arial" w:cs="Arial"/>
          <w:sz w:val="22"/>
          <w:szCs w:val="22"/>
          <w:lang w:val="en-GB"/>
        </w:rPr>
      </w:pPr>
      <w:bookmarkStart w:id="38" w:name="_Toc310170113"/>
      <w:r w:rsidRPr="009D054D">
        <w:rPr>
          <w:rFonts w:ascii="Arial" w:hAnsi="Arial" w:cs="Arial"/>
          <w:sz w:val="22"/>
          <w:szCs w:val="22"/>
        </w:rPr>
        <w:t xml:space="preserve">Figure </w:t>
      </w:r>
      <w:r w:rsidR="00CB191B" w:rsidRPr="009D054D">
        <w:rPr>
          <w:rFonts w:ascii="Arial" w:hAnsi="Arial" w:cs="Arial"/>
          <w:sz w:val="22"/>
          <w:szCs w:val="22"/>
        </w:rPr>
        <w:fldChar w:fldCharType="begin"/>
      </w:r>
      <w:r w:rsidRPr="009D054D">
        <w:rPr>
          <w:rFonts w:ascii="Arial" w:hAnsi="Arial" w:cs="Arial"/>
          <w:sz w:val="22"/>
          <w:szCs w:val="22"/>
        </w:rPr>
        <w:instrText xml:space="preserve"> SEQ Figure \* ARABIC </w:instrText>
      </w:r>
      <w:r w:rsidR="00CB191B" w:rsidRPr="009D054D">
        <w:rPr>
          <w:rFonts w:ascii="Arial" w:hAnsi="Arial" w:cs="Arial"/>
          <w:sz w:val="22"/>
          <w:szCs w:val="22"/>
        </w:rPr>
        <w:fldChar w:fldCharType="separate"/>
      </w:r>
      <w:r w:rsidR="00CC14F7">
        <w:rPr>
          <w:rFonts w:ascii="Arial" w:hAnsi="Arial" w:cs="Arial"/>
          <w:noProof/>
          <w:sz w:val="22"/>
          <w:szCs w:val="22"/>
        </w:rPr>
        <w:t>8</w:t>
      </w:r>
      <w:r w:rsidR="00CB191B" w:rsidRPr="009D054D">
        <w:rPr>
          <w:rFonts w:ascii="Arial" w:hAnsi="Arial" w:cs="Arial"/>
          <w:sz w:val="22"/>
          <w:szCs w:val="22"/>
        </w:rPr>
        <w:fldChar w:fldCharType="end"/>
      </w:r>
      <w:r w:rsidRPr="009D054D">
        <w:rPr>
          <w:rFonts w:ascii="Arial" w:hAnsi="Arial" w:cs="Arial"/>
          <w:sz w:val="22"/>
          <w:szCs w:val="22"/>
        </w:rPr>
        <w:t>:</w:t>
      </w:r>
      <w:r w:rsidRPr="009D054D">
        <w:rPr>
          <w:rFonts w:ascii="Arial" w:hAnsi="Arial" w:cs="Arial"/>
          <w:iCs/>
          <w:sz w:val="22"/>
          <w:szCs w:val="22"/>
        </w:rPr>
        <w:t xml:space="preserve"> </w:t>
      </w:r>
      <w:r w:rsidRPr="009D054D">
        <w:rPr>
          <w:rFonts w:ascii="Arial" w:hAnsi="Arial" w:cs="Arial"/>
          <w:sz w:val="22"/>
          <w:szCs w:val="22"/>
          <w:lang w:val="en-GB"/>
        </w:rPr>
        <w:t>Structure of out-of-pocket health payments</w:t>
      </w:r>
      <w:bookmarkEnd w:id="38"/>
    </w:p>
    <w:p w14:paraId="60B8C4CF" w14:textId="77777777" w:rsidR="001455A9" w:rsidRPr="009D054D" w:rsidRDefault="001455A9" w:rsidP="0055231E">
      <w:pPr>
        <w:jc w:val="center"/>
        <w:rPr>
          <w:rFonts w:ascii="Arial" w:hAnsi="Arial" w:cs="Arial"/>
          <w:sz w:val="22"/>
          <w:szCs w:val="22"/>
          <w:lang w:val="en-GB"/>
        </w:rPr>
      </w:pPr>
    </w:p>
    <w:p w14:paraId="67C3676B" w14:textId="7335B10E" w:rsidR="00BF19F5" w:rsidRDefault="00CC14F7" w:rsidP="00453010">
      <w:pPr>
        <w:ind w:left="720"/>
        <w:jc w:val="both"/>
        <w:rPr>
          <w:lang w:val="en-GB"/>
        </w:rPr>
      </w:pPr>
      <w:r>
        <w:rPr>
          <w:noProof/>
        </w:rPr>
        <w:lastRenderedPageBreak/>
        <w:drawing>
          <wp:inline distT="0" distB="0" distL="0" distR="0" wp14:anchorId="6DD64E15" wp14:editId="7F1C44F7">
            <wp:extent cx="5486400" cy="2532380"/>
            <wp:effectExtent l="0" t="0" r="25400" b="3302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4E6356ED" w14:textId="4B15D7BB" w:rsidR="00453010" w:rsidRPr="008B7EA0" w:rsidRDefault="00453010" w:rsidP="00832DEB">
      <w:pPr>
        <w:ind w:left="720"/>
        <w:rPr>
          <w:i/>
          <w:sz w:val="22"/>
          <w:lang w:val="en-GB"/>
        </w:rPr>
      </w:pPr>
      <w:r w:rsidRPr="008B7EA0">
        <w:rPr>
          <w:i/>
          <w:sz w:val="22"/>
          <w:lang w:val="en-GB"/>
        </w:rPr>
        <w:t>Source: Mongolia Household Socio-Economic Surveys, 20</w:t>
      </w:r>
      <w:r w:rsidR="00CC14F7">
        <w:rPr>
          <w:i/>
          <w:sz w:val="22"/>
          <w:lang w:val="en-GB"/>
        </w:rPr>
        <w:t>09</w:t>
      </w:r>
      <w:r w:rsidRPr="008B7EA0">
        <w:rPr>
          <w:i/>
          <w:sz w:val="22"/>
          <w:lang w:val="en-GB"/>
        </w:rPr>
        <w:t>-2012</w:t>
      </w:r>
    </w:p>
    <w:p w14:paraId="540AA0E2" w14:textId="77777777" w:rsidR="008A10E8" w:rsidRDefault="008A10E8" w:rsidP="006F3359">
      <w:pPr>
        <w:jc w:val="both"/>
        <w:rPr>
          <w:rFonts w:ascii="Arial" w:hAnsi="Arial" w:cs="Arial"/>
          <w:sz w:val="22"/>
          <w:szCs w:val="22"/>
        </w:rPr>
      </w:pPr>
    </w:p>
    <w:p w14:paraId="36CACF53" w14:textId="6D599183" w:rsidR="007C4BCE" w:rsidRDefault="00CC14F7" w:rsidP="00736172">
      <w:pPr>
        <w:jc w:val="both"/>
        <w:rPr>
          <w:rFonts w:ascii="Arial" w:hAnsi="Arial" w:cs="Arial"/>
          <w:sz w:val="22"/>
          <w:szCs w:val="22"/>
        </w:rPr>
      </w:pPr>
      <w:r>
        <w:rPr>
          <w:rFonts w:ascii="Arial" w:hAnsi="Arial" w:cs="Arial"/>
          <w:sz w:val="22"/>
          <w:szCs w:val="22"/>
        </w:rPr>
        <w:t xml:space="preserve">The structure of out pocket health payments across population wealth quintiles is shown in Figure 9. </w:t>
      </w:r>
    </w:p>
    <w:p w14:paraId="4AAC952B" w14:textId="77777777" w:rsidR="007C4BCE" w:rsidRDefault="007C4BCE" w:rsidP="00736172">
      <w:pPr>
        <w:jc w:val="both"/>
        <w:rPr>
          <w:rFonts w:ascii="Arial" w:hAnsi="Arial" w:cs="Arial"/>
          <w:sz w:val="22"/>
          <w:szCs w:val="22"/>
        </w:rPr>
      </w:pPr>
    </w:p>
    <w:p w14:paraId="59E36FFB" w14:textId="77777777" w:rsidR="00736172" w:rsidRPr="009D054D" w:rsidRDefault="00736172" w:rsidP="00736172">
      <w:pPr>
        <w:jc w:val="both"/>
        <w:rPr>
          <w:rFonts w:ascii="Arial" w:hAnsi="Arial" w:cs="Arial"/>
          <w:sz w:val="22"/>
          <w:szCs w:val="22"/>
          <w:lang w:val="en-GB"/>
        </w:rPr>
      </w:pPr>
      <w:bookmarkStart w:id="39" w:name="_Toc310170114"/>
      <w:r w:rsidRPr="00623545">
        <w:rPr>
          <w:rFonts w:ascii="Arial" w:hAnsi="Arial" w:cs="Arial"/>
          <w:sz w:val="22"/>
          <w:szCs w:val="22"/>
        </w:rPr>
        <w:t xml:space="preserve">Figure </w:t>
      </w:r>
      <w:r w:rsidR="00CB191B" w:rsidRPr="00623545">
        <w:rPr>
          <w:rFonts w:ascii="Arial" w:hAnsi="Arial" w:cs="Arial"/>
          <w:sz w:val="22"/>
          <w:szCs w:val="22"/>
        </w:rPr>
        <w:fldChar w:fldCharType="begin"/>
      </w:r>
      <w:r w:rsidRPr="00623545">
        <w:rPr>
          <w:rFonts w:ascii="Arial" w:hAnsi="Arial" w:cs="Arial"/>
          <w:sz w:val="22"/>
          <w:szCs w:val="22"/>
        </w:rPr>
        <w:instrText xml:space="preserve"> SEQ Figure \* ARABIC </w:instrText>
      </w:r>
      <w:r w:rsidR="00CB191B" w:rsidRPr="00623545">
        <w:rPr>
          <w:rFonts w:ascii="Arial" w:hAnsi="Arial" w:cs="Arial"/>
          <w:sz w:val="22"/>
          <w:szCs w:val="22"/>
        </w:rPr>
        <w:fldChar w:fldCharType="separate"/>
      </w:r>
      <w:r w:rsidR="00CC14F7">
        <w:rPr>
          <w:rFonts w:ascii="Arial" w:hAnsi="Arial" w:cs="Arial"/>
          <w:noProof/>
          <w:sz w:val="22"/>
          <w:szCs w:val="22"/>
        </w:rPr>
        <w:t>9</w:t>
      </w:r>
      <w:r w:rsidR="00CB191B" w:rsidRPr="00623545">
        <w:rPr>
          <w:rFonts w:ascii="Arial" w:hAnsi="Arial" w:cs="Arial"/>
          <w:sz w:val="22"/>
          <w:szCs w:val="22"/>
        </w:rPr>
        <w:fldChar w:fldCharType="end"/>
      </w:r>
      <w:r w:rsidRPr="00623545">
        <w:rPr>
          <w:rFonts w:ascii="Arial" w:hAnsi="Arial" w:cs="Arial"/>
          <w:sz w:val="22"/>
          <w:szCs w:val="22"/>
        </w:rPr>
        <w:t>:</w:t>
      </w:r>
      <w:r w:rsidRPr="00623545">
        <w:rPr>
          <w:rFonts w:ascii="Arial" w:hAnsi="Arial" w:cs="Arial"/>
          <w:iCs/>
          <w:sz w:val="22"/>
          <w:szCs w:val="22"/>
        </w:rPr>
        <w:t xml:space="preserve"> </w:t>
      </w:r>
      <w:r w:rsidRPr="00623545">
        <w:rPr>
          <w:rFonts w:ascii="Arial" w:hAnsi="Arial" w:cs="Arial"/>
          <w:sz w:val="22"/>
          <w:szCs w:val="22"/>
          <w:lang w:val="en-GB"/>
        </w:rPr>
        <w:t>Structure of out-of-pocket health payments by expenditure quintile</w:t>
      </w:r>
      <w:r w:rsidRPr="00623545">
        <w:rPr>
          <w:rFonts w:ascii="Arial" w:hAnsi="Arial" w:cs="Arial"/>
          <w:sz w:val="22"/>
          <w:szCs w:val="22"/>
        </w:rPr>
        <w:t>, 2010-2012</w:t>
      </w:r>
      <w:bookmarkEnd w:id="39"/>
    </w:p>
    <w:p w14:paraId="054BD677" w14:textId="0E0C93B3" w:rsidR="00A34330" w:rsidRDefault="00E15A3A" w:rsidP="006F3359">
      <w:pPr>
        <w:jc w:val="both"/>
        <w:rPr>
          <w:lang w:val="en-GB"/>
        </w:rPr>
      </w:pPr>
      <w:r>
        <w:rPr>
          <w:noProof/>
        </w:rPr>
        <mc:AlternateContent>
          <mc:Choice Requires="wps">
            <w:drawing>
              <wp:anchor distT="0" distB="0" distL="114300" distR="114300" simplePos="0" relativeHeight="251659264" behindDoc="0" locked="0" layoutInCell="1" allowOverlap="1" wp14:anchorId="4A45AFEE" wp14:editId="373D4F3F">
                <wp:simplePos x="0" y="0"/>
                <wp:positionH relativeFrom="column">
                  <wp:posOffset>4114800</wp:posOffset>
                </wp:positionH>
                <wp:positionV relativeFrom="paragraph">
                  <wp:posOffset>134620</wp:posOffset>
                </wp:positionV>
                <wp:extent cx="1779905" cy="4163695"/>
                <wp:effectExtent l="0" t="0" r="0" b="190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9905" cy="4163695"/>
                        </a:xfrm>
                        <a:prstGeom prst="rect">
                          <a:avLst/>
                        </a:prstGeom>
                        <a:solidFill>
                          <a:srgbClr val="FFFFFF"/>
                        </a:solidFill>
                        <a:ln w="9525">
                          <a:noFill/>
                          <a:miter lim="800000"/>
                          <a:headEnd/>
                          <a:tailEnd/>
                        </a:ln>
                      </wps:spPr>
                      <wps:txbx>
                        <w:txbxContent>
                          <w:p w14:paraId="3A46E3F6" w14:textId="07F5847C" w:rsidR="007C5DA0" w:rsidRDefault="007C5DA0" w:rsidP="00442E54">
                            <w:pPr>
                              <w:tabs>
                                <w:tab w:val="left" w:pos="4590"/>
                              </w:tabs>
                              <w:jc w:val="both"/>
                              <w:rPr>
                                <w:rFonts w:ascii="Arial" w:hAnsi="Arial" w:cs="Arial"/>
                              </w:rPr>
                            </w:pPr>
                            <w:r w:rsidRPr="009D054D">
                              <w:rPr>
                                <w:rFonts w:ascii="Arial" w:hAnsi="Arial" w:cs="Arial"/>
                              </w:rPr>
                              <w:t>Purchase of medicine</w:t>
                            </w:r>
                            <w:r>
                              <w:rPr>
                                <w:rFonts w:ascii="Arial" w:hAnsi="Arial" w:cs="Arial"/>
                              </w:rPr>
                              <w:t>s and medical supplies</w:t>
                            </w:r>
                            <w:r w:rsidRPr="009D054D">
                              <w:rPr>
                                <w:rFonts w:ascii="Arial" w:hAnsi="Arial" w:cs="Arial"/>
                              </w:rPr>
                              <w:t xml:space="preserve"> remained the largest share of out of pocket expenditure among all expenditure quintiles and increased as quintiles go down</w:t>
                            </w:r>
                            <w:r>
                              <w:rPr>
                                <w:rFonts w:ascii="Arial" w:hAnsi="Arial" w:cs="Arial"/>
                              </w:rPr>
                              <w:t xml:space="preserve"> (Figure 9)</w:t>
                            </w:r>
                            <w:r w:rsidRPr="009D054D">
                              <w:rPr>
                                <w:rFonts w:ascii="Arial" w:hAnsi="Arial" w:cs="Arial"/>
                              </w:rPr>
                              <w:t>. The households in lowest expenditure quintile spend 8</w:t>
                            </w:r>
                            <w:r>
                              <w:rPr>
                                <w:rFonts w:ascii="Arial" w:hAnsi="Arial" w:cs="Arial"/>
                              </w:rPr>
                              <w:t>1</w:t>
                            </w:r>
                            <w:r w:rsidRPr="009D054D">
                              <w:rPr>
                                <w:rFonts w:ascii="Arial" w:hAnsi="Arial" w:cs="Arial"/>
                              </w:rPr>
                              <w:t xml:space="preserve">% of OOPs for medicine in 2010, 73% in 2011 and 76% in 2012 respectively. </w:t>
                            </w:r>
                            <w:r>
                              <w:rPr>
                                <w:rFonts w:ascii="Arial" w:hAnsi="Arial" w:cs="Arial"/>
                              </w:rPr>
                              <w:t xml:space="preserve">The highest expenditure quintiles spent 50% in 2010, 49% in 2011 and 53% in 2012 of their total health payments for purchasing medicines.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left:0;text-align:left;margin-left:324pt;margin-top:10.6pt;width:140.15pt;height:327.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" stroked="f">
                <v:textbox>
                  <w:txbxContent>
                    <w:p w14:paraId="3A46E3F6" w14:textId="07F5847C" w:rsidR="00BD48B4" w:rsidRDefault="00BD48B4" w:rsidP="00442E54">
                      <w:pPr>
                        <w:tabs>
                          <w:tab w:val="left" w:pos="4590"/>
                        </w:tabs>
                        <w:jc w:val="both"/>
                        <w:rPr>
                          <w:rFonts w:ascii="Arial" w:hAnsi="Arial" w:cs="Arial"/>
                        </w:rPr>
                      </w:pPr>
                      <w:r w:rsidRPr="009D054D">
                        <w:rPr>
                          <w:rFonts w:ascii="Arial" w:hAnsi="Arial" w:cs="Arial"/>
                        </w:rPr>
                        <w:t>Purchase of medicine</w:t>
                      </w:r>
                      <w:r>
                        <w:rPr>
                          <w:rFonts w:ascii="Arial" w:hAnsi="Arial" w:cs="Arial"/>
                        </w:rPr>
                        <w:t>s and medical supplies</w:t>
                      </w:r>
                      <w:r w:rsidRPr="009D054D">
                        <w:rPr>
                          <w:rFonts w:ascii="Arial" w:hAnsi="Arial" w:cs="Arial"/>
                        </w:rPr>
                        <w:t xml:space="preserve"> remained the largest share of out of pocket expenditure among all expenditure quintiles and increased as quintiles go down</w:t>
                      </w:r>
                      <w:r>
                        <w:rPr>
                          <w:rFonts w:ascii="Arial" w:hAnsi="Arial" w:cs="Arial"/>
                        </w:rPr>
                        <w:t xml:space="preserve"> (Figure 9)</w:t>
                      </w:r>
                      <w:r w:rsidRPr="009D054D">
                        <w:rPr>
                          <w:rFonts w:ascii="Arial" w:hAnsi="Arial" w:cs="Arial"/>
                        </w:rPr>
                        <w:t>. The households in lowest expenditure quintile spend 8</w:t>
                      </w:r>
                      <w:r>
                        <w:rPr>
                          <w:rFonts w:ascii="Arial" w:hAnsi="Arial" w:cs="Arial"/>
                        </w:rPr>
                        <w:t>1</w:t>
                      </w:r>
                      <w:r w:rsidRPr="009D054D">
                        <w:rPr>
                          <w:rFonts w:ascii="Arial" w:hAnsi="Arial" w:cs="Arial"/>
                        </w:rPr>
                        <w:t xml:space="preserve">% of OOPs for medicine in 2010, 73% in 2011 and 76% in 2012 respectively. </w:t>
                      </w:r>
                      <w:r>
                        <w:rPr>
                          <w:rFonts w:ascii="Arial" w:hAnsi="Arial" w:cs="Arial"/>
                        </w:rPr>
                        <w:t xml:space="preserve">The highest expenditure quintiles spent 50% in 2010, 49% in 2011 and 53% in 2012 of their total health payments for purchasing medicines. </w:t>
                      </w:r>
                    </w:p>
                  </w:txbxContent>
                </v:textbox>
              </v:shape>
            </w:pict>
          </mc:Fallback>
        </mc:AlternateContent>
      </w:r>
    </w:p>
    <w:p w14:paraId="496F4462" w14:textId="77777777" w:rsidR="00493DBF" w:rsidRDefault="001B5438" w:rsidP="00493DBF">
      <w:r>
        <w:rPr>
          <w:noProof/>
        </w:rPr>
        <w:drawing>
          <wp:inline distT="0" distB="0" distL="0" distR="0" wp14:anchorId="6E7B1919" wp14:editId="7750A5B4">
            <wp:extent cx="4039711" cy="2067086"/>
            <wp:effectExtent l="0" t="0" r="0" b="0"/>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srcRect/>
                    <a:stretch>
                      <a:fillRect/>
                    </a:stretch>
                  </pic:blipFill>
                  <pic:spPr bwMode="auto">
                    <a:xfrm>
                      <a:off x="0" y="0"/>
                      <a:ext cx="4044628" cy="2069602"/>
                    </a:xfrm>
                    <a:prstGeom prst="rect">
                      <a:avLst/>
                    </a:prstGeom>
                    <a:noFill/>
                  </pic:spPr>
                </pic:pic>
              </a:graphicData>
            </a:graphic>
          </wp:inline>
        </w:drawing>
      </w:r>
    </w:p>
    <w:p w14:paraId="4C9F436F" w14:textId="77777777" w:rsidR="00493DBF" w:rsidRDefault="001B5438" w:rsidP="00493DBF">
      <w:r>
        <w:rPr>
          <w:noProof/>
        </w:rPr>
        <w:drawing>
          <wp:inline distT="0" distB="0" distL="0" distR="0" wp14:anchorId="2EBA9EDC" wp14:editId="45DFC1F6">
            <wp:extent cx="4039789" cy="2169763"/>
            <wp:effectExtent l="0" t="0" r="0" b="0"/>
            <wp:docPr id="2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srcRect/>
                    <a:stretch>
                      <a:fillRect/>
                    </a:stretch>
                  </pic:blipFill>
                  <pic:spPr bwMode="auto">
                    <a:xfrm>
                      <a:off x="0" y="0"/>
                      <a:ext cx="4041472" cy="2170667"/>
                    </a:xfrm>
                    <a:prstGeom prst="rect">
                      <a:avLst/>
                    </a:prstGeom>
                    <a:noFill/>
                  </pic:spPr>
                </pic:pic>
              </a:graphicData>
            </a:graphic>
          </wp:inline>
        </w:drawing>
      </w:r>
    </w:p>
    <w:p w14:paraId="14EADF61" w14:textId="33EFC6DD" w:rsidR="00493DBF" w:rsidRPr="00A66425" w:rsidRDefault="00E15A3A" w:rsidP="00493DBF">
      <w:r>
        <w:rPr>
          <w:noProof/>
        </w:rPr>
        <w:lastRenderedPageBreak/>
        <mc:AlternateContent>
          <mc:Choice Requires="wps">
            <w:drawing>
              <wp:anchor distT="0" distB="0" distL="114300" distR="114300" simplePos="0" relativeHeight="251661312" behindDoc="0" locked="0" layoutInCell="1" allowOverlap="1" wp14:anchorId="1CF35433" wp14:editId="36609D55">
                <wp:simplePos x="0" y="0"/>
                <wp:positionH relativeFrom="column">
                  <wp:posOffset>4114165</wp:posOffset>
                </wp:positionH>
                <wp:positionV relativeFrom="paragraph">
                  <wp:posOffset>10160</wp:posOffset>
                </wp:positionV>
                <wp:extent cx="1905635" cy="1668780"/>
                <wp:effectExtent l="0" t="0" r="0" b="762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635" cy="1668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70BA38" w14:textId="77777777" w:rsidR="007C5DA0" w:rsidRPr="009D054D" w:rsidRDefault="007C5DA0" w:rsidP="001B5438">
                            <w:pPr>
                              <w:tabs>
                                <w:tab w:val="left" w:pos="4590"/>
                              </w:tabs>
                              <w:jc w:val="both"/>
                              <w:rPr>
                                <w:rFonts w:ascii="Arial" w:hAnsi="Arial" w:cs="Arial"/>
                              </w:rPr>
                            </w:pPr>
                            <w:r w:rsidRPr="009D054D">
                              <w:rPr>
                                <w:rFonts w:ascii="Arial" w:hAnsi="Arial" w:cs="Arial"/>
                              </w:rPr>
                              <w:t xml:space="preserve">On the contrary, among all five expenditure quintiles, the richest paid highest share of their OOPs for inpatient care and ancillary services indicating increased utilization. </w:t>
                            </w:r>
                          </w:p>
                          <w:p w14:paraId="6CA4D294" w14:textId="77777777" w:rsidR="007C5DA0" w:rsidRDefault="007C5DA0" w:rsidP="001B5438">
                            <w:pPr>
                              <w:jc w:val="both"/>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4" o:spid="_x0000_s1027" type="#_x0000_t202" style="position:absolute;margin-left:323.95pt;margin-top:.8pt;width:150.05pt;height:131.4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" stroked="f">
                <v:textbox style="mso-fit-shape-to-text:t">
                  <w:txbxContent>
                    <w:p w14:paraId="5170BA38" w14:textId="77777777" w:rsidR="00BD48B4" w:rsidRPr="009D054D" w:rsidRDefault="00BD48B4" w:rsidP="001B5438">
                      <w:pPr>
                        <w:tabs>
                          <w:tab w:val="left" w:pos="4590"/>
                        </w:tabs>
                        <w:jc w:val="both"/>
                        <w:rPr>
                          <w:rFonts w:ascii="Arial" w:hAnsi="Arial" w:cs="Arial"/>
                        </w:rPr>
                      </w:pPr>
                      <w:r w:rsidRPr="009D054D">
                        <w:rPr>
                          <w:rFonts w:ascii="Arial" w:hAnsi="Arial" w:cs="Arial"/>
                        </w:rPr>
                        <w:t xml:space="preserve">On the contrary, among all five expenditure quintiles, the richest paid highest share of their OOPs for inpatient care and ancillary services indicating increased utilization. </w:t>
                      </w:r>
                    </w:p>
                    <w:p w14:paraId="6CA4D294" w14:textId="77777777" w:rsidR="00BD48B4" w:rsidRDefault="00BD48B4" w:rsidP="001B5438">
                      <w:pPr>
                        <w:jc w:val="both"/>
                      </w:pPr>
                    </w:p>
                  </w:txbxContent>
                </v:textbox>
              </v:shape>
            </w:pict>
          </mc:Fallback>
        </mc:AlternateContent>
      </w:r>
      <w:r w:rsidR="001B5438">
        <w:rPr>
          <w:noProof/>
        </w:rPr>
        <w:drawing>
          <wp:inline distT="0" distB="0" distL="0" distR="0" wp14:anchorId="3DF1F973" wp14:editId="556BE140">
            <wp:extent cx="4040505" cy="2171700"/>
            <wp:effectExtent l="0" t="0" r="0" b="12700"/>
            <wp:docPr id="2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srcRect/>
                    <a:stretch>
                      <a:fillRect/>
                    </a:stretch>
                  </pic:blipFill>
                  <pic:spPr bwMode="auto">
                    <a:xfrm>
                      <a:off x="0" y="0"/>
                      <a:ext cx="4041452" cy="2172209"/>
                    </a:xfrm>
                    <a:prstGeom prst="rect">
                      <a:avLst/>
                    </a:prstGeom>
                    <a:noFill/>
                  </pic:spPr>
                </pic:pic>
              </a:graphicData>
            </a:graphic>
          </wp:inline>
        </w:drawing>
      </w:r>
    </w:p>
    <w:p w14:paraId="11884EDA" w14:textId="77777777" w:rsidR="00453010" w:rsidRPr="008B7EA0" w:rsidRDefault="00453010" w:rsidP="00453010">
      <w:pPr>
        <w:rPr>
          <w:i/>
          <w:sz w:val="22"/>
          <w:lang w:val="en-GB"/>
        </w:rPr>
      </w:pPr>
      <w:r w:rsidRPr="008B7EA0">
        <w:rPr>
          <w:i/>
          <w:sz w:val="22"/>
          <w:lang w:val="en-GB"/>
        </w:rPr>
        <w:t>Source: Mongolia Household Socio-Economic Surveys, 20</w:t>
      </w:r>
      <w:r w:rsidR="00173DB0">
        <w:rPr>
          <w:i/>
          <w:sz w:val="22"/>
          <w:lang w:val="en-GB"/>
        </w:rPr>
        <w:t>10</w:t>
      </w:r>
      <w:r w:rsidRPr="008B7EA0">
        <w:rPr>
          <w:i/>
          <w:sz w:val="22"/>
          <w:lang w:val="en-GB"/>
        </w:rPr>
        <w:t>-2012</w:t>
      </w:r>
    </w:p>
    <w:p w14:paraId="3545C708" w14:textId="77777777" w:rsidR="00BF19F5" w:rsidRDefault="00BF19F5" w:rsidP="00BF19F5">
      <w:pPr>
        <w:jc w:val="both"/>
        <w:rPr>
          <w:lang w:val="en-GB"/>
        </w:rPr>
      </w:pPr>
    </w:p>
    <w:p w14:paraId="50F13C78" w14:textId="77777777" w:rsidR="004D64AD" w:rsidRDefault="004D64AD" w:rsidP="00BF19F5">
      <w:pPr>
        <w:jc w:val="both"/>
        <w:rPr>
          <w:lang w:val="en-GB"/>
        </w:rPr>
      </w:pPr>
    </w:p>
    <w:p w14:paraId="51A9BB22" w14:textId="66B4A154" w:rsidR="004D64AD" w:rsidRPr="00FE4DE5" w:rsidRDefault="004D64AD" w:rsidP="004D64AD">
      <w:pPr>
        <w:jc w:val="both"/>
        <w:rPr>
          <w:rFonts w:ascii="Arial" w:hAnsi="Arial"/>
          <w:lang w:val="en-GB"/>
        </w:rPr>
      </w:pPr>
      <w:r w:rsidRPr="00FE4DE5">
        <w:rPr>
          <w:rFonts w:ascii="Arial" w:hAnsi="Arial"/>
          <w:lang w:val="en-GB"/>
        </w:rPr>
        <w:t>In all regions, there are substantial increases of out of pocket payments for medicine, ancillary and dental services while sharp declines occurred for health expenditure for outpatient care</w:t>
      </w:r>
      <w:r w:rsidR="001455A9">
        <w:rPr>
          <w:rFonts w:ascii="Arial" w:hAnsi="Arial"/>
          <w:lang w:val="en-GB"/>
        </w:rPr>
        <w:t xml:space="preserve"> (Table 14)</w:t>
      </w:r>
      <w:r w:rsidRPr="00FE4DE5">
        <w:rPr>
          <w:rFonts w:ascii="Arial" w:hAnsi="Arial"/>
          <w:lang w:val="en-GB"/>
        </w:rPr>
        <w:t xml:space="preserve">. </w:t>
      </w:r>
    </w:p>
    <w:p w14:paraId="736991AC" w14:textId="77777777" w:rsidR="004D64AD" w:rsidRDefault="004D64AD" w:rsidP="00BF19F5">
      <w:pPr>
        <w:jc w:val="both"/>
        <w:rPr>
          <w:lang w:val="en-GB"/>
        </w:rPr>
      </w:pPr>
    </w:p>
    <w:p w14:paraId="34067111" w14:textId="77777777" w:rsidR="002C1168" w:rsidRPr="004D64AD" w:rsidRDefault="004D64AD" w:rsidP="00BF19F5">
      <w:pPr>
        <w:jc w:val="both"/>
        <w:rPr>
          <w:rFonts w:ascii="Arial" w:hAnsi="Arial" w:cs="Arial"/>
          <w:sz w:val="22"/>
          <w:szCs w:val="22"/>
          <w:lang w:val="en-GB"/>
        </w:rPr>
      </w:pPr>
      <w:bookmarkStart w:id="40" w:name="_Toc310170097"/>
      <w:r w:rsidRPr="00D16F85">
        <w:rPr>
          <w:rFonts w:ascii="Arial" w:hAnsi="Arial" w:cs="Arial"/>
          <w:iCs/>
          <w:sz w:val="22"/>
          <w:szCs w:val="22"/>
        </w:rPr>
        <w:t xml:space="preserve">Table </w:t>
      </w:r>
      <w:r w:rsidRPr="00D16F85">
        <w:rPr>
          <w:rFonts w:ascii="Arial" w:hAnsi="Arial" w:cs="Arial"/>
          <w:b/>
          <w:iCs/>
          <w:sz w:val="22"/>
          <w:szCs w:val="22"/>
        </w:rPr>
        <w:fldChar w:fldCharType="begin"/>
      </w:r>
      <w:r w:rsidRPr="00D16F85">
        <w:rPr>
          <w:rFonts w:ascii="Arial" w:hAnsi="Arial" w:cs="Arial"/>
          <w:iCs/>
          <w:sz w:val="22"/>
          <w:szCs w:val="22"/>
        </w:rPr>
        <w:instrText xml:space="preserve"> SEQ Table \* ARABIC </w:instrText>
      </w:r>
      <w:r w:rsidRPr="00D16F85">
        <w:rPr>
          <w:rFonts w:ascii="Arial" w:hAnsi="Arial" w:cs="Arial"/>
          <w:b/>
          <w:iCs/>
          <w:sz w:val="22"/>
          <w:szCs w:val="22"/>
        </w:rPr>
        <w:fldChar w:fldCharType="separate"/>
      </w:r>
      <w:r w:rsidR="001455A9">
        <w:rPr>
          <w:rFonts w:ascii="Arial" w:hAnsi="Arial" w:cs="Arial"/>
          <w:iCs/>
          <w:noProof/>
          <w:sz w:val="22"/>
          <w:szCs w:val="22"/>
        </w:rPr>
        <w:t>14</w:t>
      </w:r>
      <w:r w:rsidRPr="00D16F85">
        <w:rPr>
          <w:rFonts w:ascii="Arial" w:hAnsi="Arial" w:cs="Arial"/>
          <w:b/>
          <w:iCs/>
          <w:sz w:val="22"/>
          <w:szCs w:val="22"/>
        </w:rPr>
        <w:fldChar w:fldCharType="end"/>
      </w:r>
      <w:r w:rsidRPr="00D16F85">
        <w:rPr>
          <w:rFonts w:ascii="Arial" w:hAnsi="Arial" w:cs="Arial"/>
          <w:iCs/>
          <w:sz w:val="22"/>
          <w:szCs w:val="22"/>
        </w:rPr>
        <w:t xml:space="preserve">: </w:t>
      </w:r>
      <w:r>
        <w:rPr>
          <w:rFonts w:ascii="Arial" w:hAnsi="Arial" w:cs="Arial"/>
          <w:iCs/>
          <w:sz w:val="22"/>
          <w:szCs w:val="22"/>
        </w:rPr>
        <w:t>Structure</w:t>
      </w:r>
      <w:r w:rsidRPr="00560FA1">
        <w:rPr>
          <w:rFonts w:ascii="Arial" w:hAnsi="Arial" w:cs="Arial"/>
          <w:iCs/>
          <w:sz w:val="22"/>
          <w:szCs w:val="22"/>
        </w:rPr>
        <w:t xml:space="preserve"> of out of pocket health payments</w:t>
      </w:r>
      <w:r w:rsidRPr="00560FA1">
        <w:rPr>
          <w:rFonts w:ascii="Arial" w:hAnsi="Arial" w:cs="Arial"/>
          <w:sz w:val="22"/>
          <w:szCs w:val="22"/>
          <w:lang w:val="en-GB"/>
        </w:rPr>
        <w:t xml:space="preserve"> </w:t>
      </w:r>
      <w:r>
        <w:rPr>
          <w:rFonts w:ascii="Arial" w:hAnsi="Arial" w:cs="Arial"/>
          <w:sz w:val="22"/>
          <w:szCs w:val="22"/>
          <w:lang w:val="en-GB"/>
        </w:rPr>
        <w:t>by regions</w:t>
      </w:r>
      <w:r w:rsidR="00FE4DE5">
        <w:rPr>
          <w:rFonts w:ascii="Arial" w:hAnsi="Arial" w:cs="Arial"/>
          <w:sz w:val="22"/>
          <w:szCs w:val="22"/>
          <w:lang w:val="en-GB"/>
        </w:rPr>
        <w:t>, 2010-2012</w:t>
      </w:r>
      <w:bookmarkEnd w:id="40"/>
    </w:p>
    <w:tbl>
      <w:tblPr>
        <w:tblW w:w="10102" w:type="dxa"/>
        <w:tblInd w:w="108" w:type="dxa"/>
        <w:tblLayout w:type="fixed"/>
        <w:tblLook w:val="04A0" w:firstRow="1" w:lastRow="0" w:firstColumn="1" w:lastColumn="0" w:noHBand="0" w:noVBand="1"/>
      </w:tblPr>
      <w:tblGrid>
        <w:gridCol w:w="1170"/>
        <w:gridCol w:w="595"/>
        <w:gridCol w:w="595"/>
        <w:gridCol w:w="596"/>
        <w:gridCol w:w="595"/>
        <w:gridCol w:w="596"/>
        <w:gridCol w:w="595"/>
        <w:gridCol w:w="596"/>
        <w:gridCol w:w="595"/>
        <w:gridCol w:w="596"/>
        <w:gridCol w:w="595"/>
        <w:gridCol w:w="596"/>
        <w:gridCol w:w="595"/>
        <w:gridCol w:w="596"/>
        <w:gridCol w:w="595"/>
        <w:gridCol w:w="596"/>
      </w:tblGrid>
      <w:tr w:rsidR="001455A9" w:rsidRPr="00A41687" w14:paraId="6E480545" w14:textId="77777777" w:rsidTr="00A41687">
        <w:trPr>
          <w:trHeight w:val="315"/>
        </w:trPr>
        <w:tc>
          <w:tcPr>
            <w:tcW w:w="1170" w:type="dxa"/>
            <w:tcBorders>
              <w:top w:val="single" w:sz="4" w:space="0" w:color="auto"/>
              <w:left w:val="nil"/>
              <w:bottom w:val="nil"/>
              <w:right w:val="nil"/>
            </w:tcBorders>
            <w:shd w:val="clear" w:color="auto" w:fill="auto"/>
            <w:noWrap/>
            <w:vAlign w:val="bottom"/>
            <w:hideMark/>
          </w:tcPr>
          <w:p w14:paraId="762C5D22" w14:textId="0D29B0BB" w:rsidR="002C1168" w:rsidRPr="00A41687" w:rsidRDefault="004E413A" w:rsidP="002C1168">
            <w:pPr>
              <w:rPr>
                <w:rFonts w:ascii="Arial Narrow" w:hAnsi="Arial Narrow" w:cs="Arial"/>
                <w:sz w:val="20"/>
                <w:szCs w:val="20"/>
                <w:lang w:val="mn-MN" w:eastAsia="mn-MN"/>
              </w:rPr>
            </w:pPr>
            <w:r w:rsidRPr="00A41687">
              <w:rPr>
                <w:rFonts w:ascii="Arial Narrow" w:hAnsi="Arial Narrow" w:cs="Arial"/>
                <w:sz w:val="20"/>
                <w:szCs w:val="20"/>
                <w:lang w:val="mn-MN" w:eastAsia="mn-MN"/>
              </w:rPr>
              <w:t>Geographic r</w:t>
            </w:r>
            <w:r w:rsidR="002C1168" w:rsidRPr="00A41687">
              <w:rPr>
                <w:rFonts w:ascii="Arial Narrow" w:hAnsi="Arial Narrow" w:cs="Arial"/>
                <w:sz w:val="20"/>
                <w:szCs w:val="20"/>
                <w:lang w:val="mn-MN" w:eastAsia="mn-MN"/>
              </w:rPr>
              <w:t>egion</w:t>
            </w:r>
          </w:p>
        </w:tc>
        <w:tc>
          <w:tcPr>
            <w:tcW w:w="1786" w:type="dxa"/>
            <w:gridSpan w:val="3"/>
            <w:tcBorders>
              <w:top w:val="single" w:sz="4" w:space="0" w:color="auto"/>
              <w:left w:val="nil"/>
              <w:bottom w:val="single" w:sz="4" w:space="0" w:color="auto"/>
              <w:right w:val="nil"/>
            </w:tcBorders>
            <w:shd w:val="clear" w:color="auto" w:fill="auto"/>
            <w:noWrap/>
            <w:hideMark/>
          </w:tcPr>
          <w:p w14:paraId="1EFDD7E4" w14:textId="77777777" w:rsidR="002C1168" w:rsidRPr="00A41687" w:rsidRDefault="002C1168" w:rsidP="001455A9">
            <w:pPr>
              <w:ind w:left="-356" w:firstLine="356"/>
              <w:jc w:val="center"/>
              <w:rPr>
                <w:rFonts w:ascii="Arial Narrow" w:hAnsi="Arial Narrow" w:cs="Arial"/>
                <w:b/>
                <w:sz w:val="18"/>
                <w:szCs w:val="18"/>
                <w:lang w:val="mn-MN" w:eastAsia="mn-MN"/>
              </w:rPr>
            </w:pPr>
            <w:r w:rsidRPr="00A41687">
              <w:rPr>
                <w:rFonts w:ascii="Arial Narrow" w:hAnsi="Arial Narrow" w:cs="Arial"/>
                <w:b/>
                <w:sz w:val="18"/>
                <w:szCs w:val="18"/>
                <w:lang w:val="mn-MN" w:eastAsia="mn-MN"/>
              </w:rPr>
              <w:t xml:space="preserve">Medicine </w:t>
            </w:r>
          </w:p>
        </w:tc>
        <w:tc>
          <w:tcPr>
            <w:tcW w:w="1786" w:type="dxa"/>
            <w:gridSpan w:val="3"/>
            <w:tcBorders>
              <w:top w:val="single" w:sz="4" w:space="0" w:color="auto"/>
              <w:left w:val="nil"/>
              <w:bottom w:val="single" w:sz="4" w:space="0" w:color="auto"/>
              <w:right w:val="nil"/>
            </w:tcBorders>
            <w:shd w:val="clear" w:color="auto" w:fill="auto"/>
            <w:noWrap/>
            <w:hideMark/>
          </w:tcPr>
          <w:p w14:paraId="0B500718" w14:textId="77777777" w:rsidR="002C1168" w:rsidRPr="00A41687" w:rsidRDefault="002C1168" w:rsidP="001455A9">
            <w:pPr>
              <w:ind w:left="-356" w:firstLine="356"/>
              <w:jc w:val="center"/>
              <w:rPr>
                <w:rFonts w:ascii="Arial Narrow" w:hAnsi="Arial Narrow" w:cs="Arial"/>
                <w:b/>
                <w:sz w:val="18"/>
                <w:szCs w:val="18"/>
                <w:lang w:val="mn-MN" w:eastAsia="mn-MN"/>
              </w:rPr>
            </w:pPr>
            <w:r w:rsidRPr="00A41687">
              <w:rPr>
                <w:rFonts w:ascii="Arial Narrow" w:hAnsi="Arial Narrow" w:cs="Arial"/>
                <w:b/>
                <w:sz w:val="18"/>
                <w:szCs w:val="18"/>
                <w:lang w:val="mn-MN" w:eastAsia="mn-MN"/>
              </w:rPr>
              <w:t xml:space="preserve">Inpatient </w:t>
            </w:r>
          </w:p>
        </w:tc>
        <w:tc>
          <w:tcPr>
            <w:tcW w:w="1787" w:type="dxa"/>
            <w:gridSpan w:val="3"/>
            <w:tcBorders>
              <w:top w:val="single" w:sz="4" w:space="0" w:color="auto"/>
              <w:left w:val="nil"/>
              <w:bottom w:val="single" w:sz="4" w:space="0" w:color="auto"/>
              <w:right w:val="nil"/>
            </w:tcBorders>
            <w:shd w:val="clear" w:color="auto" w:fill="auto"/>
            <w:noWrap/>
            <w:hideMark/>
          </w:tcPr>
          <w:p w14:paraId="182CDF37" w14:textId="77777777" w:rsidR="002C1168" w:rsidRPr="00A41687" w:rsidRDefault="002C1168" w:rsidP="001455A9">
            <w:pPr>
              <w:ind w:left="-356" w:firstLine="356"/>
              <w:jc w:val="center"/>
              <w:rPr>
                <w:rFonts w:ascii="Arial Narrow" w:hAnsi="Arial Narrow" w:cs="Arial"/>
                <w:b/>
                <w:sz w:val="18"/>
                <w:szCs w:val="18"/>
                <w:lang w:val="mn-MN" w:eastAsia="mn-MN"/>
              </w:rPr>
            </w:pPr>
            <w:r w:rsidRPr="00A41687">
              <w:rPr>
                <w:rFonts w:ascii="Arial Narrow" w:hAnsi="Arial Narrow" w:cs="Arial"/>
                <w:b/>
                <w:sz w:val="18"/>
                <w:szCs w:val="18"/>
                <w:lang w:val="mn-MN" w:eastAsia="mn-MN"/>
              </w:rPr>
              <w:t xml:space="preserve">Oupatient </w:t>
            </w:r>
          </w:p>
        </w:tc>
        <w:tc>
          <w:tcPr>
            <w:tcW w:w="1786" w:type="dxa"/>
            <w:gridSpan w:val="3"/>
            <w:tcBorders>
              <w:top w:val="single" w:sz="4" w:space="0" w:color="auto"/>
              <w:left w:val="nil"/>
              <w:bottom w:val="single" w:sz="4" w:space="0" w:color="auto"/>
              <w:right w:val="nil"/>
            </w:tcBorders>
            <w:shd w:val="clear" w:color="auto" w:fill="auto"/>
            <w:noWrap/>
            <w:hideMark/>
          </w:tcPr>
          <w:p w14:paraId="0C7BFD00" w14:textId="77777777" w:rsidR="002C1168" w:rsidRPr="00A41687" w:rsidRDefault="002C1168" w:rsidP="001455A9">
            <w:pPr>
              <w:ind w:left="-356" w:firstLine="356"/>
              <w:jc w:val="center"/>
              <w:rPr>
                <w:rFonts w:ascii="Arial Narrow" w:hAnsi="Arial Narrow" w:cs="Arial"/>
                <w:b/>
                <w:sz w:val="18"/>
                <w:szCs w:val="18"/>
                <w:lang w:val="mn-MN" w:eastAsia="mn-MN"/>
              </w:rPr>
            </w:pPr>
            <w:r w:rsidRPr="00A41687">
              <w:rPr>
                <w:rFonts w:ascii="Arial Narrow" w:hAnsi="Arial Narrow" w:cs="Arial"/>
                <w:b/>
                <w:sz w:val="18"/>
                <w:szCs w:val="18"/>
                <w:lang w:val="mn-MN" w:eastAsia="mn-MN"/>
              </w:rPr>
              <w:t>Ancillary</w:t>
            </w:r>
          </w:p>
        </w:tc>
        <w:tc>
          <w:tcPr>
            <w:tcW w:w="1787" w:type="dxa"/>
            <w:gridSpan w:val="3"/>
            <w:tcBorders>
              <w:top w:val="single" w:sz="4" w:space="0" w:color="auto"/>
              <w:left w:val="nil"/>
              <w:bottom w:val="single" w:sz="4" w:space="0" w:color="auto"/>
              <w:right w:val="nil"/>
            </w:tcBorders>
            <w:shd w:val="clear" w:color="auto" w:fill="auto"/>
            <w:noWrap/>
            <w:hideMark/>
          </w:tcPr>
          <w:p w14:paraId="0BA5AF70" w14:textId="77777777" w:rsidR="002C1168" w:rsidRPr="00A41687" w:rsidRDefault="002C1168" w:rsidP="001455A9">
            <w:pPr>
              <w:ind w:left="-356" w:firstLine="356"/>
              <w:jc w:val="center"/>
              <w:rPr>
                <w:rFonts w:ascii="Arial Narrow" w:hAnsi="Arial Narrow" w:cs="Arial"/>
                <w:b/>
                <w:sz w:val="18"/>
                <w:szCs w:val="18"/>
                <w:lang w:val="mn-MN" w:eastAsia="mn-MN"/>
              </w:rPr>
            </w:pPr>
            <w:r w:rsidRPr="00A41687">
              <w:rPr>
                <w:rFonts w:ascii="Arial Narrow" w:hAnsi="Arial Narrow" w:cs="Arial"/>
                <w:b/>
                <w:sz w:val="18"/>
                <w:szCs w:val="18"/>
                <w:lang w:val="mn-MN" w:eastAsia="mn-MN"/>
              </w:rPr>
              <w:t>Dental</w:t>
            </w:r>
          </w:p>
        </w:tc>
      </w:tr>
      <w:tr w:rsidR="001455A9" w:rsidRPr="00A41687" w14:paraId="424FE3D6" w14:textId="77777777" w:rsidTr="00A41687">
        <w:trPr>
          <w:trHeight w:val="315"/>
        </w:trPr>
        <w:tc>
          <w:tcPr>
            <w:tcW w:w="1170" w:type="dxa"/>
            <w:tcBorders>
              <w:top w:val="nil"/>
              <w:left w:val="nil"/>
              <w:bottom w:val="nil"/>
              <w:right w:val="nil"/>
            </w:tcBorders>
            <w:shd w:val="clear" w:color="auto" w:fill="auto"/>
            <w:noWrap/>
            <w:vAlign w:val="bottom"/>
            <w:hideMark/>
          </w:tcPr>
          <w:p w14:paraId="5BFF2100" w14:textId="77777777" w:rsidR="002C1168" w:rsidRPr="00A41687" w:rsidRDefault="002C1168" w:rsidP="002C1168">
            <w:pPr>
              <w:rPr>
                <w:rFonts w:ascii="Arial Narrow" w:hAnsi="Arial Narrow" w:cs="Arial"/>
                <w:sz w:val="20"/>
                <w:szCs w:val="20"/>
                <w:lang w:val="mn-MN" w:eastAsia="mn-MN"/>
              </w:rPr>
            </w:pPr>
          </w:p>
        </w:tc>
        <w:tc>
          <w:tcPr>
            <w:tcW w:w="595" w:type="dxa"/>
            <w:tcBorders>
              <w:top w:val="single" w:sz="4" w:space="0" w:color="auto"/>
              <w:left w:val="nil"/>
              <w:bottom w:val="single" w:sz="4" w:space="0" w:color="auto"/>
              <w:right w:val="nil"/>
            </w:tcBorders>
            <w:shd w:val="clear" w:color="auto" w:fill="auto"/>
            <w:noWrap/>
            <w:hideMark/>
          </w:tcPr>
          <w:p w14:paraId="65A1DD6E"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2010</w:t>
            </w:r>
          </w:p>
        </w:tc>
        <w:tc>
          <w:tcPr>
            <w:tcW w:w="595" w:type="dxa"/>
            <w:tcBorders>
              <w:top w:val="single" w:sz="4" w:space="0" w:color="auto"/>
              <w:left w:val="nil"/>
              <w:bottom w:val="single" w:sz="4" w:space="0" w:color="auto"/>
              <w:right w:val="nil"/>
            </w:tcBorders>
            <w:shd w:val="clear" w:color="auto" w:fill="auto"/>
            <w:noWrap/>
            <w:hideMark/>
          </w:tcPr>
          <w:p w14:paraId="0DB8BC66"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2011</w:t>
            </w:r>
          </w:p>
        </w:tc>
        <w:tc>
          <w:tcPr>
            <w:tcW w:w="596" w:type="dxa"/>
            <w:tcBorders>
              <w:top w:val="single" w:sz="4" w:space="0" w:color="auto"/>
              <w:left w:val="nil"/>
              <w:bottom w:val="single" w:sz="4" w:space="0" w:color="auto"/>
              <w:right w:val="single" w:sz="4" w:space="0" w:color="auto"/>
            </w:tcBorders>
            <w:shd w:val="clear" w:color="auto" w:fill="auto"/>
            <w:noWrap/>
            <w:hideMark/>
          </w:tcPr>
          <w:p w14:paraId="03205D11"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2012</w:t>
            </w:r>
          </w:p>
        </w:tc>
        <w:tc>
          <w:tcPr>
            <w:tcW w:w="595" w:type="dxa"/>
            <w:tcBorders>
              <w:top w:val="single" w:sz="4" w:space="0" w:color="auto"/>
              <w:left w:val="single" w:sz="4" w:space="0" w:color="auto"/>
              <w:bottom w:val="single" w:sz="4" w:space="0" w:color="auto"/>
              <w:right w:val="nil"/>
            </w:tcBorders>
            <w:shd w:val="clear" w:color="auto" w:fill="auto"/>
            <w:noWrap/>
            <w:hideMark/>
          </w:tcPr>
          <w:p w14:paraId="0B9EF7A5"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2010</w:t>
            </w:r>
          </w:p>
        </w:tc>
        <w:tc>
          <w:tcPr>
            <w:tcW w:w="596" w:type="dxa"/>
            <w:tcBorders>
              <w:top w:val="single" w:sz="4" w:space="0" w:color="auto"/>
              <w:left w:val="nil"/>
              <w:bottom w:val="single" w:sz="4" w:space="0" w:color="auto"/>
              <w:right w:val="nil"/>
            </w:tcBorders>
            <w:shd w:val="clear" w:color="auto" w:fill="auto"/>
            <w:noWrap/>
            <w:hideMark/>
          </w:tcPr>
          <w:p w14:paraId="6C8F3DB2"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2011</w:t>
            </w:r>
          </w:p>
        </w:tc>
        <w:tc>
          <w:tcPr>
            <w:tcW w:w="595" w:type="dxa"/>
            <w:tcBorders>
              <w:top w:val="single" w:sz="4" w:space="0" w:color="auto"/>
              <w:left w:val="nil"/>
              <w:bottom w:val="single" w:sz="4" w:space="0" w:color="auto"/>
              <w:right w:val="single" w:sz="4" w:space="0" w:color="auto"/>
            </w:tcBorders>
            <w:shd w:val="clear" w:color="auto" w:fill="auto"/>
            <w:noWrap/>
            <w:hideMark/>
          </w:tcPr>
          <w:p w14:paraId="4E3ED4CF"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2012</w:t>
            </w:r>
          </w:p>
        </w:tc>
        <w:tc>
          <w:tcPr>
            <w:tcW w:w="596" w:type="dxa"/>
            <w:tcBorders>
              <w:top w:val="single" w:sz="4" w:space="0" w:color="auto"/>
              <w:left w:val="single" w:sz="4" w:space="0" w:color="auto"/>
              <w:bottom w:val="single" w:sz="4" w:space="0" w:color="auto"/>
              <w:right w:val="nil"/>
            </w:tcBorders>
            <w:shd w:val="clear" w:color="auto" w:fill="auto"/>
            <w:noWrap/>
            <w:hideMark/>
          </w:tcPr>
          <w:p w14:paraId="5B76DD31"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2010</w:t>
            </w:r>
          </w:p>
        </w:tc>
        <w:tc>
          <w:tcPr>
            <w:tcW w:w="595" w:type="dxa"/>
            <w:tcBorders>
              <w:top w:val="single" w:sz="4" w:space="0" w:color="auto"/>
              <w:left w:val="nil"/>
              <w:bottom w:val="single" w:sz="4" w:space="0" w:color="auto"/>
              <w:right w:val="nil"/>
            </w:tcBorders>
            <w:shd w:val="clear" w:color="auto" w:fill="auto"/>
            <w:noWrap/>
            <w:hideMark/>
          </w:tcPr>
          <w:p w14:paraId="7A109264"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2011</w:t>
            </w:r>
          </w:p>
        </w:tc>
        <w:tc>
          <w:tcPr>
            <w:tcW w:w="596" w:type="dxa"/>
            <w:tcBorders>
              <w:top w:val="single" w:sz="4" w:space="0" w:color="auto"/>
              <w:left w:val="nil"/>
              <w:bottom w:val="single" w:sz="4" w:space="0" w:color="auto"/>
              <w:right w:val="single" w:sz="4" w:space="0" w:color="auto"/>
            </w:tcBorders>
            <w:shd w:val="clear" w:color="auto" w:fill="auto"/>
            <w:noWrap/>
            <w:hideMark/>
          </w:tcPr>
          <w:p w14:paraId="68CCEE40"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2012</w:t>
            </w:r>
          </w:p>
        </w:tc>
        <w:tc>
          <w:tcPr>
            <w:tcW w:w="595" w:type="dxa"/>
            <w:tcBorders>
              <w:top w:val="single" w:sz="4" w:space="0" w:color="auto"/>
              <w:left w:val="single" w:sz="4" w:space="0" w:color="auto"/>
              <w:bottom w:val="single" w:sz="4" w:space="0" w:color="auto"/>
              <w:right w:val="nil"/>
            </w:tcBorders>
            <w:shd w:val="clear" w:color="auto" w:fill="auto"/>
            <w:noWrap/>
            <w:hideMark/>
          </w:tcPr>
          <w:p w14:paraId="18DD0B0F"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2010</w:t>
            </w:r>
          </w:p>
        </w:tc>
        <w:tc>
          <w:tcPr>
            <w:tcW w:w="596" w:type="dxa"/>
            <w:tcBorders>
              <w:top w:val="single" w:sz="4" w:space="0" w:color="auto"/>
              <w:left w:val="nil"/>
              <w:bottom w:val="single" w:sz="4" w:space="0" w:color="auto"/>
              <w:right w:val="nil"/>
            </w:tcBorders>
            <w:shd w:val="clear" w:color="auto" w:fill="auto"/>
            <w:noWrap/>
            <w:hideMark/>
          </w:tcPr>
          <w:p w14:paraId="72FDF0F3"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2011</w:t>
            </w:r>
          </w:p>
        </w:tc>
        <w:tc>
          <w:tcPr>
            <w:tcW w:w="595" w:type="dxa"/>
            <w:tcBorders>
              <w:top w:val="single" w:sz="4" w:space="0" w:color="auto"/>
              <w:left w:val="nil"/>
              <w:bottom w:val="single" w:sz="4" w:space="0" w:color="auto"/>
              <w:right w:val="single" w:sz="4" w:space="0" w:color="auto"/>
            </w:tcBorders>
            <w:shd w:val="clear" w:color="auto" w:fill="auto"/>
            <w:noWrap/>
            <w:hideMark/>
          </w:tcPr>
          <w:p w14:paraId="13118474"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2012</w:t>
            </w:r>
          </w:p>
        </w:tc>
        <w:tc>
          <w:tcPr>
            <w:tcW w:w="596" w:type="dxa"/>
            <w:tcBorders>
              <w:top w:val="single" w:sz="4" w:space="0" w:color="auto"/>
              <w:left w:val="single" w:sz="4" w:space="0" w:color="auto"/>
              <w:bottom w:val="single" w:sz="4" w:space="0" w:color="auto"/>
              <w:right w:val="nil"/>
            </w:tcBorders>
            <w:shd w:val="clear" w:color="auto" w:fill="auto"/>
            <w:noWrap/>
            <w:hideMark/>
          </w:tcPr>
          <w:p w14:paraId="22131874"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2010</w:t>
            </w:r>
          </w:p>
        </w:tc>
        <w:tc>
          <w:tcPr>
            <w:tcW w:w="595" w:type="dxa"/>
            <w:tcBorders>
              <w:top w:val="single" w:sz="4" w:space="0" w:color="auto"/>
              <w:left w:val="nil"/>
              <w:bottom w:val="single" w:sz="4" w:space="0" w:color="auto"/>
              <w:right w:val="nil"/>
            </w:tcBorders>
            <w:shd w:val="clear" w:color="auto" w:fill="auto"/>
            <w:noWrap/>
            <w:hideMark/>
          </w:tcPr>
          <w:p w14:paraId="519DEA77"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2011</w:t>
            </w:r>
          </w:p>
        </w:tc>
        <w:tc>
          <w:tcPr>
            <w:tcW w:w="596" w:type="dxa"/>
            <w:tcBorders>
              <w:top w:val="single" w:sz="4" w:space="0" w:color="auto"/>
              <w:left w:val="nil"/>
              <w:bottom w:val="single" w:sz="4" w:space="0" w:color="auto"/>
              <w:right w:val="nil"/>
            </w:tcBorders>
            <w:shd w:val="clear" w:color="auto" w:fill="auto"/>
            <w:noWrap/>
            <w:hideMark/>
          </w:tcPr>
          <w:p w14:paraId="3238A648"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2012</w:t>
            </w:r>
          </w:p>
        </w:tc>
      </w:tr>
      <w:tr w:rsidR="001455A9" w:rsidRPr="00A41687" w14:paraId="01894B01" w14:textId="77777777" w:rsidTr="00A41687">
        <w:trPr>
          <w:trHeight w:val="255"/>
        </w:trPr>
        <w:tc>
          <w:tcPr>
            <w:tcW w:w="1170" w:type="dxa"/>
            <w:tcBorders>
              <w:top w:val="nil"/>
              <w:left w:val="nil"/>
              <w:bottom w:val="nil"/>
              <w:right w:val="nil"/>
            </w:tcBorders>
            <w:shd w:val="clear" w:color="auto" w:fill="auto"/>
            <w:noWrap/>
            <w:vAlign w:val="bottom"/>
            <w:hideMark/>
          </w:tcPr>
          <w:p w14:paraId="0DE44DC1" w14:textId="77777777" w:rsidR="002C1168" w:rsidRPr="00A41687" w:rsidRDefault="002C1168" w:rsidP="002C1168">
            <w:pPr>
              <w:rPr>
                <w:rFonts w:ascii="Arial Narrow" w:hAnsi="Arial Narrow" w:cs="Arial"/>
                <w:sz w:val="20"/>
                <w:szCs w:val="20"/>
                <w:lang w:val="mn-MN" w:eastAsia="mn-MN"/>
              </w:rPr>
            </w:pPr>
            <w:r w:rsidRPr="00A41687">
              <w:rPr>
                <w:rFonts w:ascii="Arial Narrow" w:hAnsi="Arial Narrow" w:cs="Arial"/>
                <w:sz w:val="20"/>
                <w:szCs w:val="20"/>
                <w:lang w:val="mn-MN" w:eastAsia="mn-MN"/>
              </w:rPr>
              <w:t>West</w:t>
            </w:r>
          </w:p>
        </w:tc>
        <w:tc>
          <w:tcPr>
            <w:tcW w:w="595" w:type="dxa"/>
            <w:tcBorders>
              <w:top w:val="single" w:sz="4" w:space="0" w:color="auto"/>
              <w:left w:val="nil"/>
              <w:bottom w:val="nil"/>
              <w:right w:val="nil"/>
            </w:tcBorders>
            <w:shd w:val="clear" w:color="auto" w:fill="auto"/>
            <w:noWrap/>
            <w:hideMark/>
          </w:tcPr>
          <w:p w14:paraId="0A87A3C2"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61%</w:t>
            </w:r>
          </w:p>
        </w:tc>
        <w:tc>
          <w:tcPr>
            <w:tcW w:w="595" w:type="dxa"/>
            <w:tcBorders>
              <w:top w:val="single" w:sz="4" w:space="0" w:color="auto"/>
              <w:left w:val="nil"/>
              <w:bottom w:val="nil"/>
              <w:right w:val="nil"/>
            </w:tcBorders>
            <w:shd w:val="clear" w:color="auto" w:fill="auto"/>
            <w:noWrap/>
            <w:hideMark/>
          </w:tcPr>
          <w:p w14:paraId="10A1F743"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60%</w:t>
            </w:r>
          </w:p>
        </w:tc>
        <w:tc>
          <w:tcPr>
            <w:tcW w:w="596" w:type="dxa"/>
            <w:tcBorders>
              <w:top w:val="single" w:sz="4" w:space="0" w:color="auto"/>
              <w:left w:val="nil"/>
              <w:bottom w:val="nil"/>
              <w:right w:val="single" w:sz="4" w:space="0" w:color="auto"/>
            </w:tcBorders>
            <w:shd w:val="clear" w:color="auto" w:fill="auto"/>
            <w:noWrap/>
            <w:hideMark/>
          </w:tcPr>
          <w:p w14:paraId="30977824"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72%</w:t>
            </w:r>
          </w:p>
        </w:tc>
        <w:tc>
          <w:tcPr>
            <w:tcW w:w="595" w:type="dxa"/>
            <w:tcBorders>
              <w:top w:val="single" w:sz="4" w:space="0" w:color="auto"/>
              <w:left w:val="single" w:sz="4" w:space="0" w:color="auto"/>
              <w:bottom w:val="nil"/>
              <w:right w:val="nil"/>
            </w:tcBorders>
            <w:shd w:val="clear" w:color="auto" w:fill="auto"/>
            <w:noWrap/>
            <w:hideMark/>
          </w:tcPr>
          <w:p w14:paraId="3DE8DCC3"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32%</w:t>
            </w:r>
          </w:p>
        </w:tc>
        <w:tc>
          <w:tcPr>
            <w:tcW w:w="596" w:type="dxa"/>
            <w:tcBorders>
              <w:top w:val="single" w:sz="4" w:space="0" w:color="auto"/>
              <w:left w:val="nil"/>
              <w:bottom w:val="nil"/>
              <w:right w:val="nil"/>
            </w:tcBorders>
            <w:shd w:val="clear" w:color="auto" w:fill="auto"/>
            <w:noWrap/>
            <w:hideMark/>
          </w:tcPr>
          <w:p w14:paraId="2969FCF5"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37%</w:t>
            </w:r>
          </w:p>
        </w:tc>
        <w:tc>
          <w:tcPr>
            <w:tcW w:w="595" w:type="dxa"/>
            <w:tcBorders>
              <w:top w:val="single" w:sz="4" w:space="0" w:color="auto"/>
              <w:left w:val="nil"/>
              <w:bottom w:val="nil"/>
              <w:right w:val="single" w:sz="4" w:space="0" w:color="auto"/>
            </w:tcBorders>
            <w:shd w:val="clear" w:color="auto" w:fill="auto"/>
            <w:noWrap/>
            <w:hideMark/>
          </w:tcPr>
          <w:p w14:paraId="621A0DDB"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23%</w:t>
            </w:r>
          </w:p>
        </w:tc>
        <w:tc>
          <w:tcPr>
            <w:tcW w:w="596" w:type="dxa"/>
            <w:tcBorders>
              <w:top w:val="single" w:sz="4" w:space="0" w:color="auto"/>
              <w:left w:val="single" w:sz="4" w:space="0" w:color="auto"/>
              <w:bottom w:val="nil"/>
              <w:right w:val="nil"/>
            </w:tcBorders>
            <w:shd w:val="clear" w:color="auto" w:fill="auto"/>
            <w:noWrap/>
            <w:hideMark/>
          </w:tcPr>
          <w:p w14:paraId="1C927602"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6%</w:t>
            </w:r>
          </w:p>
        </w:tc>
        <w:tc>
          <w:tcPr>
            <w:tcW w:w="595" w:type="dxa"/>
            <w:tcBorders>
              <w:top w:val="single" w:sz="4" w:space="0" w:color="auto"/>
              <w:left w:val="nil"/>
              <w:bottom w:val="nil"/>
              <w:right w:val="nil"/>
            </w:tcBorders>
            <w:shd w:val="clear" w:color="auto" w:fill="auto"/>
            <w:noWrap/>
            <w:hideMark/>
          </w:tcPr>
          <w:p w14:paraId="39C5F056"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1.2%</w:t>
            </w:r>
          </w:p>
        </w:tc>
        <w:tc>
          <w:tcPr>
            <w:tcW w:w="596" w:type="dxa"/>
            <w:tcBorders>
              <w:top w:val="single" w:sz="4" w:space="0" w:color="auto"/>
              <w:left w:val="nil"/>
              <w:bottom w:val="nil"/>
              <w:right w:val="single" w:sz="4" w:space="0" w:color="auto"/>
            </w:tcBorders>
            <w:shd w:val="clear" w:color="auto" w:fill="auto"/>
            <w:noWrap/>
            <w:hideMark/>
          </w:tcPr>
          <w:p w14:paraId="79A1E343"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0.6%</w:t>
            </w:r>
          </w:p>
        </w:tc>
        <w:tc>
          <w:tcPr>
            <w:tcW w:w="595" w:type="dxa"/>
            <w:tcBorders>
              <w:top w:val="single" w:sz="4" w:space="0" w:color="auto"/>
              <w:left w:val="single" w:sz="4" w:space="0" w:color="auto"/>
              <w:bottom w:val="nil"/>
              <w:right w:val="nil"/>
            </w:tcBorders>
            <w:shd w:val="clear" w:color="auto" w:fill="auto"/>
            <w:noWrap/>
            <w:hideMark/>
          </w:tcPr>
          <w:p w14:paraId="5298813E"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0.6%</w:t>
            </w:r>
          </w:p>
        </w:tc>
        <w:tc>
          <w:tcPr>
            <w:tcW w:w="596" w:type="dxa"/>
            <w:tcBorders>
              <w:top w:val="single" w:sz="4" w:space="0" w:color="auto"/>
              <w:left w:val="nil"/>
              <w:bottom w:val="nil"/>
              <w:right w:val="nil"/>
            </w:tcBorders>
            <w:shd w:val="clear" w:color="auto" w:fill="auto"/>
            <w:noWrap/>
            <w:hideMark/>
          </w:tcPr>
          <w:p w14:paraId="3FA303C3"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1.5%</w:t>
            </w:r>
          </w:p>
        </w:tc>
        <w:tc>
          <w:tcPr>
            <w:tcW w:w="595" w:type="dxa"/>
            <w:tcBorders>
              <w:top w:val="single" w:sz="4" w:space="0" w:color="auto"/>
              <w:left w:val="nil"/>
              <w:bottom w:val="nil"/>
              <w:right w:val="single" w:sz="4" w:space="0" w:color="auto"/>
            </w:tcBorders>
            <w:shd w:val="clear" w:color="auto" w:fill="auto"/>
            <w:noWrap/>
            <w:hideMark/>
          </w:tcPr>
          <w:p w14:paraId="6BD41A51"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3.1%</w:t>
            </w:r>
          </w:p>
        </w:tc>
        <w:tc>
          <w:tcPr>
            <w:tcW w:w="596" w:type="dxa"/>
            <w:tcBorders>
              <w:top w:val="single" w:sz="4" w:space="0" w:color="auto"/>
              <w:left w:val="single" w:sz="4" w:space="0" w:color="auto"/>
              <w:bottom w:val="nil"/>
              <w:right w:val="nil"/>
            </w:tcBorders>
            <w:shd w:val="clear" w:color="auto" w:fill="auto"/>
            <w:noWrap/>
            <w:hideMark/>
          </w:tcPr>
          <w:p w14:paraId="43028465"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0.5%</w:t>
            </w:r>
          </w:p>
        </w:tc>
        <w:tc>
          <w:tcPr>
            <w:tcW w:w="595" w:type="dxa"/>
            <w:tcBorders>
              <w:top w:val="single" w:sz="4" w:space="0" w:color="auto"/>
              <w:left w:val="nil"/>
              <w:bottom w:val="nil"/>
              <w:right w:val="nil"/>
            </w:tcBorders>
            <w:shd w:val="clear" w:color="auto" w:fill="auto"/>
            <w:noWrap/>
            <w:hideMark/>
          </w:tcPr>
          <w:p w14:paraId="529DF0FB"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0.6%</w:t>
            </w:r>
          </w:p>
        </w:tc>
        <w:tc>
          <w:tcPr>
            <w:tcW w:w="596" w:type="dxa"/>
            <w:tcBorders>
              <w:top w:val="single" w:sz="4" w:space="0" w:color="auto"/>
              <w:left w:val="nil"/>
              <w:bottom w:val="nil"/>
              <w:right w:val="nil"/>
            </w:tcBorders>
            <w:shd w:val="clear" w:color="auto" w:fill="auto"/>
            <w:noWrap/>
            <w:hideMark/>
          </w:tcPr>
          <w:p w14:paraId="1032A24E"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1.0%</w:t>
            </w:r>
          </w:p>
        </w:tc>
      </w:tr>
      <w:tr w:rsidR="001455A9" w:rsidRPr="00A41687" w14:paraId="0C41DD15" w14:textId="77777777" w:rsidTr="00A41687">
        <w:trPr>
          <w:trHeight w:val="255"/>
        </w:trPr>
        <w:tc>
          <w:tcPr>
            <w:tcW w:w="1170" w:type="dxa"/>
            <w:tcBorders>
              <w:top w:val="nil"/>
              <w:left w:val="nil"/>
              <w:bottom w:val="nil"/>
              <w:right w:val="nil"/>
            </w:tcBorders>
            <w:shd w:val="clear" w:color="auto" w:fill="auto"/>
            <w:noWrap/>
            <w:vAlign w:val="bottom"/>
            <w:hideMark/>
          </w:tcPr>
          <w:p w14:paraId="0B0F0F7A" w14:textId="77777777" w:rsidR="002C1168" w:rsidRPr="00A41687" w:rsidRDefault="002C1168" w:rsidP="002C1168">
            <w:pPr>
              <w:rPr>
                <w:rFonts w:ascii="Arial Narrow" w:hAnsi="Arial Narrow" w:cs="Arial"/>
                <w:sz w:val="20"/>
                <w:szCs w:val="20"/>
                <w:lang w:val="mn-MN" w:eastAsia="mn-MN"/>
              </w:rPr>
            </w:pPr>
            <w:r w:rsidRPr="00A41687">
              <w:rPr>
                <w:rFonts w:ascii="Arial Narrow" w:hAnsi="Arial Narrow" w:cs="Arial"/>
                <w:sz w:val="20"/>
                <w:szCs w:val="20"/>
                <w:lang w:val="mn-MN" w:eastAsia="mn-MN"/>
              </w:rPr>
              <w:t>Highlands</w:t>
            </w:r>
          </w:p>
        </w:tc>
        <w:tc>
          <w:tcPr>
            <w:tcW w:w="595" w:type="dxa"/>
            <w:tcBorders>
              <w:top w:val="nil"/>
              <w:left w:val="nil"/>
              <w:bottom w:val="nil"/>
              <w:right w:val="nil"/>
            </w:tcBorders>
            <w:shd w:val="clear" w:color="auto" w:fill="auto"/>
            <w:noWrap/>
            <w:hideMark/>
          </w:tcPr>
          <w:p w14:paraId="5BD171F1"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39%</w:t>
            </w:r>
          </w:p>
        </w:tc>
        <w:tc>
          <w:tcPr>
            <w:tcW w:w="595" w:type="dxa"/>
            <w:tcBorders>
              <w:top w:val="nil"/>
              <w:left w:val="nil"/>
              <w:bottom w:val="nil"/>
              <w:right w:val="nil"/>
            </w:tcBorders>
            <w:shd w:val="clear" w:color="auto" w:fill="auto"/>
            <w:noWrap/>
            <w:hideMark/>
          </w:tcPr>
          <w:p w14:paraId="0D0D1FDB"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51%</w:t>
            </w:r>
          </w:p>
        </w:tc>
        <w:tc>
          <w:tcPr>
            <w:tcW w:w="596" w:type="dxa"/>
            <w:tcBorders>
              <w:top w:val="nil"/>
              <w:left w:val="nil"/>
              <w:bottom w:val="nil"/>
              <w:right w:val="single" w:sz="4" w:space="0" w:color="auto"/>
            </w:tcBorders>
            <w:shd w:val="clear" w:color="auto" w:fill="auto"/>
            <w:noWrap/>
            <w:hideMark/>
          </w:tcPr>
          <w:p w14:paraId="4B8BC290"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74%</w:t>
            </w:r>
          </w:p>
        </w:tc>
        <w:tc>
          <w:tcPr>
            <w:tcW w:w="595" w:type="dxa"/>
            <w:tcBorders>
              <w:top w:val="nil"/>
              <w:left w:val="single" w:sz="4" w:space="0" w:color="auto"/>
              <w:bottom w:val="nil"/>
              <w:right w:val="nil"/>
            </w:tcBorders>
            <w:shd w:val="clear" w:color="auto" w:fill="auto"/>
            <w:noWrap/>
            <w:hideMark/>
          </w:tcPr>
          <w:p w14:paraId="4BB3FC62"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21%</w:t>
            </w:r>
          </w:p>
        </w:tc>
        <w:tc>
          <w:tcPr>
            <w:tcW w:w="596" w:type="dxa"/>
            <w:tcBorders>
              <w:top w:val="nil"/>
              <w:left w:val="nil"/>
              <w:bottom w:val="nil"/>
              <w:right w:val="nil"/>
            </w:tcBorders>
            <w:shd w:val="clear" w:color="auto" w:fill="auto"/>
            <w:noWrap/>
            <w:hideMark/>
          </w:tcPr>
          <w:p w14:paraId="52E60EEC"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31%</w:t>
            </w:r>
          </w:p>
        </w:tc>
        <w:tc>
          <w:tcPr>
            <w:tcW w:w="595" w:type="dxa"/>
            <w:tcBorders>
              <w:top w:val="nil"/>
              <w:left w:val="nil"/>
              <w:bottom w:val="nil"/>
              <w:right w:val="single" w:sz="4" w:space="0" w:color="auto"/>
            </w:tcBorders>
            <w:shd w:val="clear" w:color="auto" w:fill="auto"/>
            <w:noWrap/>
            <w:hideMark/>
          </w:tcPr>
          <w:p w14:paraId="5ED74CF9"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23%</w:t>
            </w:r>
          </w:p>
        </w:tc>
        <w:tc>
          <w:tcPr>
            <w:tcW w:w="596" w:type="dxa"/>
            <w:tcBorders>
              <w:top w:val="nil"/>
              <w:left w:val="single" w:sz="4" w:space="0" w:color="auto"/>
              <w:bottom w:val="nil"/>
              <w:right w:val="nil"/>
            </w:tcBorders>
            <w:shd w:val="clear" w:color="auto" w:fill="auto"/>
            <w:noWrap/>
            <w:hideMark/>
          </w:tcPr>
          <w:p w14:paraId="04B0D31D"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4%</w:t>
            </w:r>
          </w:p>
        </w:tc>
        <w:tc>
          <w:tcPr>
            <w:tcW w:w="595" w:type="dxa"/>
            <w:tcBorders>
              <w:top w:val="nil"/>
              <w:left w:val="nil"/>
              <w:bottom w:val="nil"/>
              <w:right w:val="nil"/>
            </w:tcBorders>
            <w:shd w:val="clear" w:color="auto" w:fill="auto"/>
            <w:noWrap/>
            <w:hideMark/>
          </w:tcPr>
          <w:p w14:paraId="0E9FAD2B"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1.0%</w:t>
            </w:r>
          </w:p>
        </w:tc>
        <w:tc>
          <w:tcPr>
            <w:tcW w:w="596" w:type="dxa"/>
            <w:tcBorders>
              <w:top w:val="nil"/>
              <w:left w:val="nil"/>
              <w:bottom w:val="nil"/>
              <w:right w:val="single" w:sz="4" w:space="0" w:color="auto"/>
            </w:tcBorders>
            <w:shd w:val="clear" w:color="auto" w:fill="auto"/>
            <w:noWrap/>
            <w:hideMark/>
          </w:tcPr>
          <w:p w14:paraId="1EC315DA"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0.6%</w:t>
            </w:r>
          </w:p>
        </w:tc>
        <w:tc>
          <w:tcPr>
            <w:tcW w:w="595" w:type="dxa"/>
            <w:tcBorders>
              <w:top w:val="nil"/>
              <w:left w:val="single" w:sz="4" w:space="0" w:color="auto"/>
              <w:bottom w:val="nil"/>
              <w:right w:val="nil"/>
            </w:tcBorders>
            <w:shd w:val="clear" w:color="auto" w:fill="auto"/>
            <w:noWrap/>
            <w:hideMark/>
          </w:tcPr>
          <w:p w14:paraId="3D2A0DC2"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0.4%</w:t>
            </w:r>
          </w:p>
        </w:tc>
        <w:tc>
          <w:tcPr>
            <w:tcW w:w="596" w:type="dxa"/>
            <w:tcBorders>
              <w:top w:val="nil"/>
              <w:left w:val="nil"/>
              <w:bottom w:val="nil"/>
              <w:right w:val="nil"/>
            </w:tcBorders>
            <w:shd w:val="clear" w:color="auto" w:fill="auto"/>
            <w:noWrap/>
            <w:hideMark/>
          </w:tcPr>
          <w:p w14:paraId="115EA2D9"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1.2%</w:t>
            </w:r>
          </w:p>
        </w:tc>
        <w:tc>
          <w:tcPr>
            <w:tcW w:w="595" w:type="dxa"/>
            <w:tcBorders>
              <w:top w:val="nil"/>
              <w:left w:val="nil"/>
              <w:bottom w:val="nil"/>
              <w:right w:val="single" w:sz="4" w:space="0" w:color="auto"/>
            </w:tcBorders>
            <w:shd w:val="clear" w:color="auto" w:fill="auto"/>
            <w:noWrap/>
            <w:hideMark/>
          </w:tcPr>
          <w:p w14:paraId="769A0A5D"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3.2%</w:t>
            </w:r>
          </w:p>
        </w:tc>
        <w:tc>
          <w:tcPr>
            <w:tcW w:w="596" w:type="dxa"/>
            <w:tcBorders>
              <w:top w:val="nil"/>
              <w:left w:val="single" w:sz="4" w:space="0" w:color="auto"/>
              <w:bottom w:val="nil"/>
              <w:right w:val="nil"/>
            </w:tcBorders>
            <w:shd w:val="clear" w:color="auto" w:fill="auto"/>
            <w:noWrap/>
            <w:hideMark/>
          </w:tcPr>
          <w:p w14:paraId="0E8C8015"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0.3%</w:t>
            </w:r>
          </w:p>
        </w:tc>
        <w:tc>
          <w:tcPr>
            <w:tcW w:w="595" w:type="dxa"/>
            <w:tcBorders>
              <w:top w:val="nil"/>
              <w:left w:val="nil"/>
              <w:bottom w:val="nil"/>
              <w:right w:val="nil"/>
            </w:tcBorders>
            <w:shd w:val="clear" w:color="auto" w:fill="auto"/>
            <w:noWrap/>
            <w:hideMark/>
          </w:tcPr>
          <w:p w14:paraId="3F1A677E"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0.5%</w:t>
            </w:r>
          </w:p>
        </w:tc>
        <w:tc>
          <w:tcPr>
            <w:tcW w:w="596" w:type="dxa"/>
            <w:tcBorders>
              <w:top w:val="nil"/>
              <w:left w:val="nil"/>
              <w:bottom w:val="nil"/>
              <w:right w:val="nil"/>
            </w:tcBorders>
            <w:shd w:val="clear" w:color="auto" w:fill="auto"/>
            <w:noWrap/>
            <w:hideMark/>
          </w:tcPr>
          <w:p w14:paraId="730119A6"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1.0%</w:t>
            </w:r>
          </w:p>
        </w:tc>
      </w:tr>
      <w:tr w:rsidR="001455A9" w:rsidRPr="00A41687" w14:paraId="14DFCC52" w14:textId="77777777" w:rsidTr="00A41687">
        <w:trPr>
          <w:trHeight w:val="255"/>
        </w:trPr>
        <w:tc>
          <w:tcPr>
            <w:tcW w:w="1170" w:type="dxa"/>
            <w:tcBorders>
              <w:top w:val="nil"/>
              <w:left w:val="nil"/>
              <w:bottom w:val="nil"/>
              <w:right w:val="nil"/>
            </w:tcBorders>
            <w:shd w:val="clear" w:color="auto" w:fill="auto"/>
            <w:noWrap/>
            <w:vAlign w:val="bottom"/>
            <w:hideMark/>
          </w:tcPr>
          <w:p w14:paraId="55CB3822" w14:textId="77777777" w:rsidR="002C1168" w:rsidRPr="00A41687" w:rsidRDefault="002C1168" w:rsidP="002C1168">
            <w:pPr>
              <w:rPr>
                <w:rFonts w:ascii="Arial Narrow" w:hAnsi="Arial Narrow" w:cs="Arial"/>
                <w:sz w:val="20"/>
                <w:szCs w:val="20"/>
                <w:lang w:val="mn-MN" w:eastAsia="mn-MN"/>
              </w:rPr>
            </w:pPr>
            <w:r w:rsidRPr="00A41687">
              <w:rPr>
                <w:rFonts w:ascii="Arial Narrow" w:hAnsi="Arial Narrow" w:cs="Arial"/>
                <w:sz w:val="20"/>
                <w:szCs w:val="20"/>
                <w:lang w:val="mn-MN" w:eastAsia="mn-MN"/>
              </w:rPr>
              <w:t>Central</w:t>
            </w:r>
          </w:p>
        </w:tc>
        <w:tc>
          <w:tcPr>
            <w:tcW w:w="595" w:type="dxa"/>
            <w:tcBorders>
              <w:top w:val="nil"/>
              <w:left w:val="nil"/>
              <w:bottom w:val="nil"/>
              <w:right w:val="nil"/>
            </w:tcBorders>
            <w:shd w:val="clear" w:color="auto" w:fill="auto"/>
            <w:noWrap/>
            <w:hideMark/>
          </w:tcPr>
          <w:p w14:paraId="70355175"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25%</w:t>
            </w:r>
          </w:p>
        </w:tc>
        <w:tc>
          <w:tcPr>
            <w:tcW w:w="595" w:type="dxa"/>
            <w:tcBorders>
              <w:top w:val="nil"/>
              <w:left w:val="nil"/>
              <w:bottom w:val="nil"/>
              <w:right w:val="nil"/>
            </w:tcBorders>
            <w:shd w:val="clear" w:color="auto" w:fill="auto"/>
            <w:noWrap/>
            <w:hideMark/>
          </w:tcPr>
          <w:p w14:paraId="4882DEEE"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29%</w:t>
            </w:r>
          </w:p>
        </w:tc>
        <w:tc>
          <w:tcPr>
            <w:tcW w:w="596" w:type="dxa"/>
            <w:tcBorders>
              <w:top w:val="nil"/>
              <w:left w:val="nil"/>
              <w:bottom w:val="nil"/>
              <w:right w:val="single" w:sz="4" w:space="0" w:color="auto"/>
            </w:tcBorders>
            <w:shd w:val="clear" w:color="auto" w:fill="auto"/>
            <w:noWrap/>
            <w:hideMark/>
          </w:tcPr>
          <w:p w14:paraId="5FAF19D0"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60%</w:t>
            </w:r>
          </w:p>
        </w:tc>
        <w:tc>
          <w:tcPr>
            <w:tcW w:w="595" w:type="dxa"/>
            <w:tcBorders>
              <w:top w:val="nil"/>
              <w:left w:val="single" w:sz="4" w:space="0" w:color="auto"/>
              <w:bottom w:val="nil"/>
              <w:right w:val="nil"/>
            </w:tcBorders>
            <w:shd w:val="clear" w:color="auto" w:fill="auto"/>
            <w:noWrap/>
            <w:hideMark/>
          </w:tcPr>
          <w:p w14:paraId="5B7E3A18"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13%</w:t>
            </w:r>
          </w:p>
        </w:tc>
        <w:tc>
          <w:tcPr>
            <w:tcW w:w="596" w:type="dxa"/>
            <w:tcBorders>
              <w:top w:val="nil"/>
              <w:left w:val="nil"/>
              <w:bottom w:val="nil"/>
              <w:right w:val="nil"/>
            </w:tcBorders>
            <w:shd w:val="clear" w:color="auto" w:fill="auto"/>
            <w:noWrap/>
            <w:hideMark/>
          </w:tcPr>
          <w:p w14:paraId="14879C63"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18%</w:t>
            </w:r>
          </w:p>
        </w:tc>
        <w:tc>
          <w:tcPr>
            <w:tcW w:w="595" w:type="dxa"/>
            <w:tcBorders>
              <w:top w:val="nil"/>
              <w:left w:val="nil"/>
              <w:bottom w:val="nil"/>
              <w:right w:val="single" w:sz="4" w:space="0" w:color="auto"/>
            </w:tcBorders>
            <w:shd w:val="clear" w:color="auto" w:fill="auto"/>
            <w:noWrap/>
            <w:hideMark/>
          </w:tcPr>
          <w:p w14:paraId="31874A7F"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19%</w:t>
            </w:r>
          </w:p>
        </w:tc>
        <w:tc>
          <w:tcPr>
            <w:tcW w:w="596" w:type="dxa"/>
            <w:tcBorders>
              <w:top w:val="nil"/>
              <w:left w:val="single" w:sz="4" w:space="0" w:color="auto"/>
              <w:bottom w:val="nil"/>
              <w:right w:val="nil"/>
            </w:tcBorders>
            <w:shd w:val="clear" w:color="auto" w:fill="auto"/>
            <w:noWrap/>
            <w:hideMark/>
          </w:tcPr>
          <w:p w14:paraId="2E41BD62"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w:t>
            </w:r>
          </w:p>
        </w:tc>
        <w:tc>
          <w:tcPr>
            <w:tcW w:w="595" w:type="dxa"/>
            <w:tcBorders>
              <w:top w:val="nil"/>
              <w:left w:val="nil"/>
              <w:bottom w:val="nil"/>
              <w:right w:val="nil"/>
            </w:tcBorders>
            <w:shd w:val="clear" w:color="auto" w:fill="auto"/>
            <w:noWrap/>
            <w:hideMark/>
          </w:tcPr>
          <w:p w14:paraId="2B0B2AE0"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0.6%</w:t>
            </w:r>
          </w:p>
        </w:tc>
        <w:tc>
          <w:tcPr>
            <w:tcW w:w="596" w:type="dxa"/>
            <w:tcBorders>
              <w:top w:val="nil"/>
              <w:left w:val="nil"/>
              <w:bottom w:val="nil"/>
              <w:right w:val="single" w:sz="4" w:space="0" w:color="auto"/>
            </w:tcBorders>
            <w:shd w:val="clear" w:color="auto" w:fill="auto"/>
            <w:noWrap/>
            <w:hideMark/>
          </w:tcPr>
          <w:p w14:paraId="667897C8"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0.5%</w:t>
            </w:r>
          </w:p>
        </w:tc>
        <w:tc>
          <w:tcPr>
            <w:tcW w:w="595" w:type="dxa"/>
            <w:tcBorders>
              <w:top w:val="nil"/>
              <w:left w:val="single" w:sz="4" w:space="0" w:color="auto"/>
              <w:bottom w:val="nil"/>
              <w:right w:val="nil"/>
            </w:tcBorders>
            <w:shd w:val="clear" w:color="auto" w:fill="auto"/>
            <w:noWrap/>
            <w:hideMark/>
          </w:tcPr>
          <w:p w14:paraId="3B63CDA4"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0.3%</w:t>
            </w:r>
          </w:p>
        </w:tc>
        <w:tc>
          <w:tcPr>
            <w:tcW w:w="596" w:type="dxa"/>
            <w:tcBorders>
              <w:top w:val="nil"/>
              <w:left w:val="nil"/>
              <w:bottom w:val="nil"/>
              <w:right w:val="nil"/>
            </w:tcBorders>
            <w:shd w:val="clear" w:color="auto" w:fill="auto"/>
            <w:noWrap/>
            <w:hideMark/>
          </w:tcPr>
          <w:p w14:paraId="7ED4DB53"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0.7%</w:t>
            </w:r>
          </w:p>
        </w:tc>
        <w:tc>
          <w:tcPr>
            <w:tcW w:w="595" w:type="dxa"/>
            <w:tcBorders>
              <w:top w:val="nil"/>
              <w:left w:val="nil"/>
              <w:bottom w:val="nil"/>
              <w:right w:val="single" w:sz="4" w:space="0" w:color="auto"/>
            </w:tcBorders>
            <w:shd w:val="clear" w:color="auto" w:fill="auto"/>
            <w:noWrap/>
            <w:hideMark/>
          </w:tcPr>
          <w:p w14:paraId="46EEFBAF"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2.6%</w:t>
            </w:r>
          </w:p>
        </w:tc>
        <w:tc>
          <w:tcPr>
            <w:tcW w:w="596" w:type="dxa"/>
            <w:tcBorders>
              <w:top w:val="nil"/>
              <w:left w:val="single" w:sz="4" w:space="0" w:color="auto"/>
              <w:bottom w:val="nil"/>
              <w:right w:val="nil"/>
            </w:tcBorders>
            <w:shd w:val="clear" w:color="auto" w:fill="auto"/>
            <w:noWrap/>
            <w:hideMark/>
          </w:tcPr>
          <w:p w14:paraId="593A3E37"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0.2%</w:t>
            </w:r>
          </w:p>
        </w:tc>
        <w:tc>
          <w:tcPr>
            <w:tcW w:w="595" w:type="dxa"/>
            <w:tcBorders>
              <w:top w:val="nil"/>
              <w:left w:val="nil"/>
              <w:bottom w:val="nil"/>
              <w:right w:val="nil"/>
            </w:tcBorders>
            <w:shd w:val="clear" w:color="auto" w:fill="auto"/>
            <w:noWrap/>
            <w:hideMark/>
          </w:tcPr>
          <w:p w14:paraId="2A71B56C"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0.3%</w:t>
            </w:r>
          </w:p>
        </w:tc>
        <w:tc>
          <w:tcPr>
            <w:tcW w:w="596" w:type="dxa"/>
            <w:tcBorders>
              <w:top w:val="nil"/>
              <w:left w:val="nil"/>
              <w:bottom w:val="nil"/>
              <w:right w:val="nil"/>
            </w:tcBorders>
            <w:shd w:val="clear" w:color="auto" w:fill="auto"/>
            <w:noWrap/>
            <w:hideMark/>
          </w:tcPr>
          <w:p w14:paraId="6749CA39"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0.8%</w:t>
            </w:r>
          </w:p>
        </w:tc>
      </w:tr>
      <w:tr w:rsidR="001455A9" w:rsidRPr="00A41687" w14:paraId="478EC995" w14:textId="77777777" w:rsidTr="00A41687">
        <w:trPr>
          <w:trHeight w:val="255"/>
        </w:trPr>
        <w:tc>
          <w:tcPr>
            <w:tcW w:w="1170" w:type="dxa"/>
            <w:tcBorders>
              <w:top w:val="nil"/>
              <w:left w:val="nil"/>
              <w:bottom w:val="nil"/>
              <w:right w:val="nil"/>
            </w:tcBorders>
            <w:shd w:val="clear" w:color="auto" w:fill="auto"/>
            <w:noWrap/>
            <w:vAlign w:val="bottom"/>
            <w:hideMark/>
          </w:tcPr>
          <w:p w14:paraId="68AE1092" w14:textId="77777777" w:rsidR="002C1168" w:rsidRPr="00A41687" w:rsidRDefault="002C1168" w:rsidP="002C1168">
            <w:pPr>
              <w:rPr>
                <w:rFonts w:ascii="Arial Narrow" w:hAnsi="Arial Narrow" w:cs="Arial"/>
                <w:sz w:val="20"/>
                <w:szCs w:val="20"/>
                <w:lang w:val="mn-MN" w:eastAsia="mn-MN"/>
              </w:rPr>
            </w:pPr>
            <w:r w:rsidRPr="00A41687">
              <w:rPr>
                <w:rFonts w:ascii="Arial Narrow" w:hAnsi="Arial Narrow" w:cs="Arial"/>
                <w:sz w:val="20"/>
                <w:szCs w:val="20"/>
                <w:lang w:val="mn-MN" w:eastAsia="mn-MN"/>
              </w:rPr>
              <w:t>East</w:t>
            </w:r>
          </w:p>
        </w:tc>
        <w:tc>
          <w:tcPr>
            <w:tcW w:w="595" w:type="dxa"/>
            <w:tcBorders>
              <w:top w:val="nil"/>
              <w:left w:val="nil"/>
              <w:bottom w:val="nil"/>
              <w:right w:val="nil"/>
            </w:tcBorders>
            <w:shd w:val="clear" w:color="auto" w:fill="auto"/>
            <w:noWrap/>
            <w:hideMark/>
          </w:tcPr>
          <w:p w14:paraId="78BEA660"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33%</w:t>
            </w:r>
          </w:p>
        </w:tc>
        <w:tc>
          <w:tcPr>
            <w:tcW w:w="595" w:type="dxa"/>
            <w:tcBorders>
              <w:top w:val="nil"/>
              <w:left w:val="nil"/>
              <w:bottom w:val="nil"/>
              <w:right w:val="nil"/>
            </w:tcBorders>
            <w:shd w:val="clear" w:color="auto" w:fill="auto"/>
            <w:noWrap/>
            <w:hideMark/>
          </w:tcPr>
          <w:p w14:paraId="45019BF3"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45%</w:t>
            </w:r>
          </w:p>
        </w:tc>
        <w:tc>
          <w:tcPr>
            <w:tcW w:w="596" w:type="dxa"/>
            <w:tcBorders>
              <w:top w:val="nil"/>
              <w:left w:val="nil"/>
              <w:bottom w:val="nil"/>
              <w:right w:val="single" w:sz="4" w:space="0" w:color="auto"/>
            </w:tcBorders>
            <w:shd w:val="clear" w:color="auto" w:fill="auto"/>
            <w:noWrap/>
            <w:hideMark/>
          </w:tcPr>
          <w:p w14:paraId="69C8827B"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66%</w:t>
            </w:r>
          </w:p>
        </w:tc>
        <w:tc>
          <w:tcPr>
            <w:tcW w:w="595" w:type="dxa"/>
            <w:tcBorders>
              <w:top w:val="nil"/>
              <w:left w:val="single" w:sz="4" w:space="0" w:color="auto"/>
              <w:bottom w:val="nil"/>
              <w:right w:val="nil"/>
            </w:tcBorders>
            <w:shd w:val="clear" w:color="auto" w:fill="auto"/>
            <w:noWrap/>
            <w:hideMark/>
          </w:tcPr>
          <w:p w14:paraId="4C429448"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18%</w:t>
            </w:r>
          </w:p>
        </w:tc>
        <w:tc>
          <w:tcPr>
            <w:tcW w:w="596" w:type="dxa"/>
            <w:tcBorders>
              <w:top w:val="nil"/>
              <w:left w:val="nil"/>
              <w:bottom w:val="nil"/>
              <w:right w:val="nil"/>
            </w:tcBorders>
            <w:shd w:val="clear" w:color="auto" w:fill="auto"/>
            <w:noWrap/>
            <w:hideMark/>
          </w:tcPr>
          <w:p w14:paraId="313F61B4"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28%</w:t>
            </w:r>
          </w:p>
        </w:tc>
        <w:tc>
          <w:tcPr>
            <w:tcW w:w="595" w:type="dxa"/>
            <w:tcBorders>
              <w:top w:val="nil"/>
              <w:left w:val="nil"/>
              <w:bottom w:val="nil"/>
              <w:right w:val="single" w:sz="4" w:space="0" w:color="auto"/>
            </w:tcBorders>
            <w:shd w:val="clear" w:color="auto" w:fill="auto"/>
            <w:noWrap/>
            <w:hideMark/>
          </w:tcPr>
          <w:p w14:paraId="6793FE2B"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21%</w:t>
            </w:r>
          </w:p>
        </w:tc>
        <w:tc>
          <w:tcPr>
            <w:tcW w:w="596" w:type="dxa"/>
            <w:tcBorders>
              <w:top w:val="nil"/>
              <w:left w:val="single" w:sz="4" w:space="0" w:color="auto"/>
              <w:bottom w:val="nil"/>
              <w:right w:val="nil"/>
            </w:tcBorders>
            <w:shd w:val="clear" w:color="auto" w:fill="auto"/>
            <w:noWrap/>
            <w:hideMark/>
          </w:tcPr>
          <w:p w14:paraId="338AB846"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3%</w:t>
            </w:r>
          </w:p>
        </w:tc>
        <w:tc>
          <w:tcPr>
            <w:tcW w:w="595" w:type="dxa"/>
            <w:tcBorders>
              <w:top w:val="nil"/>
              <w:left w:val="nil"/>
              <w:bottom w:val="nil"/>
              <w:right w:val="nil"/>
            </w:tcBorders>
            <w:shd w:val="clear" w:color="auto" w:fill="auto"/>
            <w:noWrap/>
            <w:hideMark/>
          </w:tcPr>
          <w:p w14:paraId="6BCC2A8C"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0.9%</w:t>
            </w:r>
          </w:p>
        </w:tc>
        <w:tc>
          <w:tcPr>
            <w:tcW w:w="596" w:type="dxa"/>
            <w:tcBorders>
              <w:top w:val="nil"/>
              <w:left w:val="nil"/>
              <w:bottom w:val="nil"/>
              <w:right w:val="single" w:sz="4" w:space="0" w:color="auto"/>
            </w:tcBorders>
            <w:shd w:val="clear" w:color="auto" w:fill="auto"/>
            <w:noWrap/>
            <w:hideMark/>
          </w:tcPr>
          <w:p w14:paraId="128923E4"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0.5%</w:t>
            </w:r>
          </w:p>
        </w:tc>
        <w:tc>
          <w:tcPr>
            <w:tcW w:w="595" w:type="dxa"/>
            <w:tcBorders>
              <w:top w:val="nil"/>
              <w:left w:val="single" w:sz="4" w:space="0" w:color="auto"/>
              <w:bottom w:val="nil"/>
              <w:right w:val="nil"/>
            </w:tcBorders>
            <w:shd w:val="clear" w:color="auto" w:fill="auto"/>
            <w:noWrap/>
            <w:hideMark/>
          </w:tcPr>
          <w:p w14:paraId="32328C04"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0.3%</w:t>
            </w:r>
          </w:p>
        </w:tc>
        <w:tc>
          <w:tcPr>
            <w:tcW w:w="596" w:type="dxa"/>
            <w:tcBorders>
              <w:top w:val="nil"/>
              <w:left w:val="nil"/>
              <w:bottom w:val="nil"/>
              <w:right w:val="nil"/>
            </w:tcBorders>
            <w:shd w:val="clear" w:color="auto" w:fill="auto"/>
            <w:noWrap/>
            <w:hideMark/>
          </w:tcPr>
          <w:p w14:paraId="5832330B"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1.1%</w:t>
            </w:r>
          </w:p>
        </w:tc>
        <w:tc>
          <w:tcPr>
            <w:tcW w:w="595" w:type="dxa"/>
            <w:tcBorders>
              <w:top w:val="nil"/>
              <w:left w:val="nil"/>
              <w:bottom w:val="nil"/>
              <w:right w:val="single" w:sz="4" w:space="0" w:color="auto"/>
            </w:tcBorders>
            <w:shd w:val="clear" w:color="auto" w:fill="auto"/>
            <w:noWrap/>
            <w:hideMark/>
          </w:tcPr>
          <w:p w14:paraId="18DD12AD"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2.8%</w:t>
            </w:r>
          </w:p>
        </w:tc>
        <w:tc>
          <w:tcPr>
            <w:tcW w:w="596" w:type="dxa"/>
            <w:tcBorders>
              <w:top w:val="nil"/>
              <w:left w:val="single" w:sz="4" w:space="0" w:color="auto"/>
              <w:bottom w:val="nil"/>
              <w:right w:val="nil"/>
            </w:tcBorders>
            <w:shd w:val="clear" w:color="auto" w:fill="auto"/>
            <w:noWrap/>
            <w:hideMark/>
          </w:tcPr>
          <w:p w14:paraId="74223CFA"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0.3%</w:t>
            </w:r>
          </w:p>
        </w:tc>
        <w:tc>
          <w:tcPr>
            <w:tcW w:w="595" w:type="dxa"/>
            <w:tcBorders>
              <w:top w:val="nil"/>
              <w:left w:val="nil"/>
              <w:bottom w:val="nil"/>
              <w:right w:val="nil"/>
            </w:tcBorders>
            <w:shd w:val="clear" w:color="auto" w:fill="auto"/>
            <w:noWrap/>
            <w:hideMark/>
          </w:tcPr>
          <w:p w14:paraId="608A439F"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0.4%</w:t>
            </w:r>
          </w:p>
        </w:tc>
        <w:tc>
          <w:tcPr>
            <w:tcW w:w="596" w:type="dxa"/>
            <w:tcBorders>
              <w:top w:val="nil"/>
              <w:left w:val="nil"/>
              <w:bottom w:val="nil"/>
              <w:right w:val="nil"/>
            </w:tcBorders>
            <w:shd w:val="clear" w:color="auto" w:fill="auto"/>
            <w:noWrap/>
            <w:hideMark/>
          </w:tcPr>
          <w:p w14:paraId="33510DE5"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0.9%</w:t>
            </w:r>
          </w:p>
        </w:tc>
      </w:tr>
      <w:tr w:rsidR="001455A9" w:rsidRPr="00A41687" w14:paraId="169E402B" w14:textId="77777777" w:rsidTr="00A41687">
        <w:trPr>
          <w:trHeight w:val="255"/>
        </w:trPr>
        <w:tc>
          <w:tcPr>
            <w:tcW w:w="1170" w:type="dxa"/>
            <w:tcBorders>
              <w:top w:val="nil"/>
              <w:left w:val="nil"/>
              <w:bottom w:val="single" w:sz="4" w:space="0" w:color="auto"/>
              <w:right w:val="nil"/>
            </w:tcBorders>
            <w:shd w:val="clear" w:color="auto" w:fill="auto"/>
            <w:noWrap/>
            <w:vAlign w:val="bottom"/>
            <w:hideMark/>
          </w:tcPr>
          <w:p w14:paraId="4BD8263B" w14:textId="77777777" w:rsidR="002C1168" w:rsidRPr="00A41687" w:rsidRDefault="002C1168" w:rsidP="002C1168">
            <w:pPr>
              <w:rPr>
                <w:rFonts w:ascii="Arial Narrow" w:hAnsi="Arial Narrow" w:cs="Arial"/>
                <w:sz w:val="20"/>
                <w:szCs w:val="20"/>
                <w:lang w:val="mn-MN" w:eastAsia="mn-MN"/>
              </w:rPr>
            </w:pPr>
            <w:r w:rsidRPr="00A41687">
              <w:rPr>
                <w:rFonts w:ascii="Arial Narrow" w:hAnsi="Arial Narrow" w:cs="Arial"/>
                <w:sz w:val="20"/>
                <w:szCs w:val="20"/>
                <w:lang w:val="mn-MN" w:eastAsia="mn-MN"/>
              </w:rPr>
              <w:t>Ulaanbaatar</w:t>
            </w:r>
          </w:p>
        </w:tc>
        <w:tc>
          <w:tcPr>
            <w:tcW w:w="595" w:type="dxa"/>
            <w:tcBorders>
              <w:top w:val="nil"/>
              <w:left w:val="nil"/>
              <w:bottom w:val="single" w:sz="4" w:space="0" w:color="auto"/>
              <w:right w:val="nil"/>
            </w:tcBorders>
            <w:shd w:val="clear" w:color="auto" w:fill="auto"/>
            <w:noWrap/>
            <w:hideMark/>
          </w:tcPr>
          <w:p w14:paraId="3E3F7BC0"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32%</w:t>
            </w:r>
          </w:p>
        </w:tc>
        <w:tc>
          <w:tcPr>
            <w:tcW w:w="595" w:type="dxa"/>
            <w:tcBorders>
              <w:top w:val="nil"/>
              <w:left w:val="nil"/>
              <w:bottom w:val="single" w:sz="4" w:space="0" w:color="auto"/>
              <w:right w:val="nil"/>
            </w:tcBorders>
            <w:shd w:val="clear" w:color="auto" w:fill="auto"/>
            <w:noWrap/>
            <w:hideMark/>
          </w:tcPr>
          <w:p w14:paraId="247B582F"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37%</w:t>
            </w:r>
          </w:p>
        </w:tc>
        <w:tc>
          <w:tcPr>
            <w:tcW w:w="596" w:type="dxa"/>
            <w:tcBorders>
              <w:top w:val="nil"/>
              <w:left w:val="nil"/>
              <w:bottom w:val="single" w:sz="4" w:space="0" w:color="auto"/>
              <w:right w:val="single" w:sz="4" w:space="0" w:color="auto"/>
            </w:tcBorders>
            <w:shd w:val="clear" w:color="auto" w:fill="auto"/>
            <w:noWrap/>
            <w:hideMark/>
          </w:tcPr>
          <w:p w14:paraId="2AF2B7FA"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50%</w:t>
            </w:r>
          </w:p>
        </w:tc>
        <w:tc>
          <w:tcPr>
            <w:tcW w:w="595" w:type="dxa"/>
            <w:tcBorders>
              <w:top w:val="nil"/>
              <w:left w:val="single" w:sz="4" w:space="0" w:color="auto"/>
              <w:bottom w:val="single" w:sz="4" w:space="0" w:color="auto"/>
              <w:right w:val="nil"/>
            </w:tcBorders>
            <w:shd w:val="clear" w:color="auto" w:fill="auto"/>
            <w:noWrap/>
            <w:hideMark/>
          </w:tcPr>
          <w:p w14:paraId="3C88AE70"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17%</w:t>
            </w:r>
          </w:p>
        </w:tc>
        <w:tc>
          <w:tcPr>
            <w:tcW w:w="596" w:type="dxa"/>
            <w:tcBorders>
              <w:top w:val="nil"/>
              <w:left w:val="nil"/>
              <w:bottom w:val="single" w:sz="4" w:space="0" w:color="auto"/>
              <w:right w:val="nil"/>
            </w:tcBorders>
            <w:shd w:val="clear" w:color="auto" w:fill="auto"/>
            <w:noWrap/>
            <w:hideMark/>
          </w:tcPr>
          <w:p w14:paraId="6298D680"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23%</w:t>
            </w:r>
          </w:p>
        </w:tc>
        <w:tc>
          <w:tcPr>
            <w:tcW w:w="595" w:type="dxa"/>
            <w:tcBorders>
              <w:top w:val="nil"/>
              <w:left w:val="nil"/>
              <w:bottom w:val="single" w:sz="4" w:space="0" w:color="auto"/>
              <w:right w:val="single" w:sz="4" w:space="0" w:color="auto"/>
            </w:tcBorders>
            <w:shd w:val="clear" w:color="auto" w:fill="auto"/>
            <w:noWrap/>
            <w:hideMark/>
          </w:tcPr>
          <w:p w14:paraId="1C69E836"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16%</w:t>
            </w:r>
          </w:p>
        </w:tc>
        <w:tc>
          <w:tcPr>
            <w:tcW w:w="596" w:type="dxa"/>
            <w:tcBorders>
              <w:top w:val="nil"/>
              <w:left w:val="single" w:sz="4" w:space="0" w:color="auto"/>
              <w:bottom w:val="single" w:sz="4" w:space="0" w:color="auto"/>
              <w:right w:val="nil"/>
            </w:tcBorders>
            <w:shd w:val="clear" w:color="auto" w:fill="auto"/>
            <w:noWrap/>
            <w:hideMark/>
          </w:tcPr>
          <w:p w14:paraId="25FE0ED3"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3%</w:t>
            </w:r>
          </w:p>
        </w:tc>
        <w:tc>
          <w:tcPr>
            <w:tcW w:w="595" w:type="dxa"/>
            <w:tcBorders>
              <w:top w:val="nil"/>
              <w:left w:val="nil"/>
              <w:bottom w:val="single" w:sz="4" w:space="0" w:color="auto"/>
              <w:right w:val="nil"/>
            </w:tcBorders>
            <w:shd w:val="clear" w:color="auto" w:fill="auto"/>
            <w:noWrap/>
            <w:hideMark/>
          </w:tcPr>
          <w:p w14:paraId="1E8B78C4"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0.8%</w:t>
            </w:r>
          </w:p>
        </w:tc>
        <w:tc>
          <w:tcPr>
            <w:tcW w:w="596" w:type="dxa"/>
            <w:tcBorders>
              <w:top w:val="nil"/>
              <w:left w:val="nil"/>
              <w:bottom w:val="single" w:sz="4" w:space="0" w:color="auto"/>
              <w:right w:val="single" w:sz="4" w:space="0" w:color="auto"/>
            </w:tcBorders>
            <w:shd w:val="clear" w:color="auto" w:fill="auto"/>
            <w:noWrap/>
            <w:hideMark/>
          </w:tcPr>
          <w:p w14:paraId="67A4AEF3"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0.4%</w:t>
            </w:r>
          </w:p>
        </w:tc>
        <w:tc>
          <w:tcPr>
            <w:tcW w:w="595" w:type="dxa"/>
            <w:tcBorders>
              <w:top w:val="nil"/>
              <w:left w:val="single" w:sz="4" w:space="0" w:color="auto"/>
              <w:bottom w:val="single" w:sz="4" w:space="0" w:color="auto"/>
              <w:right w:val="nil"/>
            </w:tcBorders>
            <w:shd w:val="clear" w:color="auto" w:fill="auto"/>
            <w:noWrap/>
            <w:hideMark/>
          </w:tcPr>
          <w:p w14:paraId="33D87F83"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0.3%</w:t>
            </w:r>
          </w:p>
        </w:tc>
        <w:tc>
          <w:tcPr>
            <w:tcW w:w="596" w:type="dxa"/>
            <w:tcBorders>
              <w:top w:val="nil"/>
              <w:left w:val="nil"/>
              <w:bottom w:val="single" w:sz="4" w:space="0" w:color="auto"/>
              <w:right w:val="nil"/>
            </w:tcBorders>
            <w:shd w:val="clear" w:color="auto" w:fill="auto"/>
            <w:noWrap/>
            <w:hideMark/>
          </w:tcPr>
          <w:p w14:paraId="13A09943"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0.9%</w:t>
            </w:r>
          </w:p>
        </w:tc>
        <w:tc>
          <w:tcPr>
            <w:tcW w:w="595" w:type="dxa"/>
            <w:tcBorders>
              <w:top w:val="nil"/>
              <w:left w:val="nil"/>
              <w:bottom w:val="single" w:sz="4" w:space="0" w:color="auto"/>
              <w:right w:val="single" w:sz="4" w:space="0" w:color="auto"/>
            </w:tcBorders>
            <w:shd w:val="clear" w:color="auto" w:fill="auto"/>
            <w:noWrap/>
            <w:hideMark/>
          </w:tcPr>
          <w:p w14:paraId="13245C8F"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2.2%</w:t>
            </w:r>
          </w:p>
        </w:tc>
        <w:tc>
          <w:tcPr>
            <w:tcW w:w="596" w:type="dxa"/>
            <w:tcBorders>
              <w:top w:val="nil"/>
              <w:left w:val="single" w:sz="4" w:space="0" w:color="auto"/>
              <w:bottom w:val="single" w:sz="4" w:space="0" w:color="auto"/>
              <w:right w:val="nil"/>
            </w:tcBorders>
            <w:shd w:val="clear" w:color="auto" w:fill="auto"/>
            <w:noWrap/>
            <w:hideMark/>
          </w:tcPr>
          <w:p w14:paraId="74FF9CC8"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0.2%</w:t>
            </w:r>
          </w:p>
        </w:tc>
        <w:tc>
          <w:tcPr>
            <w:tcW w:w="595" w:type="dxa"/>
            <w:tcBorders>
              <w:top w:val="nil"/>
              <w:left w:val="nil"/>
              <w:bottom w:val="single" w:sz="4" w:space="0" w:color="auto"/>
              <w:right w:val="nil"/>
            </w:tcBorders>
            <w:shd w:val="clear" w:color="auto" w:fill="auto"/>
            <w:noWrap/>
            <w:hideMark/>
          </w:tcPr>
          <w:p w14:paraId="0D2EA5C3"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0.4%</w:t>
            </w:r>
          </w:p>
        </w:tc>
        <w:tc>
          <w:tcPr>
            <w:tcW w:w="596" w:type="dxa"/>
            <w:tcBorders>
              <w:top w:val="nil"/>
              <w:left w:val="nil"/>
              <w:bottom w:val="single" w:sz="4" w:space="0" w:color="auto"/>
              <w:right w:val="nil"/>
            </w:tcBorders>
            <w:shd w:val="clear" w:color="auto" w:fill="auto"/>
            <w:noWrap/>
            <w:hideMark/>
          </w:tcPr>
          <w:p w14:paraId="5199DC1E"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0.7%</w:t>
            </w:r>
          </w:p>
        </w:tc>
      </w:tr>
      <w:tr w:rsidR="001455A9" w:rsidRPr="00A41687" w14:paraId="0C559877" w14:textId="77777777" w:rsidTr="00A41687">
        <w:trPr>
          <w:trHeight w:val="255"/>
        </w:trPr>
        <w:tc>
          <w:tcPr>
            <w:tcW w:w="1170" w:type="dxa"/>
            <w:tcBorders>
              <w:top w:val="single" w:sz="4" w:space="0" w:color="auto"/>
              <w:left w:val="nil"/>
              <w:bottom w:val="single" w:sz="4" w:space="0" w:color="auto"/>
              <w:right w:val="nil"/>
            </w:tcBorders>
            <w:shd w:val="clear" w:color="auto" w:fill="auto"/>
            <w:noWrap/>
            <w:vAlign w:val="bottom"/>
            <w:hideMark/>
          </w:tcPr>
          <w:p w14:paraId="50108038" w14:textId="77777777" w:rsidR="002C1168" w:rsidRPr="00A41687" w:rsidRDefault="002C1168" w:rsidP="002C1168">
            <w:pPr>
              <w:rPr>
                <w:rFonts w:ascii="Arial Narrow" w:hAnsi="Arial Narrow" w:cs="Arial"/>
                <w:sz w:val="20"/>
                <w:szCs w:val="20"/>
                <w:lang w:val="mn-MN" w:eastAsia="mn-MN"/>
              </w:rPr>
            </w:pPr>
            <w:r w:rsidRPr="00A41687">
              <w:rPr>
                <w:rFonts w:ascii="Arial Narrow" w:hAnsi="Arial Narrow" w:cs="Arial"/>
                <w:sz w:val="20"/>
                <w:szCs w:val="20"/>
                <w:lang w:val="mn-MN" w:eastAsia="mn-MN"/>
              </w:rPr>
              <w:t>Total</w:t>
            </w:r>
          </w:p>
        </w:tc>
        <w:tc>
          <w:tcPr>
            <w:tcW w:w="595" w:type="dxa"/>
            <w:tcBorders>
              <w:top w:val="single" w:sz="4" w:space="0" w:color="auto"/>
              <w:left w:val="nil"/>
              <w:bottom w:val="single" w:sz="4" w:space="0" w:color="auto"/>
              <w:right w:val="nil"/>
            </w:tcBorders>
            <w:shd w:val="clear" w:color="auto" w:fill="auto"/>
            <w:noWrap/>
            <w:hideMark/>
          </w:tcPr>
          <w:p w14:paraId="2413D2F1"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34%</w:t>
            </w:r>
          </w:p>
        </w:tc>
        <w:tc>
          <w:tcPr>
            <w:tcW w:w="595" w:type="dxa"/>
            <w:tcBorders>
              <w:top w:val="single" w:sz="4" w:space="0" w:color="auto"/>
              <w:left w:val="nil"/>
              <w:bottom w:val="single" w:sz="4" w:space="0" w:color="auto"/>
              <w:right w:val="nil"/>
            </w:tcBorders>
            <w:shd w:val="clear" w:color="auto" w:fill="auto"/>
            <w:noWrap/>
            <w:hideMark/>
          </w:tcPr>
          <w:p w14:paraId="27901EED"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40%</w:t>
            </w:r>
          </w:p>
        </w:tc>
        <w:tc>
          <w:tcPr>
            <w:tcW w:w="596" w:type="dxa"/>
            <w:tcBorders>
              <w:top w:val="single" w:sz="4" w:space="0" w:color="auto"/>
              <w:left w:val="nil"/>
              <w:bottom w:val="single" w:sz="4" w:space="0" w:color="auto"/>
              <w:right w:val="single" w:sz="4" w:space="0" w:color="auto"/>
            </w:tcBorders>
            <w:shd w:val="clear" w:color="auto" w:fill="auto"/>
            <w:noWrap/>
            <w:hideMark/>
          </w:tcPr>
          <w:p w14:paraId="5EFF267D"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59%</w:t>
            </w:r>
          </w:p>
        </w:tc>
        <w:tc>
          <w:tcPr>
            <w:tcW w:w="595" w:type="dxa"/>
            <w:tcBorders>
              <w:top w:val="single" w:sz="4" w:space="0" w:color="auto"/>
              <w:left w:val="single" w:sz="4" w:space="0" w:color="auto"/>
              <w:bottom w:val="single" w:sz="4" w:space="0" w:color="auto"/>
              <w:right w:val="nil"/>
            </w:tcBorders>
            <w:shd w:val="clear" w:color="auto" w:fill="auto"/>
            <w:noWrap/>
            <w:hideMark/>
          </w:tcPr>
          <w:p w14:paraId="7D7472AE"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18%</w:t>
            </w:r>
          </w:p>
        </w:tc>
        <w:tc>
          <w:tcPr>
            <w:tcW w:w="596" w:type="dxa"/>
            <w:tcBorders>
              <w:top w:val="single" w:sz="4" w:space="0" w:color="auto"/>
              <w:left w:val="nil"/>
              <w:bottom w:val="single" w:sz="4" w:space="0" w:color="auto"/>
              <w:right w:val="nil"/>
            </w:tcBorders>
            <w:shd w:val="clear" w:color="auto" w:fill="auto"/>
            <w:noWrap/>
            <w:hideMark/>
          </w:tcPr>
          <w:p w14:paraId="77608547"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25%</w:t>
            </w:r>
          </w:p>
        </w:tc>
        <w:tc>
          <w:tcPr>
            <w:tcW w:w="595" w:type="dxa"/>
            <w:tcBorders>
              <w:top w:val="single" w:sz="4" w:space="0" w:color="auto"/>
              <w:left w:val="nil"/>
              <w:bottom w:val="single" w:sz="4" w:space="0" w:color="auto"/>
              <w:right w:val="single" w:sz="4" w:space="0" w:color="auto"/>
            </w:tcBorders>
            <w:shd w:val="clear" w:color="auto" w:fill="auto"/>
            <w:noWrap/>
            <w:hideMark/>
          </w:tcPr>
          <w:p w14:paraId="4CE5EF9A"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19%</w:t>
            </w:r>
          </w:p>
        </w:tc>
        <w:tc>
          <w:tcPr>
            <w:tcW w:w="596" w:type="dxa"/>
            <w:tcBorders>
              <w:top w:val="single" w:sz="4" w:space="0" w:color="auto"/>
              <w:left w:val="single" w:sz="4" w:space="0" w:color="auto"/>
              <w:bottom w:val="single" w:sz="4" w:space="0" w:color="auto"/>
              <w:right w:val="nil"/>
            </w:tcBorders>
            <w:shd w:val="clear" w:color="auto" w:fill="auto"/>
            <w:noWrap/>
            <w:hideMark/>
          </w:tcPr>
          <w:p w14:paraId="2C25B5B2"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3%</w:t>
            </w:r>
          </w:p>
        </w:tc>
        <w:tc>
          <w:tcPr>
            <w:tcW w:w="595" w:type="dxa"/>
            <w:tcBorders>
              <w:top w:val="single" w:sz="4" w:space="0" w:color="auto"/>
              <w:left w:val="nil"/>
              <w:bottom w:val="single" w:sz="4" w:space="0" w:color="auto"/>
              <w:right w:val="nil"/>
            </w:tcBorders>
            <w:shd w:val="clear" w:color="auto" w:fill="auto"/>
            <w:noWrap/>
            <w:hideMark/>
          </w:tcPr>
          <w:p w14:paraId="3DB843D5"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0.8%</w:t>
            </w:r>
          </w:p>
        </w:tc>
        <w:tc>
          <w:tcPr>
            <w:tcW w:w="596" w:type="dxa"/>
            <w:tcBorders>
              <w:top w:val="single" w:sz="4" w:space="0" w:color="auto"/>
              <w:left w:val="nil"/>
              <w:bottom w:val="single" w:sz="4" w:space="0" w:color="auto"/>
              <w:right w:val="single" w:sz="4" w:space="0" w:color="auto"/>
            </w:tcBorders>
            <w:shd w:val="clear" w:color="auto" w:fill="auto"/>
            <w:noWrap/>
            <w:hideMark/>
          </w:tcPr>
          <w:p w14:paraId="610F17DF"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0.5%</w:t>
            </w:r>
          </w:p>
        </w:tc>
        <w:tc>
          <w:tcPr>
            <w:tcW w:w="595" w:type="dxa"/>
            <w:tcBorders>
              <w:top w:val="single" w:sz="4" w:space="0" w:color="auto"/>
              <w:left w:val="single" w:sz="4" w:space="0" w:color="auto"/>
              <w:bottom w:val="single" w:sz="4" w:space="0" w:color="auto"/>
              <w:right w:val="nil"/>
            </w:tcBorders>
            <w:shd w:val="clear" w:color="auto" w:fill="auto"/>
            <w:noWrap/>
            <w:hideMark/>
          </w:tcPr>
          <w:p w14:paraId="1B13A985"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0.3%</w:t>
            </w:r>
          </w:p>
        </w:tc>
        <w:tc>
          <w:tcPr>
            <w:tcW w:w="596" w:type="dxa"/>
            <w:tcBorders>
              <w:top w:val="single" w:sz="4" w:space="0" w:color="auto"/>
              <w:left w:val="nil"/>
              <w:bottom w:val="single" w:sz="4" w:space="0" w:color="auto"/>
              <w:right w:val="nil"/>
            </w:tcBorders>
            <w:shd w:val="clear" w:color="auto" w:fill="auto"/>
            <w:noWrap/>
            <w:hideMark/>
          </w:tcPr>
          <w:p w14:paraId="5C5B0F2F"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1.0%</w:t>
            </w:r>
          </w:p>
        </w:tc>
        <w:tc>
          <w:tcPr>
            <w:tcW w:w="595" w:type="dxa"/>
            <w:tcBorders>
              <w:top w:val="single" w:sz="4" w:space="0" w:color="auto"/>
              <w:left w:val="nil"/>
              <w:bottom w:val="single" w:sz="4" w:space="0" w:color="auto"/>
              <w:right w:val="single" w:sz="4" w:space="0" w:color="auto"/>
            </w:tcBorders>
            <w:shd w:val="clear" w:color="auto" w:fill="auto"/>
            <w:noWrap/>
            <w:hideMark/>
          </w:tcPr>
          <w:p w14:paraId="2C625CEF"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2.5%</w:t>
            </w:r>
          </w:p>
        </w:tc>
        <w:tc>
          <w:tcPr>
            <w:tcW w:w="596" w:type="dxa"/>
            <w:tcBorders>
              <w:top w:val="single" w:sz="4" w:space="0" w:color="auto"/>
              <w:left w:val="single" w:sz="4" w:space="0" w:color="auto"/>
              <w:bottom w:val="single" w:sz="4" w:space="0" w:color="auto"/>
              <w:right w:val="nil"/>
            </w:tcBorders>
            <w:shd w:val="clear" w:color="auto" w:fill="auto"/>
            <w:noWrap/>
            <w:hideMark/>
          </w:tcPr>
          <w:p w14:paraId="54941504"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0.3%</w:t>
            </w:r>
          </w:p>
        </w:tc>
        <w:tc>
          <w:tcPr>
            <w:tcW w:w="595" w:type="dxa"/>
            <w:tcBorders>
              <w:top w:val="single" w:sz="4" w:space="0" w:color="auto"/>
              <w:left w:val="nil"/>
              <w:bottom w:val="single" w:sz="4" w:space="0" w:color="auto"/>
              <w:right w:val="nil"/>
            </w:tcBorders>
            <w:shd w:val="clear" w:color="auto" w:fill="auto"/>
            <w:noWrap/>
            <w:hideMark/>
          </w:tcPr>
          <w:p w14:paraId="4FF70C46"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0.4%</w:t>
            </w:r>
          </w:p>
        </w:tc>
        <w:tc>
          <w:tcPr>
            <w:tcW w:w="596" w:type="dxa"/>
            <w:tcBorders>
              <w:top w:val="single" w:sz="4" w:space="0" w:color="auto"/>
              <w:left w:val="nil"/>
              <w:bottom w:val="single" w:sz="4" w:space="0" w:color="auto"/>
              <w:right w:val="nil"/>
            </w:tcBorders>
            <w:shd w:val="clear" w:color="auto" w:fill="auto"/>
            <w:noWrap/>
            <w:hideMark/>
          </w:tcPr>
          <w:p w14:paraId="539EC0C1" w14:textId="77777777" w:rsidR="002C1168" w:rsidRPr="00A41687" w:rsidRDefault="002C1168" w:rsidP="001455A9">
            <w:pPr>
              <w:ind w:left="-356" w:firstLine="356"/>
              <w:jc w:val="center"/>
              <w:rPr>
                <w:rFonts w:ascii="Arial Narrow" w:hAnsi="Arial Narrow" w:cs="Arial"/>
                <w:sz w:val="16"/>
                <w:szCs w:val="16"/>
                <w:lang w:val="mn-MN" w:eastAsia="mn-MN"/>
              </w:rPr>
            </w:pPr>
            <w:r w:rsidRPr="00A41687">
              <w:rPr>
                <w:rFonts w:ascii="Arial Narrow" w:hAnsi="Arial Narrow" w:cs="Arial"/>
                <w:sz w:val="16"/>
                <w:szCs w:val="16"/>
                <w:lang w:val="mn-MN" w:eastAsia="mn-MN"/>
              </w:rPr>
              <w:t>0.8%</w:t>
            </w:r>
          </w:p>
        </w:tc>
      </w:tr>
    </w:tbl>
    <w:p w14:paraId="4AC6B35E" w14:textId="77777777" w:rsidR="004D64AD" w:rsidRPr="008B7EA0" w:rsidRDefault="004D64AD" w:rsidP="004D64AD">
      <w:pPr>
        <w:rPr>
          <w:i/>
          <w:sz w:val="22"/>
          <w:lang w:val="en-GB"/>
        </w:rPr>
      </w:pPr>
      <w:r w:rsidRPr="008B7EA0">
        <w:rPr>
          <w:i/>
          <w:sz w:val="22"/>
          <w:lang w:val="en-GB"/>
        </w:rPr>
        <w:t>Source: Mongolia Household Socio-Economic Surveys, 20</w:t>
      </w:r>
      <w:r>
        <w:rPr>
          <w:i/>
          <w:sz w:val="22"/>
          <w:lang w:val="en-GB"/>
        </w:rPr>
        <w:t>10</w:t>
      </w:r>
      <w:r w:rsidRPr="008B7EA0">
        <w:rPr>
          <w:i/>
          <w:sz w:val="22"/>
          <w:lang w:val="en-GB"/>
        </w:rPr>
        <w:t>-2012</w:t>
      </w:r>
    </w:p>
    <w:p w14:paraId="43DC0872" w14:textId="77777777" w:rsidR="006F3359" w:rsidRDefault="006F3359" w:rsidP="005B3A94">
      <w:pPr>
        <w:jc w:val="both"/>
        <w:rPr>
          <w:lang w:val="en-GB"/>
        </w:rPr>
      </w:pPr>
    </w:p>
    <w:p w14:paraId="16509D2A" w14:textId="77777777" w:rsidR="000D0B06" w:rsidRDefault="000D0B06" w:rsidP="005B3A94">
      <w:pPr>
        <w:jc w:val="both"/>
        <w:rPr>
          <w:lang w:val="en-GB"/>
        </w:rPr>
      </w:pPr>
    </w:p>
    <w:p w14:paraId="6B3CDB72" w14:textId="77777777" w:rsidR="00580844" w:rsidRPr="00FE612F" w:rsidRDefault="00580844" w:rsidP="005B3A94">
      <w:pPr>
        <w:pStyle w:val="Heading3"/>
        <w:spacing w:before="0"/>
        <w:jc w:val="both"/>
        <w:rPr>
          <w:rFonts w:ascii="Arial" w:hAnsi="Arial" w:cs="Arial"/>
          <w:lang w:val="en-GB"/>
        </w:rPr>
      </w:pPr>
      <w:bookmarkStart w:id="41" w:name="_Toc305764310"/>
      <w:r w:rsidRPr="00FE612F">
        <w:rPr>
          <w:rFonts w:ascii="Arial" w:hAnsi="Arial" w:cs="Arial"/>
          <w:lang w:val="en-GB"/>
        </w:rPr>
        <w:t xml:space="preserve">Catastrophic </w:t>
      </w:r>
      <w:r w:rsidR="004D64AD">
        <w:rPr>
          <w:rFonts w:ascii="Arial" w:hAnsi="Arial" w:cs="Arial"/>
          <w:lang w:val="en-GB"/>
        </w:rPr>
        <w:t xml:space="preserve">health </w:t>
      </w:r>
      <w:r w:rsidRPr="00FE612F">
        <w:rPr>
          <w:rFonts w:ascii="Arial" w:hAnsi="Arial" w:cs="Arial"/>
          <w:lang w:val="en-GB"/>
        </w:rPr>
        <w:t>expenditure and poverty impact</w:t>
      </w:r>
      <w:bookmarkEnd w:id="41"/>
    </w:p>
    <w:p w14:paraId="18BBA30C" w14:textId="77777777" w:rsidR="0049498A" w:rsidRPr="0049498A" w:rsidRDefault="0049498A" w:rsidP="0049498A"/>
    <w:p w14:paraId="716AB5EF" w14:textId="77777777" w:rsidR="00B62D82" w:rsidRPr="00FE612F" w:rsidRDefault="00580844" w:rsidP="00B62D82">
      <w:pPr>
        <w:numPr>
          <w:ilvl w:val="2"/>
          <w:numId w:val="4"/>
        </w:numPr>
        <w:ind w:left="720"/>
        <w:jc w:val="both"/>
        <w:rPr>
          <w:rFonts w:ascii="Arial" w:hAnsi="Arial" w:cs="Arial"/>
          <w:sz w:val="22"/>
          <w:lang w:val="en-GB"/>
        </w:rPr>
      </w:pPr>
      <w:r w:rsidRPr="00FE612F">
        <w:rPr>
          <w:rFonts w:ascii="Arial" w:hAnsi="Arial" w:cs="Arial"/>
          <w:sz w:val="22"/>
          <w:lang w:val="en-GB"/>
        </w:rPr>
        <w:t xml:space="preserve">Estimates of catastrophic </w:t>
      </w:r>
      <w:r w:rsidR="004D64AD">
        <w:rPr>
          <w:rFonts w:ascii="Arial" w:hAnsi="Arial" w:cs="Arial"/>
          <w:sz w:val="22"/>
          <w:lang w:val="en-GB"/>
        </w:rPr>
        <w:t xml:space="preserve">health </w:t>
      </w:r>
      <w:r w:rsidRPr="00FE612F">
        <w:rPr>
          <w:rFonts w:ascii="Arial" w:hAnsi="Arial" w:cs="Arial"/>
          <w:sz w:val="22"/>
          <w:lang w:val="en-GB"/>
        </w:rPr>
        <w:t xml:space="preserve">expenditure and impoverishment </w:t>
      </w:r>
    </w:p>
    <w:p w14:paraId="25D282F8" w14:textId="77777777" w:rsidR="00442E54" w:rsidRDefault="00442E54" w:rsidP="00442E54">
      <w:pPr>
        <w:jc w:val="both"/>
        <w:rPr>
          <w:lang w:val="en-GB"/>
        </w:rPr>
      </w:pPr>
    </w:p>
    <w:p w14:paraId="22B7F8DC" w14:textId="53553091" w:rsidR="004E413A" w:rsidRDefault="008E5E3F" w:rsidP="00B916A0">
      <w:pPr>
        <w:jc w:val="both"/>
        <w:rPr>
          <w:rFonts w:ascii="Arial" w:hAnsi="Arial" w:cs="Arial"/>
        </w:rPr>
      </w:pPr>
      <w:r w:rsidRPr="00B916A0">
        <w:rPr>
          <w:rFonts w:ascii="Arial" w:hAnsi="Arial" w:cs="Arial"/>
          <w:lang w:val="en-GB"/>
        </w:rPr>
        <w:t xml:space="preserve">Catastrophic health expenditure </w:t>
      </w:r>
      <w:r w:rsidR="007808E8" w:rsidRPr="00B916A0">
        <w:rPr>
          <w:rFonts w:ascii="Arial" w:hAnsi="Arial" w:cs="Arial"/>
          <w:lang w:val="en-GB"/>
        </w:rPr>
        <w:t>occurs</w:t>
      </w:r>
      <w:r w:rsidRPr="00B916A0">
        <w:rPr>
          <w:rFonts w:ascii="Arial" w:hAnsi="Arial" w:cs="Arial"/>
          <w:lang w:val="en-GB"/>
        </w:rPr>
        <w:t xml:space="preserve"> </w:t>
      </w:r>
      <w:r w:rsidR="007808E8" w:rsidRPr="00B916A0">
        <w:rPr>
          <w:rFonts w:ascii="Arial" w:hAnsi="Arial" w:cs="Arial"/>
          <w:lang w:val="en-GB"/>
        </w:rPr>
        <w:t>when</w:t>
      </w:r>
      <w:r w:rsidRPr="00B916A0">
        <w:rPr>
          <w:rFonts w:ascii="Arial" w:hAnsi="Arial" w:cs="Arial"/>
          <w:lang w:val="en-GB"/>
        </w:rPr>
        <w:t xml:space="preserve"> households spend 40% or more of </w:t>
      </w:r>
      <w:r w:rsidR="007808E8" w:rsidRPr="00B916A0">
        <w:rPr>
          <w:rFonts w:ascii="Arial" w:hAnsi="Arial" w:cs="Arial"/>
          <w:lang w:val="en-GB"/>
        </w:rPr>
        <w:t xml:space="preserve">their </w:t>
      </w:r>
      <w:r w:rsidRPr="00B916A0">
        <w:rPr>
          <w:rFonts w:ascii="Arial" w:hAnsi="Arial" w:cs="Arial"/>
          <w:lang w:val="en-GB"/>
        </w:rPr>
        <w:t xml:space="preserve">capacity to pay </w:t>
      </w:r>
      <w:r w:rsidR="007808E8" w:rsidRPr="00B916A0">
        <w:rPr>
          <w:rFonts w:ascii="Arial" w:hAnsi="Arial" w:cs="Arial"/>
          <w:lang w:val="en-GB"/>
        </w:rPr>
        <w:t xml:space="preserve">to access </w:t>
      </w:r>
      <w:r w:rsidRPr="00B916A0">
        <w:rPr>
          <w:rFonts w:ascii="Arial" w:hAnsi="Arial" w:cs="Arial"/>
          <w:lang w:val="en-GB"/>
        </w:rPr>
        <w:t xml:space="preserve">health </w:t>
      </w:r>
      <w:r w:rsidR="007808E8" w:rsidRPr="00B916A0">
        <w:rPr>
          <w:rFonts w:ascii="Arial" w:hAnsi="Arial" w:cs="Arial"/>
          <w:lang w:val="en-GB"/>
        </w:rPr>
        <w:t>services</w:t>
      </w:r>
      <w:r w:rsidRPr="00B916A0">
        <w:rPr>
          <w:rFonts w:ascii="Arial" w:hAnsi="Arial" w:cs="Arial"/>
          <w:lang w:val="en-GB"/>
        </w:rPr>
        <w:t xml:space="preserve">. </w:t>
      </w:r>
      <w:r w:rsidR="004055C3">
        <w:rPr>
          <w:rFonts w:ascii="Arial" w:hAnsi="Arial" w:cs="Arial"/>
        </w:rPr>
        <w:t>T</w:t>
      </w:r>
      <w:r w:rsidR="007A1C56" w:rsidRPr="00D164C4">
        <w:rPr>
          <w:rFonts w:ascii="Arial" w:hAnsi="Arial" w:cs="Arial"/>
        </w:rPr>
        <w:t>he percentages of households incurring catastroph</w:t>
      </w:r>
      <w:r w:rsidR="007A1C56">
        <w:rPr>
          <w:rFonts w:ascii="Arial" w:hAnsi="Arial" w:cs="Arial"/>
        </w:rPr>
        <w:t xml:space="preserve">ic health payments in Mongolia </w:t>
      </w:r>
      <w:r w:rsidR="004055C3">
        <w:rPr>
          <w:rFonts w:ascii="Arial" w:hAnsi="Arial" w:cs="Arial"/>
        </w:rPr>
        <w:t xml:space="preserve">were estimated at </w:t>
      </w:r>
      <w:r w:rsidR="007A1C56" w:rsidRPr="00D164C4">
        <w:rPr>
          <w:rFonts w:ascii="Arial" w:hAnsi="Arial" w:cs="Arial"/>
        </w:rPr>
        <w:t>1.5%</w:t>
      </w:r>
      <w:r w:rsidR="007A1C56" w:rsidRPr="00B916A0">
        <w:rPr>
          <w:rFonts w:ascii="Arial" w:hAnsi="Arial" w:cs="Arial"/>
        </w:rPr>
        <w:t xml:space="preserve"> or 1077</w:t>
      </w:r>
      <w:r w:rsidR="00F52C06">
        <w:rPr>
          <w:rFonts w:ascii="Arial" w:hAnsi="Arial" w:cs="Arial"/>
        </w:rPr>
        <w:t>8</w:t>
      </w:r>
      <w:r w:rsidR="007A1C56" w:rsidRPr="00B916A0">
        <w:rPr>
          <w:rFonts w:ascii="Arial" w:hAnsi="Arial" w:cs="Arial"/>
        </w:rPr>
        <w:t xml:space="preserve"> households in 2010, </w:t>
      </w:r>
      <w:r w:rsidR="00CA3D12">
        <w:rPr>
          <w:rFonts w:ascii="Arial" w:hAnsi="Arial" w:cs="Arial"/>
        </w:rPr>
        <w:t xml:space="preserve">1.8% or 13602 households in 2011 </w:t>
      </w:r>
      <w:r w:rsidR="007A1C56" w:rsidRPr="00B916A0">
        <w:rPr>
          <w:rFonts w:ascii="Arial" w:hAnsi="Arial" w:cs="Arial"/>
        </w:rPr>
        <w:t>and 0.9% or 6683 households in 2012</w:t>
      </w:r>
      <w:r w:rsidR="00CA3D12">
        <w:rPr>
          <w:rFonts w:ascii="Arial" w:hAnsi="Arial" w:cs="Arial"/>
        </w:rPr>
        <w:t xml:space="preserve"> respectively</w:t>
      </w:r>
      <w:r w:rsidR="007A1C56" w:rsidRPr="00B916A0">
        <w:rPr>
          <w:rFonts w:ascii="Arial" w:hAnsi="Arial" w:cs="Arial"/>
        </w:rPr>
        <w:t>.</w:t>
      </w:r>
      <w:r w:rsidR="007A1C56">
        <w:rPr>
          <w:rFonts w:ascii="Arial" w:hAnsi="Arial" w:cs="Arial"/>
        </w:rPr>
        <w:t xml:space="preserve"> </w:t>
      </w:r>
      <w:r w:rsidR="0080650E">
        <w:rPr>
          <w:rFonts w:ascii="Arial" w:hAnsi="Arial" w:cs="Arial"/>
        </w:rPr>
        <w:t>The t</w:t>
      </w:r>
      <w:r w:rsidR="007A1C56">
        <w:rPr>
          <w:rFonts w:ascii="Arial" w:hAnsi="Arial" w:cs="Arial"/>
        </w:rPr>
        <w:t xml:space="preserve">ime trend compared to </w:t>
      </w:r>
      <w:r w:rsidR="004055C3">
        <w:rPr>
          <w:rFonts w:ascii="Arial" w:hAnsi="Arial" w:cs="Arial"/>
        </w:rPr>
        <w:t xml:space="preserve">HSES </w:t>
      </w:r>
      <w:r w:rsidR="007A1C56">
        <w:rPr>
          <w:rFonts w:ascii="Arial" w:hAnsi="Arial" w:cs="Arial"/>
        </w:rPr>
        <w:t xml:space="preserve">2009 results has shown significant decline in </w:t>
      </w:r>
      <w:r w:rsidR="004E413A">
        <w:rPr>
          <w:rFonts w:ascii="Arial" w:hAnsi="Arial" w:cs="Arial"/>
        </w:rPr>
        <w:t xml:space="preserve">the number of </w:t>
      </w:r>
      <w:r w:rsidR="007A1C56">
        <w:rPr>
          <w:rFonts w:ascii="Arial" w:hAnsi="Arial" w:cs="Arial"/>
        </w:rPr>
        <w:t xml:space="preserve">households experienced catastrophic health payments. </w:t>
      </w:r>
      <w:r w:rsidR="008778E5" w:rsidRPr="00634D82">
        <w:rPr>
          <w:rFonts w:ascii="Arial" w:hAnsi="Arial" w:cs="Arial"/>
        </w:rPr>
        <w:t>The share of households with catastrophic health expenditures was 3.83% or 27442 households in 2009.</w:t>
      </w:r>
      <w:r w:rsidR="004E413A">
        <w:rPr>
          <w:rFonts w:ascii="Arial" w:hAnsi="Arial" w:cs="Arial"/>
        </w:rPr>
        <w:t xml:space="preserve"> </w:t>
      </w:r>
      <w:r w:rsidR="00DE6D74">
        <w:rPr>
          <w:rFonts w:ascii="Arial" w:hAnsi="Arial" w:cs="Arial"/>
        </w:rPr>
        <w:t>T</w:t>
      </w:r>
      <w:r w:rsidR="004E413A">
        <w:rPr>
          <w:rFonts w:ascii="Arial" w:hAnsi="Arial" w:cs="Arial"/>
        </w:rPr>
        <w:t>here was an increase by 16% from 2010 to 2011 and mainly due to growing catastrophic spending by lower and middle-income quintiles.</w:t>
      </w:r>
    </w:p>
    <w:p w14:paraId="4B55CC77" w14:textId="77777777" w:rsidR="004E413A" w:rsidRDefault="004E413A" w:rsidP="00B916A0">
      <w:pPr>
        <w:jc w:val="both"/>
        <w:rPr>
          <w:rFonts w:ascii="Arial" w:hAnsi="Arial" w:cs="Arial"/>
        </w:rPr>
      </w:pPr>
    </w:p>
    <w:p w14:paraId="17F7225D" w14:textId="2BCCFB30" w:rsidR="00F856AF" w:rsidRDefault="008778E5" w:rsidP="00B916A0">
      <w:pPr>
        <w:jc w:val="both"/>
        <w:rPr>
          <w:rFonts w:ascii="Arial" w:hAnsi="Arial" w:cs="Arial"/>
        </w:rPr>
      </w:pPr>
      <w:r>
        <w:rPr>
          <w:rFonts w:ascii="Arial" w:hAnsi="Arial" w:cs="Arial"/>
        </w:rPr>
        <w:lastRenderedPageBreak/>
        <w:t>Generally, t</w:t>
      </w:r>
      <w:r w:rsidR="00F856AF" w:rsidRPr="00B916A0">
        <w:rPr>
          <w:rFonts w:ascii="Arial" w:hAnsi="Arial" w:cs="Arial"/>
        </w:rPr>
        <w:t xml:space="preserve">he shares of households with catastrophic health expenditures </w:t>
      </w:r>
      <w:r w:rsidR="00F856AF">
        <w:rPr>
          <w:rFonts w:ascii="Arial" w:hAnsi="Arial" w:cs="Arial"/>
        </w:rPr>
        <w:t>increase as quintiles go up</w:t>
      </w:r>
      <w:r w:rsidR="00B41D7A">
        <w:rPr>
          <w:rFonts w:ascii="Arial" w:hAnsi="Arial" w:cs="Arial"/>
        </w:rPr>
        <w:t xml:space="preserve"> (Figure 10</w:t>
      </w:r>
      <w:r w:rsidR="001455A9">
        <w:rPr>
          <w:rFonts w:ascii="Arial" w:hAnsi="Arial" w:cs="Arial"/>
        </w:rPr>
        <w:t>)</w:t>
      </w:r>
      <w:r w:rsidR="0081315B">
        <w:rPr>
          <w:rFonts w:ascii="Arial" w:hAnsi="Arial" w:cs="Arial"/>
        </w:rPr>
        <w:t xml:space="preserve">. </w:t>
      </w:r>
      <w:r w:rsidR="00E855FA">
        <w:rPr>
          <w:rFonts w:ascii="Arial" w:hAnsi="Arial" w:cs="Arial"/>
        </w:rPr>
        <w:t>T</w:t>
      </w:r>
      <w:r w:rsidR="00077079">
        <w:rPr>
          <w:rFonts w:ascii="Arial" w:hAnsi="Arial" w:cs="Arial"/>
        </w:rPr>
        <w:t xml:space="preserve">he </w:t>
      </w:r>
      <w:r w:rsidR="00662EDB">
        <w:rPr>
          <w:rFonts w:ascii="Arial" w:hAnsi="Arial" w:cs="Arial"/>
        </w:rPr>
        <w:t>number</w:t>
      </w:r>
      <w:r w:rsidR="00077079">
        <w:rPr>
          <w:rFonts w:ascii="Arial" w:hAnsi="Arial" w:cs="Arial"/>
        </w:rPr>
        <w:t xml:space="preserve"> of </w:t>
      </w:r>
      <w:r w:rsidR="00662EDB">
        <w:rPr>
          <w:rFonts w:ascii="Arial" w:hAnsi="Arial" w:cs="Arial"/>
        </w:rPr>
        <w:t xml:space="preserve">richest </w:t>
      </w:r>
      <w:r w:rsidR="00077079">
        <w:rPr>
          <w:rFonts w:ascii="Arial" w:hAnsi="Arial" w:cs="Arial"/>
        </w:rPr>
        <w:t xml:space="preserve">households experienced catastrophic health payments </w:t>
      </w:r>
      <w:r w:rsidR="00662EDB">
        <w:rPr>
          <w:rFonts w:ascii="Arial" w:hAnsi="Arial" w:cs="Arial"/>
        </w:rPr>
        <w:t xml:space="preserve">is 5 times higher than the poorest in 2009 and 10 times more in 2012. </w:t>
      </w:r>
    </w:p>
    <w:p w14:paraId="78ADDEB9" w14:textId="77777777" w:rsidR="004458B3" w:rsidRDefault="004458B3" w:rsidP="00442E54">
      <w:pPr>
        <w:jc w:val="both"/>
        <w:rPr>
          <w:lang w:val="en-GB"/>
        </w:rPr>
      </w:pPr>
    </w:p>
    <w:p w14:paraId="41464FE6" w14:textId="77777777" w:rsidR="004458B3" w:rsidRPr="008B7EA0" w:rsidRDefault="004458B3" w:rsidP="006B3BC1">
      <w:pPr>
        <w:jc w:val="center"/>
        <w:rPr>
          <w:rFonts w:ascii="Arial" w:hAnsi="Arial" w:cs="Arial"/>
          <w:color w:val="000000"/>
          <w:sz w:val="22"/>
          <w:szCs w:val="22"/>
        </w:rPr>
      </w:pPr>
      <w:bookmarkStart w:id="42" w:name="_Toc310170115"/>
      <w:r w:rsidRPr="008B7EA0">
        <w:rPr>
          <w:rFonts w:ascii="Arial" w:hAnsi="Arial" w:cs="Arial"/>
          <w:sz w:val="22"/>
          <w:szCs w:val="22"/>
        </w:rPr>
        <w:t xml:space="preserve">Figure </w:t>
      </w:r>
      <w:r w:rsidR="00CB191B" w:rsidRPr="008B7EA0">
        <w:rPr>
          <w:rFonts w:ascii="Arial" w:hAnsi="Arial" w:cs="Arial"/>
          <w:sz w:val="22"/>
          <w:szCs w:val="22"/>
        </w:rPr>
        <w:fldChar w:fldCharType="begin"/>
      </w:r>
      <w:r w:rsidRPr="008B7EA0">
        <w:rPr>
          <w:rFonts w:ascii="Arial" w:hAnsi="Arial" w:cs="Arial"/>
          <w:sz w:val="22"/>
          <w:szCs w:val="22"/>
        </w:rPr>
        <w:instrText xml:space="preserve"> SEQ Figure \* ARABIC </w:instrText>
      </w:r>
      <w:r w:rsidR="00CB191B" w:rsidRPr="008B7EA0">
        <w:rPr>
          <w:rFonts w:ascii="Arial" w:hAnsi="Arial" w:cs="Arial"/>
          <w:sz w:val="22"/>
          <w:szCs w:val="22"/>
        </w:rPr>
        <w:fldChar w:fldCharType="separate"/>
      </w:r>
      <w:r w:rsidR="00B41D7A">
        <w:rPr>
          <w:rFonts w:ascii="Arial" w:hAnsi="Arial" w:cs="Arial"/>
          <w:noProof/>
          <w:sz w:val="22"/>
          <w:szCs w:val="22"/>
        </w:rPr>
        <w:t>10</w:t>
      </w:r>
      <w:r w:rsidR="00CB191B" w:rsidRPr="008B7EA0">
        <w:rPr>
          <w:rFonts w:ascii="Arial" w:hAnsi="Arial" w:cs="Arial"/>
          <w:sz w:val="22"/>
          <w:szCs w:val="22"/>
        </w:rPr>
        <w:fldChar w:fldCharType="end"/>
      </w:r>
      <w:r w:rsidRPr="008B7EA0">
        <w:rPr>
          <w:rFonts w:ascii="Arial" w:hAnsi="Arial" w:cs="Arial"/>
          <w:sz w:val="22"/>
          <w:szCs w:val="22"/>
        </w:rPr>
        <w:t>:</w:t>
      </w:r>
      <w:r w:rsidRPr="008B7EA0">
        <w:rPr>
          <w:rFonts w:ascii="Arial" w:hAnsi="Arial" w:cs="Arial"/>
          <w:iCs/>
          <w:sz w:val="22"/>
          <w:szCs w:val="22"/>
        </w:rPr>
        <w:t xml:space="preserve"> </w:t>
      </w:r>
      <w:r w:rsidRPr="008B7EA0">
        <w:rPr>
          <w:rFonts w:ascii="Arial" w:hAnsi="Arial" w:cs="Arial"/>
          <w:color w:val="000000"/>
          <w:sz w:val="22"/>
          <w:szCs w:val="22"/>
        </w:rPr>
        <w:t xml:space="preserve">Distribution of households by </w:t>
      </w:r>
      <w:r w:rsidR="008A10E8">
        <w:rPr>
          <w:rFonts w:ascii="Arial" w:hAnsi="Arial" w:cs="Arial"/>
          <w:color w:val="000000"/>
          <w:sz w:val="22"/>
          <w:szCs w:val="22"/>
        </w:rPr>
        <w:t>catastrophic health payments</w:t>
      </w:r>
      <w:bookmarkEnd w:id="42"/>
    </w:p>
    <w:p w14:paraId="41740B96" w14:textId="77777777" w:rsidR="008B7EA0" w:rsidRPr="004458B3" w:rsidRDefault="008B7EA0" w:rsidP="00442E54">
      <w:pPr>
        <w:jc w:val="both"/>
        <w:rPr>
          <w:rFonts w:ascii="Arial" w:hAnsi="Arial" w:cs="Arial"/>
          <w:lang w:val="en-GB"/>
        </w:rPr>
      </w:pPr>
    </w:p>
    <w:p w14:paraId="1BED5BF3" w14:textId="5A7DCFC6" w:rsidR="008E5E3F" w:rsidRDefault="00D3265D" w:rsidP="005F4FD8">
      <w:pPr>
        <w:jc w:val="center"/>
        <w:rPr>
          <w:lang w:val="en-GB"/>
        </w:rPr>
      </w:pPr>
      <w:r w:rsidRPr="00D3265D">
        <w:rPr>
          <w:noProof/>
        </w:rPr>
        <w:drawing>
          <wp:inline distT="0" distB="0" distL="0" distR="0" wp14:anchorId="2F12EC96" wp14:editId="7BEE53D5">
            <wp:extent cx="5488810" cy="2361554"/>
            <wp:effectExtent l="0" t="0" r="0" b="1270"/>
            <wp:docPr id="2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90210" cy="2362156"/>
                    </a:xfrm>
                    <a:prstGeom prst="rect">
                      <a:avLst/>
                    </a:prstGeom>
                    <a:noFill/>
                    <a:ln>
                      <a:noFill/>
                    </a:ln>
                  </pic:spPr>
                </pic:pic>
              </a:graphicData>
            </a:graphic>
          </wp:inline>
        </w:drawing>
      </w:r>
      <w:r w:rsidR="003F2402">
        <w:rPr>
          <w:lang w:val="en-GB"/>
        </w:rPr>
        <w:t>`</w:t>
      </w:r>
    </w:p>
    <w:p w14:paraId="7BED46AD" w14:textId="28F04B84" w:rsidR="00453010" w:rsidRPr="008B7EA0" w:rsidRDefault="00173DB0" w:rsidP="00173DB0">
      <w:pPr>
        <w:rPr>
          <w:i/>
          <w:sz w:val="22"/>
          <w:lang w:val="en-GB"/>
        </w:rPr>
      </w:pPr>
      <w:r>
        <w:rPr>
          <w:i/>
          <w:sz w:val="22"/>
          <w:lang w:val="en-GB"/>
        </w:rPr>
        <w:t xml:space="preserve">      </w:t>
      </w:r>
      <w:r w:rsidR="00453010" w:rsidRPr="008B7EA0">
        <w:rPr>
          <w:i/>
          <w:sz w:val="22"/>
          <w:lang w:val="en-GB"/>
        </w:rPr>
        <w:t>Source: Mongolia Household Socio-Economic Surveys, 20</w:t>
      </w:r>
      <w:r w:rsidR="00DE6D74">
        <w:rPr>
          <w:i/>
          <w:sz w:val="22"/>
          <w:lang w:val="en-GB"/>
        </w:rPr>
        <w:t>09</w:t>
      </w:r>
      <w:r w:rsidR="00453010" w:rsidRPr="008B7EA0">
        <w:rPr>
          <w:i/>
          <w:sz w:val="22"/>
          <w:lang w:val="en-GB"/>
        </w:rPr>
        <w:t>-2012</w:t>
      </w:r>
    </w:p>
    <w:p w14:paraId="58BD4D0A" w14:textId="77777777" w:rsidR="00DB6339" w:rsidRDefault="00DB6339" w:rsidP="00442E54">
      <w:pPr>
        <w:jc w:val="both"/>
        <w:rPr>
          <w:lang w:val="en-GB"/>
        </w:rPr>
      </w:pPr>
    </w:p>
    <w:p w14:paraId="71414B93" w14:textId="69B4824A" w:rsidR="00663F5E" w:rsidRPr="00E962A1" w:rsidRDefault="00663F5E" w:rsidP="00442E54">
      <w:pPr>
        <w:jc w:val="both"/>
        <w:rPr>
          <w:rFonts w:ascii="Arial" w:hAnsi="Arial"/>
          <w:lang w:val="en-GB"/>
        </w:rPr>
      </w:pPr>
      <w:r w:rsidRPr="00E962A1">
        <w:rPr>
          <w:rFonts w:ascii="Arial" w:hAnsi="Arial"/>
          <w:lang w:val="en-GB"/>
        </w:rPr>
        <w:t>About 70% of the households experienced catastrophic health payments live in highlands, central and eastern regions</w:t>
      </w:r>
      <w:r w:rsidR="00B41D7A">
        <w:rPr>
          <w:rFonts w:ascii="Arial" w:hAnsi="Arial"/>
          <w:lang w:val="en-GB"/>
        </w:rPr>
        <w:t xml:space="preserve"> (Figure 11</w:t>
      </w:r>
      <w:r w:rsidR="001455A9">
        <w:rPr>
          <w:rFonts w:ascii="Arial" w:hAnsi="Arial"/>
          <w:lang w:val="en-GB"/>
        </w:rPr>
        <w:t>)</w:t>
      </w:r>
      <w:r w:rsidRPr="00E962A1">
        <w:rPr>
          <w:rFonts w:ascii="Arial" w:hAnsi="Arial"/>
          <w:lang w:val="en-GB"/>
        </w:rPr>
        <w:t xml:space="preserve">. </w:t>
      </w:r>
    </w:p>
    <w:p w14:paraId="70FD4986" w14:textId="77777777" w:rsidR="00663F5E" w:rsidRDefault="00663F5E" w:rsidP="00442E54">
      <w:pPr>
        <w:jc w:val="both"/>
        <w:rPr>
          <w:lang w:val="en-GB"/>
        </w:rPr>
      </w:pPr>
    </w:p>
    <w:p w14:paraId="3FFA9516" w14:textId="3DF900B8" w:rsidR="00663F5E" w:rsidRPr="008B7EA0" w:rsidRDefault="005F4FD8" w:rsidP="005F4FD8">
      <w:pPr>
        <w:jc w:val="both"/>
        <w:rPr>
          <w:rFonts w:ascii="Arial" w:hAnsi="Arial" w:cs="Arial"/>
          <w:color w:val="000000"/>
          <w:sz w:val="22"/>
          <w:szCs w:val="22"/>
        </w:rPr>
      </w:pPr>
      <w:r>
        <w:rPr>
          <w:rFonts w:ascii="Arial" w:hAnsi="Arial" w:cs="Arial"/>
          <w:sz w:val="22"/>
          <w:szCs w:val="22"/>
        </w:rPr>
        <w:t xml:space="preserve">           </w:t>
      </w:r>
      <w:bookmarkStart w:id="43" w:name="_Toc310170116"/>
      <w:r w:rsidR="00663F5E" w:rsidRPr="008B7EA0">
        <w:rPr>
          <w:rFonts w:ascii="Arial" w:hAnsi="Arial" w:cs="Arial"/>
          <w:sz w:val="22"/>
          <w:szCs w:val="22"/>
        </w:rPr>
        <w:t xml:space="preserve">Figure </w:t>
      </w:r>
      <w:r w:rsidR="00663F5E" w:rsidRPr="008B7EA0">
        <w:rPr>
          <w:rFonts w:ascii="Arial" w:hAnsi="Arial" w:cs="Arial"/>
          <w:sz w:val="22"/>
          <w:szCs w:val="22"/>
        </w:rPr>
        <w:fldChar w:fldCharType="begin"/>
      </w:r>
      <w:r w:rsidR="00663F5E" w:rsidRPr="008B7EA0">
        <w:rPr>
          <w:rFonts w:ascii="Arial" w:hAnsi="Arial" w:cs="Arial"/>
          <w:sz w:val="22"/>
          <w:szCs w:val="22"/>
        </w:rPr>
        <w:instrText xml:space="preserve"> SEQ Figure \* ARABIC </w:instrText>
      </w:r>
      <w:r w:rsidR="00663F5E" w:rsidRPr="008B7EA0">
        <w:rPr>
          <w:rFonts w:ascii="Arial" w:hAnsi="Arial" w:cs="Arial"/>
          <w:sz w:val="22"/>
          <w:szCs w:val="22"/>
        </w:rPr>
        <w:fldChar w:fldCharType="separate"/>
      </w:r>
      <w:r w:rsidR="00B41D7A">
        <w:rPr>
          <w:rFonts w:ascii="Arial" w:hAnsi="Arial" w:cs="Arial"/>
          <w:noProof/>
          <w:sz w:val="22"/>
          <w:szCs w:val="22"/>
        </w:rPr>
        <w:t>11</w:t>
      </w:r>
      <w:r w:rsidR="00663F5E" w:rsidRPr="008B7EA0">
        <w:rPr>
          <w:rFonts w:ascii="Arial" w:hAnsi="Arial" w:cs="Arial"/>
          <w:sz w:val="22"/>
          <w:szCs w:val="22"/>
        </w:rPr>
        <w:fldChar w:fldCharType="end"/>
      </w:r>
      <w:r w:rsidR="00663F5E" w:rsidRPr="008B7EA0">
        <w:rPr>
          <w:rFonts w:ascii="Arial" w:hAnsi="Arial" w:cs="Arial"/>
          <w:sz w:val="22"/>
          <w:szCs w:val="22"/>
        </w:rPr>
        <w:t>:</w:t>
      </w:r>
      <w:r w:rsidR="00663F5E" w:rsidRPr="008B7EA0">
        <w:rPr>
          <w:rFonts w:ascii="Arial" w:hAnsi="Arial" w:cs="Arial"/>
          <w:iCs/>
          <w:sz w:val="22"/>
          <w:szCs w:val="22"/>
        </w:rPr>
        <w:t xml:space="preserve"> </w:t>
      </w:r>
      <w:r w:rsidR="008C1545">
        <w:rPr>
          <w:rFonts w:ascii="Arial" w:hAnsi="Arial" w:cs="Arial"/>
          <w:iCs/>
          <w:sz w:val="22"/>
          <w:szCs w:val="22"/>
        </w:rPr>
        <w:t>Geographic</w:t>
      </w:r>
      <w:r w:rsidR="00663F5E">
        <w:rPr>
          <w:rFonts w:ascii="Arial" w:hAnsi="Arial" w:cs="Arial"/>
          <w:iCs/>
          <w:sz w:val="22"/>
          <w:szCs w:val="22"/>
        </w:rPr>
        <w:t xml:space="preserve"> </w:t>
      </w:r>
      <w:r w:rsidR="00663F5E">
        <w:rPr>
          <w:rFonts w:ascii="Arial" w:hAnsi="Arial" w:cs="Arial"/>
          <w:color w:val="000000"/>
          <w:sz w:val="22"/>
          <w:szCs w:val="22"/>
        </w:rPr>
        <w:t>d</w:t>
      </w:r>
      <w:r w:rsidR="00663F5E" w:rsidRPr="008B7EA0">
        <w:rPr>
          <w:rFonts w:ascii="Arial" w:hAnsi="Arial" w:cs="Arial"/>
          <w:color w:val="000000"/>
          <w:sz w:val="22"/>
          <w:szCs w:val="22"/>
        </w:rPr>
        <w:t xml:space="preserve">istribution of households by </w:t>
      </w:r>
      <w:r w:rsidR="00663F5E">
        <w:rPr>
          <w:rFonts w:ascii="Arial" w:hAnsi="Arial" w:cs="Arial"/>
          <w:color w:val="000000"/>
          <w:sz w:val="22"/>
          <w:szCs w:val="22"/>
        </w:rPr>
        <w:t>catastrophic health payments</w:t>
      </w:r>
      <w:bookmarkEnd w:id="43"/>
    </w:p>
    <w:p w14:paraId="3D39A030" w14:textId="29B769F4" w:rsidR="00663F5E" w:rsidRPr="00091CF5" w:rsidRDefault="00D3265D" w:rsidP="00D3265D">
      <w:pPr>
        <w:jc w:val="both"/>
        <w:rPr>
          <w:lang w:val="en-GB"/>
        </w:rPr>
      </w:pPr>
      <w:r w:rsidRPr="00D3265D">
        <w:rPr>
          <w:noProof/>
        </w:rPr>
        <w:drawing>
          <wp:inline distT="0" distB="0" distL="0" distR="0" wp14:anchorId="5538BAD1" wp14:editId="705CF0E3">
            <wp:extent cx="5490210" cy="2469565"/>
            <wp:effectExtent l="0" t="0" r="0" b="0"/>
            <wp:docPr id="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90210" cy="2469565"/>
                    </a:xfrm>
                    <a:prstGeom prst="rect">
                      <a:avLst/>
                    </a:prstGeom>
                    <a:noFill/>
                    <a:ln>
                      <a:noFill/>
                    </a:ln>
                  </pic:spPr>
                </pic:pic>
              </a:graphicData>
            </a:graphic>
          </wp:inline>
        </w:drawing>
      </w:r>
    </w:p>
    <w:p w14:paraId="66C329ED" w14:textId="77777777" w:rsidR="00663F5E" w:rsidRPr="008B7EA0" w:rsidRDefault="00663F5E" w:rsidP="00663F5E">
      <w:pPr>
        <w:rPr>
          <w:i/>
          <w:sz w:val="22"/>
          <w:lang w:val="en-GB"/>
        </w:rPr>
      </w:pPr>
      <w:r w:rsidRPr="008B7EA0">
        <w:rPr>
          <w:i/>
          <w:sz w:val="22"/>
          <w:lang w:val="en-GB"/>
        </w:rPr>
        <w:t>Source: Mongolia Household Socio-Economic Surveys, 20</w:t>
      </w:r>
      <w:r>
        <w:rPr>
          <w:i/>
          <w:sz w:val="22"/>
          <w:lang w:val="en-GB"/>
        </w:rPr>
        <w:t>10</w:t>
      </w:r>
      <w:r w:rsidRPr="008B7EA0">
        <w:rPr>
          <w:i/>
          <w:sz w:val="22"/>
          <w:lang w:val="en-GB"/>
        </w:rPr>
        <w:t>-2012</w:t>
      </w:r>
    </w:p>
    <w:p w14:paraId="682C56CA" w14:textId="77777777" w:rsidR="00663F5E" w:rsidRDefault="00663F5E" w:rsidP="00736172">
      <w:pPr>
        <w:jc w:val="both"/>
        <w:rPr>
          <w:rFonts w:ascii="Arial" w:hAnsi="Arial" w:cs="Arial"/>
        </w:rPr>
      </w:pPr>
    </w:p>
    <w:p w14:paraId="3591C42D" w14:textId="452E1ED7" w:rsidR="004E413A" w:rsidRDefault="00736172" w:rsidP="001455A9">
      <w:pPr>
        <w:jc w:val="both"/>
        <w:rPr>
          <w:rFonts w:ascii="Arial" w:hAnsi="Arial" w:cs="Arial"/>
        </w:rPr>
      </w:pPr>
      <w:r w:rsidRPr="004458B3">
        <w:rPr>
          <w:rFonts w:ascii="Arial" w:hAnsi="Arial" w:cs="Arial"/>
        </w:rPr>
        <w:t>Out of total households, 1.</w:t>
      </w:r>
      <w:r>
        <w:rPr>
          <w:rFonts w:ascii="Arial" w:hAnsi="Arial" w:cs="Arial"/>
        </w:rPr>
        <w:t>1</w:t>
      </w:r>
      <w:r w:rsidRPr="004458B3">
        <w:rPr>
          <w:rFonts w:ascii="Arial" w:hAnsi="Arial" w:cs="Arial"/>
        </w:rPr>
        <w:t xml:space="preserve">% </w:t>
      </w:r>
      <w:r>
        <w:rPr>
          <w:rFonts w:ascii="Arial" w:hAnsi="Arial" w:cs="Arial"/>
        </w:rPr>
        <w:t xml:space="preserve">in 2010, 1.2% in 2011 and 0.6% in 2012 have been pushed below the poverty line due to health payments. </w:t>
      </w:r>
      <w:r w:rsidRPr="004458B3">
        <w:rPr>
          <w:rFonts w:ascii="Arial" w:hAnsi="Arial" w:cs="Arial"/>
        </w:rPr>
        <w:t>This account</w:t>
      </w:r>
      <w:r>
        <w:rPr>
          <w:rFonts w:ascii="Arial" w:hAnsi="Arial" w:cs="Arial"/>
        </w:rPr>
        <w:t>ed</w:t>
      </w:r>
      <w:r w:rsidRPr="004458B3">
        <w:rPr>
          <w:rFonts w:ascii="Arial" w:hAnsi="Arial" w:cs="Arial"/>
        </w:rPr>
        <w:t xml:space="preserve"> </w:t>
      </w:r>
      <w:r>
        <w:rPr>
          <w:rFonts w:ascii="Arial" w:hAnsi="Arial" w:cs="Arial"/>
        </w:rPr>
        <w:t>f</w:t>
      </w:r>
      <w:r w:rsidRPr="004458B3">
        <w:rPr>
          <w:rFonts w:ascii="Arial" w:hAnsi="Arial" w:cs="Arial"/>
        </w:rPr>
        <w:t>o</w:t>
      </w:r>
      <w:r>
        <w:rPr>
          <w:rFonts w:ascii="Arial" w:hAnsi="Arial" w:cs="Arial"/>
        </w:rPr>
        <w:t>r</w:t>
      </w:r>
      <w:r w:rsidRPr="004458B3">
        <w:rPr>
          <w:rFonts w:ascii="Arial" w:hAnsi="Arial" w:cs="Arial"/>
        </w:rPr>
        <w:t xml:space="preserve"> </w:t>
      </w:r>
      <w:r>
        <w:rPr>
          <w:rFonts w:ascii="Arial" w:hAnsi="Arial" w:cs="Arial"/>
        </w:rPr>
        <w:t>7602</w:t>
      </w:r>
      <w:r w:rsidRPr="004458B3">
        <w:rPr>
          <w:rFonts w:ascii="Arial" w:hAnsi="Arial" w:cs="Arial"/>
        </w:rPr>
        <w:t xml:space="preserve"> Mongolian households in 20</w:t>
      </w:r>
      <w:r>
        <w:rPr>
          <w:rFonts w:ascii="Arial" w:hAnsi="Arial" w:cs="Arial"/>
        </w:rPr>
        <w:t>10 and decreased to 4685 households in 2012</w:t>
      </w:r>
      <w:r w:rsidRPr="004458B3">
        <w:rPr>
          <w:rFonts w:ascii="Arial" w:hAnsi="Arial" w:cs="Arial"/>
        </w:rPr>
        <w:t>.</w:t>
      </w:r>
      <w:r>
        <w:rPr>
          <w:rFonts w:ascii="Arial" w:hAnsi="Arial" w:cs="Arial"/>
        </w:rPr>
        <w:t xml:space="preserve"> </w:t>
      </w:r>
      <w:r>
        <w:rPr>
          <w:rFonts w:ascii="Arial" w:hAnsi="Arial" w:cs="Arial"/>
        </w:rPr>
        <w:lastRenderedPageBreak/>
        <w:t>Compared to 2009, the number of households impoverished due to health payments decreased by almost 40%</w:t>
      </w:r>
      <w:r w:rsidR="00B41D7A">
        <w:rPr>
          <w:rFonts w:ascii="Arial" w:hAnsi="Arial" w:cs="Arial"/>
        </w:rPr>
        <w:t xml:space="preserve"> in 2012</w:t>
      </w:r>
      <w:r w:rsidR="001455A9">
        <w:rPr>
          <w:rFonts w:ascii="Arial" w:hAnsi="Arial" w:cs="Arial"/>
        </w:rPr>
        <w:t xml:space="preserve"> (Table 15)</w:t>
      </w:r>
      <w:r>
        <w:rPr>
          <w:rFonts w:ascii="Arial" w:hAnsi="Arial" w:cs="Arial"/>
        </w:rPr>
        <w:t>.</w:t>
      </w:r>
      <w:r w:rsidR="00F856AF">
        <w:rPr>
          <w:rFonts w:ascii="Arial" w:hAnsi="Arial" w:cs="Arial"/>
        </w:rPr>
        <w:t xml:space="preserve"> </w:t>
      </w:r>
    </w:p>
    <w:p w14:paraId="1B9BD346" w14:textId="4EE372A7" w:rsidR="00F67E95" w:rsidRPr="00F67E95" w:rsidRDefault="00F67E95" w:rsidP="007C5DA0">
      <w:pPr>
        <w:pStyle w:val="Caption"/>
        <w:tabs>
          <w:tab w:val="left" w:pos="708"/>
          <w:tab w:val="center" w:pos="4323"/>
        </w:tabs>
      </w:pPr>
    </w:p>
    <w:p w14:paraId="49251005" w14:textId="07BC5A2F" w:rsidR="004B13E9" w:rsidRPr="008B7EA0" w:rsidRDefault="008B7EA0" w:rsidP="00B41D7A">
      <w:pPr>
        <w:pStyle w:val="Caption"/>
        <w:tabs>
          <w:tab w:val="left" w:pos="708"/>
          <w:tab w:val="center" w:pos="4323"/>
        </w:tabs>
        <w:jc w:val="center"/>
        <w:rPr>
          <w:rFonts w:ascii="Arial" w:hAnsi="Arial" w:cs="Arial"/>
          <w:b w:val="0"/>
          <w:sz w:val="22"/>
          <w:szCs w:val="22"/>
          <w:lang w:val="en-GB"/>
        </w:rPr>
      </w:pPr>
      <w:bookmarkStart w:id="44" w:name="_Toc310170098"/>
      <w:r w:rsidRPr="008B7EA0">
        <w:rPr>
          <w:rFonts w:ascii="Arial" w:hAnsi="Arial" w:cs="Arial"/>
          <w:b w:val="0"/>
          <w:sz w:val="22"/>
          <w:szCs w:val="22"/>
        </w:rPr>
        <w:t xml:space="preserve">Table </w:t>
      </w:r>
      <w:r w:rsidR="00CB191B" w:rsidRPr="008B7EA0">
        <w:rPr>
          <w:rFonts w:ascii="Arial" w:hAnsi="Arial" w:cs="Arial"/>
          <w:b w:val="0"/>
          <w:sz w:val="22"/>
          <w:szCs w:val="22"/>
        </w:rPr>
        <w:fldChar w:fldCharType="begin"/>
      </w:r>
      <w:r w:rsidRPr="008B7EA0">
        <w:rPr>
          <w:rFonts w:ascii="Arial" w:hAnsi="Arial" w:cs="Arial"/>
          <w:b w:val="0"/>
          <w:sz w:val="22"/>
          <w:szCs w:val="22"/>
        </w:rPr>
        <w:instrText xml:space="preserve"> SEQ Table \* ARABIC </w:instrText>
      </w:r>
      <w:r w:rsidR="00CB191B" w:rsidRPr="008B7EA0">
        <w:rPr>
          <w:rFonts w:ascii="Arial" w:hAnsi="Arial" w:cs="Arial"/>
          <w:b w:val="0"/>
          <w:sz w:val="22"/>
          <w:szCs w:val="22"/>
        </w:rPr>
        <w:fldChar w:fldCharType="separate"/>
      </w:r>
      <w:r w:rsidR="001455A9">
        <w:rPr>
          <w:rFonts w:ascii="Arial" w:hAnsi="Arial" w:cs="Arial"/>
          <w:b w:val="0"/>
          <w:noProof/>
          <w:sz w:val="22"/>
          <w:szCs w:val="22"/>
        </w:rPr>
        <w:t>15</w:t>
      </w:r>
      <w:r w:rsidR="00CB191B" w:rsidRPr="008B7EA0">
        <w:rPr>
          <w:rFonts w:ascii="Arial" w:hAnsi="Arial" w:cs="Arial"/>
          <w:b w:val="0"/>
          <w:sz w:val="22"/>
          <w:szCs w:val="22"/>
        </w:rPr>
        <w:fldChar w:fldCharType="end"/>
      </w:r>
      <w:r w:rsidR="004458B3" w:rsidRPr="008B7EA0">
        <w:rPr>
          <w:rFonts w:ascii="Arial" w:hAnsi="Arial" w:cs="Arial"/>
          <w:b w:val="0"/>
          <w:sz w:val="22"/>
          <w:szCs w:val="22"/>
        </w:rPr>
        <w:t>:</w:t>
      </w:r>
      <w:r w:rsidR="004458B3" w:rsidRPr="008B7EA0">
        <w:rPr>
          <w:rFonts w:ascii="Arial" w:hAnsi="Arial" w:cs="Arial"/>
          <w:b w:val="0"/>
          <w:iCs/>
          <w:sz w:val="22"/>
          <w:szCs w:val="22"/>
        </w:rPr>
        <w:t xml:space="preserve"> </w:t>
      </w:r>
      <w:r w:rsidR="004B13E9" w:rsidRPr="008B7EA0">
        <w:rPr>
          <w:rFonts w:ascii="Arial" w:hAnsi="Arial" w:cs="Arial"/>
          <w:b w:val="0"/>
          <w:sz w:val="22"/>
          <w:szCs w:val="22"/>
          <w:lang w:val="en-GB"/>
        </w:rPr>
        <w:t xml:space="preserve"> </w:t>
      </w:r>
      <w:r w:rsidR="004458B3" w:rsidRPr="008B7EA0">
        <w:rPr>
          <w:rFonts w:ascii="Arial" w:hAnsi="Arial" w:cs="Arial"/>
          <w:b w:val="0"/>
          <w:sz w:val="22"/>
          <w:szCs w:val="22"/>
          <w:lang w:val="en-GB"/>
        </w:rPr>
        <w:t xml:space="preserve">Distribution of </w:t>
      </w:r>
      <w:r w:rsidR="004B13E9" w:rsidRPr="008B7EA0">
        <w:rPr>
          <w:rFonts w:ascii="Arial" w:hAnsi="Arial" w:cs="Arial"/>
          <w:b w:val="0"/>
          <w:sz w:val="22"/>
          <w:szCs w:val="22"/>
          <w:lang w:val="en-GB"/>
        </w:rPr>
        <w:t>impoverishment by total out-of-pocket payment</w:t>
      </w:r>
      <w:bookmarkEnd w:id="44"/>
    </w:p>
    <w:tbl>
      <w:tblPr>
        <w:tblW w:w="6278" w:type="dxa"/>
        <w:tblInd w:w="1440" w:type="dxa"/>
        <w:tblLook w:val="04A0" w:firstRow="1" w:lastRow="0" w:firstColumn="1" w:lastColumn="0" w:noHBand="0" w:noVBand="1"/>
      </w:tblPr>
      <w:tblGrid>
        <w:gridCol w:w="2448"/>
        <w:gridCol w:w="962"/>
        <w:gridCol w:w="956"/>
        <w:gridCol w:w="956"/>
        <w:gridCol w:w="956"/>
      </w:tblGrid>
      <w:tr w:rsidR="008B7EA0" w:rsidRPr="008B7EA0" w14:paraId="7CFBB1E6" w14:textId="77777777" w:rsidTr="001455A9">
        <w:trPr>
          <w:trHeight w:val="255"/>
        </w:trPr>
        <w:tc>
          <w:tcPr>
            <w:tcW w:w="2448" w:type="dxa"/>
            <w:tcBorders>
              <w:top w:val="single" w:sz="4" w:space="0" w:color="auto"/>
              <w:left w:val="nil"/>
              <w:bottom w:val="single" w:sz="4" w:space="0" w:color="auto"/>
              <w:right w:val="nil"/>
            </w:tcBorders>
            <w:shd w:val="clear" w:color="auto" w:fill="auto"/>
            <w:noWrap/>
            <w:vAlign w:val="center"/>
            <w:hideMark/>
          </w:tcPr>
          <w:p w14:paraId="2DE4756C" w14:textId="78F36ECA" w:rsidR="008B7EA0" w:rsidRPr="0055231E" w:rsidRDefault="004E413A" w:rsidP="004E413A">
            <w:pPr>
              <w:ind w:right="-700"/>
              <w:rPr>
                <w:rFonts w:ascii="Arial Narrow" w:hAnsi="Arial Narrow" w:cs="Arial"/>
                <w:sz w:val="22"/>
                <w:szCs w:val="22"/>
                <w:lang w:val="mn-MN" w:eastAsia="mn-MN"/>
              </w:rPr>
            </w:pPr>
            <w:r>
              <w:rPr>
                <w:rFonts w:ascii="Arial Narrow" w:hAnsi="Arial Narrow" w:cs="Arial"/>
                <w:sz w:val="22"/>
                <w:szCs w:val="22"/>
                <w:lang w:val="mn-MN" w:eastAsia="mn-MN"/>
              </w:rPr>
              <w:t>Expenditure quintile</w:t>
            </w:r>
          </w:p>
        </w:tc>
        <w:tc>
          <w:tcPr>
            <w:tcW w:w="962" w:type="dxa"/>
            <w:tcBorders>
              <w:top w:val="single" w:sz="4" w:space="0" w:color="auto"/>
              <w:left w:val="nil"/>
              <w:bottom w:val="single" w:sz="4" w:space="0" w:color="auto"/>
              <w:right w:val="nil"/>
            </w:tcBorders>
            <w:vAlign w:val="center"/>
          </w:tcPr>
          <w:p w14:paraId="210C2815" w14:textId="77777777" w:rsidR="0063093C" w:rsidRDefault="0063093C" w:rsidP="00453010">
            <w:pPr>
              <w:jc w:val="center"/>
              <w:rPr>
                <w:rFonts w:ascii="Arial Narrow" w:hAnsi="Arial Narrow" w:cs="Arial"/>
                <w:b/>
                <w:sz w:val="22"/>
                <w:szCs w:val="22"/>
                <w:lang w:eastAsia="mn-MN"/>
              </w:rPr>
            </w:pPr>
          </w:p>
          <w:p w14:paraId="30796F66" w14:textId="77777777" w:rsidR="008B7EA0" w:rsidRPr="001455A9" w:rsidRDefault="008B7EA0" w:rsidP="00453010">
            <w:pPr>
              <w:jc w:val="center"/>
              <w:rPr>
                <w:rFonts w:ascii="Arial Narrow" w:hAnsi="Arial Narrow" w:cs="Arial"/>
                <w:b/>
                <w:sz w:val="22"/>
                <w:szCs w:val="22"/>
                <w:lang w:eastAsia="mn-MN"/>
              </w:rPr>
            </w:pPr>
            <w:r w:rsidRPr="001455A9">
              <w:rPr>
                <w:rFonts w:ascii="Arial Narrow" w:hAnsi="Arial Narrow" w:cs="Arial"/>
                <w:b/>
                <w:sz w:val="22"/>
                <w:szCs w:val="22"/>
                <w:lang w:eastAsia="mn-MN"/>
              </w:rPr>
              <w:t>2009</w:t>
            </w:r>
          </w:p>
          <w:p w14:paraId="3DB37A9D" w14:textId="78CB0F05" w:rsidR="008B7EA0" w:rsidRPr="001455A9" w:rsidRDefault="008B7EA0" w:rsidP="00453010">
            <w:pPr>
              <w:jc w:val="center"/>
              <w:rPr>
                <w:rFonts w:ascii="Arial Narrow" w:hAnsi="Arial Narrow" w:cs="Arial"/>
                <w:b/>
                <w:sz w:val="22"/>
                <w:szCs w:val="22"/>
                <w:lang w:eastAsia="mn-MN"/>
              </w:rPr>
            </w:pPr>
          </w:p>
        </w:tc>
        <w:tc>
          <w:tcPr>
            <w:tcW w:w="956" w:type="dxa"/>
            <w:tcBorders>
              <w:top w:val="single" w:sz="4" w:space="0" w:color="auto"/>
              <w:left w:val="nil"/>
              <w:bottom w:val="single" w:sz="4" w:space="0" w:color="auto"/>
              <w:right w:val="nil"/>
            </w:tcBorders>
            <w:shd w:val="clear" w:color="auto" w:fill="auto"/>
            <w:noWrap/>
            <w:vAlign w:val="center"/>
            <w:hideMark/>
          </w:tcPr>
          <w:p w14:paraId="2973BBB8" w14:textId="77777777" w:rsidR="008B7EA0" w:rsidRPr="001455A9" w:rsidRDefault="008B7EA0" w:rsidP="00453010">
            <w:pPr>
              <w:jc w:val="center"/>
              <w:rPr>
                <w:rFonts w:ascii="Arial Narrow" w:hAnsi="Arial Narrow" w:cs="Arial"/>
                <w:b/>
                <w:sz w:val="22"/>
                <w:szCs w:val="22"/>
                <w:lang w:val="mn-MN" w:eastAsia="mn-MN"/>
              </w:rPr>
            </w:pPr>
            <w:r w:rsidRPr="001455A9">
              <w:rPr>
                <w:rFonts w:ascii="Arial Narrow" w:hAnsi="Arial Narrow" w:cs="Arial"/>
                <w:b/>
                <w:sz w:val="22"/>
                <w:szCs w:val="22"/>
                <w:lang w:val="mn-MN" w:eastAsia="mn-MN"/>
              </w:rPr>
              <w:t>2010</w:t>
            </w:r>
          </w:p>
        </w:tc>
        <w:tc>
          <w:tcPr>
            <w:tcW w:w="956" w:type="dxa"/>
            <w:tcBorders>
              <w:top w:val="single" w:sz="4" w:space="0" w:color="auto"/>
              <w:left w:val="nil"/>
              <w:bottom w:val="single" w:sz="4" w:space="0" w:color="auto"/>
              <w:right w:val="nil"/>
            </w:tcBorders>
            <w:shd w:val="clear" w:color="auto" w:fill="auto"/>
            <w:noWrap/>
            <w:vAlign w:val="center"/>
            <w:hideMark/>
          </w:tcPr>
          <w:p w14:paraId="57F53DC9" w14:textId="77777777" w:rsidR="008B7EA0" w:rsidRPr="001455A9" w:rsidRDefault="008B7EA0" w:rsidP="00453010">
            <w:pPr>
              <w:jc w:val="center"/>
              <w:rPr>
                <w:rFonts w:ascii="Arial Narrow" w:hAnsi="Arial Narrow" w:cs="Arial"/>
                <w:b/>
                <w:sz w:val="22"/>
                <w:szCs w:val="22"/>
                <w:lang w:val="mn-MN" w:eastAsia="mn-MN"/>
              </w:rPr>
            </w:pPr>
            <w:r w:rsidRPr="001455A9">
              <w:rPr>
                <w:rFonts w:ascii="Arial Narrow" w:hAnsi="Arial Narrow" w:cs="Arial"/>
                <w:b/>
                <w:sz w:val="22"/>
                <w:szCs w:val="22"/>
                <w:lang w:val="mn-MN" w:eastAsia="mn-MN"/>
              </w:rPr>
              <w:t>2011</w:t>
            </w:r>
          </w:p>
        </w:tc>
        <w:tc>
          <w:tcPr>
            <w:tcW w:w="956" w:type="dxa"/>
            <w:tcBorders>
              <w:top w:val="single" w:sz="4" w:space="0" w:color="auto"/>
              <w:left w:val="nil"/>
              <w:bottom w:val="single" w:sz="4" w:space="0" w:color="auto"/>
              <w:right w:val="nil"/>
            </w:tcBorders>
            <w:shd w:val="clear" w:color="auto" w:fill="auto"/>
            <w:noWrap/>
            <w:vAlign w:val="center"/>
            <w:hideMark/>
          </w:tcPr>
          <w:p w14:paraId="76502DD8" w14:textId="77777777" w:rsidR="008B7EA0" w:rsidRPr="001455A9" w:rsidRDefault="008B7EA0" w:rsidP="00453010">
            <w:pPr>
              <w:jc w:val="center"/>
              <w:rPr>
                <w:rFonts w:ascii="Arial Narrow" w:hAnsi="Arial Narrow" w:cs="Arial"/>
                <w:b/>
                <w:sz w:val="22"/>
                <w:szCs w:val="22"/>
                <w:lang w:val="mn-MN" w:eastAsia="mn-MN"/>
              </w:rPr>
            </w:pPr>
            <w:r w:rsidRPr="001455A9">
              <w:rPr>
                <w:rFonts w:ascii="Arial Narrow" w:hAnsi="Arial Narrow" w:cs="Arial"/>
                <w:b/>
                <w:sz w:val="22"/>
                <w:szCs w:val="22"/>
                <w:lang w:val="mn-MN" w:eastAsia="mn-MN"/>
              </w:rPr>
              <w:t>2012</w:t>
            </w:r>
          </w:p>
        </w:tc>
      </w:tr>
      <w:tr w:rsidR="008B7EA0" w:rsidRPr="008B7EA0" w14:paraId="742F4954" w14:textId="77777777" w:rsidTr="001455A9">
        <w:trPr>
          <w:trHeight w:val="255"/>
        </w:trPr>
        <w:tc>
          <w:tcPr>
            <w:tcW w:w="2448" w:type="dxa"/>
            <w:tcBorders>
              <w:top w:val="nil"/>
              <w:left w:val="nil"/>
              <w:bottom w:val="nil"/>
              <w:right w:val="nil"/>
            </w:tcBorders>
            <w:shd w:val="clear" w:color="auto" w:fill="auto"/>
            <w:noWrap/>
            <w:vAlign w:val="center"/>
            <w:hideMark/>
          </w:tcPr>
          <w:p w14:paraId="5EE4BD43" w14:textId="77777777" w:rsidR="008B7EA0" w:rsidRPr="0055231E" w:rsidRDefault="008B7EA0" w:rsidP="00453010">
            <w:pPr>
              <w:jc w:val="center"/>
              <w:rPr>
                <w:rFonts w:ascii="Arial Narrow" w:hAnsi="Arial Narrow" w:cs="Arial"/>
                <w:sz w:val="22"/>
                <w:szCs w:val="22"/>
                <w:lang w:val="mn-MN" w:eastAsia="mn-MN"/>
              </w:rPr>
            </w:pPr>
            <w:r w:rsidRPr="0055231E">
              <w:rPr>
                <w:rFonts w:ascii="Arial Narrow" w:hAnsi="Arial Narrow" w:cs="Arial"/>
                <w:sz w:val="22"/>
                <w:szCs w:val="22"/>
                <w:lang w:val="mn-MN" w:eastAsia="mn-MN"/>
              </w:rPr>
              <w:t>1</w:t>
            </w:r>
          </w:p>
        </w:tc>
        <w:tc>
          <w:tcPr>
            <w:tcW w:w="962" w:type="dxa"/>
            <w:tcBorders>
              <w:top w:val="nil"/>
              <w:left w:val="nil"/>
              <w:bottom w:val="nil"/>
              <w:right w:val="nil"/>
            </w:tcBorders>
            <w:vAlign w:val="center"/>
          </w:tcPr>
          <w:p w14:paraId="083DA529" w14:textId="77777777" w:rsidR="008B7EA0" w:rsidRPr="0055231E" w:rsidRDefault="002C6916" w:rsidP="00453010">
            <w:pPr>
              <w:jc w:val="center"/>
              <w:rPr>
                <w:rFonts w:ascii="Arial Narrow" w:hAnsi="Arial Narrow" w:cs="Arial"/>
                <w:sz w:val="22"/>
                <w:szCs w:val="22"/>
                <w:lang w:eastAsia="mn-MN"/>
              </w:rPr>
            </w:pPr>
            <w:r w:rsidRPr="0055231E">
              <w:rPr>
                <w:rFonts w:ascii="Arial Narrow" w:hAnsi="Arial Narrow" w:cs="Arial"/>
                <w:sz w:val="22"/>
                <w:szCs w:val="22"/>
                <w:lang w:eastAsia="mn-MN"/>
              </w:rPr>
              <w:t>0.0%</w:t>
            </w:r>
          </w:p>
        </w:tc>
        <w:tc>
          <w:tcPr>
            <w:tcW w:w="956" w:type="dxa"/>
            <w:tcBorders>
              <w:top w:val="nil"/>
              <w:left w:val="nil"/>
              <w:bottom w:val="nil"/>
              <w:right w:val="nil"/>
            </w:tcBorders>
            <w:shd w:val="clear" w:color="auto" w:fill="auto"/>
            <w:noWrap/>
            <w:vAlign w:val="center"/>
            <w:hideMark/>
          </w:tcPr>
          <w:p w14:paraId="3FF5C600" w14:textId="77777777" w:rsidR="008B7EA0" w:rsidRPr="0055231E" w:rsidRDefault="008B7EA0" w:rsidP="00453010">
            <w:pPr>
              <w:jc w:val="center"/>
              <w:rPr>
                <w:rFonts w:ascii="Arial Narrow" w:hAnsi="Arial Narrow" w:cs="Arial"/>
                <w:sz w:val="22"/>
                <w:szCs w:val="22"/>
                <w:lang w:val="mn-MN" w:eastAsia="mn-MN"/>
              </w:rPr>
            </w:pPr>
            <w:r w:rsidRPr="0055231E">
              <w:rPr>
                <w:rFonts w:ascii="Arial Narrow" w:hAnsi="Arial Narrow" w:cs="Arial"/>
                <w:sz w:val="22"/>
                <w:szCs w:val="22"/>
                <w:lang w:val="mn-MN" w:eastAsia="mn-MN"/>
              </w:rPr>
              <w:t>4.0%</w:t>
            </w:r>
          </w:p>
        </w:tc>
        <w:tc>
          <w:tcPr>
            <w:tcW w:w="956" w:type="dxa"/>
            <w:tcBorders>
              <w:top w:val="nil"/>
              <w:left w:val="nil"/>
              <w:bottom w:val="nil"/>
              <w:right w:val="nil"/>
            </w:tcBorders>
            <w:shd w:val="clear" w:color="auto" w:fill="auto"/>
            <w:noWrap/>
            <w:vAlign w:val="center"/>
            <w:hideMark/>
          </w:tcPr>
          <w:p w14:paraId="52B9B901" w14:textId="77777777" w:rsidR="008B7EA0" w:rsidRPr="0055231E" w:rsidRDefault="008B7EA0" w:rsidP="00453010">
            <w:pPr>
              <w:jc w:val="center"/>
              <w:rPr>
                <w:rFonts w:ascii="Arial Narrow" w:hAnsi="Arial Narrow" w:cs="Arial"/>
                <w:sz w:val="22"/>
                <w:szCs w:val="22"/>
                <w:lang w:val="mn-MN" w:eastAsia="mn-MN"/>
              </w:rPr>
            </w:pPr>
            <w:r w:rsidRPr="0055231E">
              <w:rPr>
                <w:rFonts w:ascii="Arial Narrow" w:hAnsi="Arial Narrow" w:cs="Arial"/>
                <w:sz w:val="22"/>
                <w:szCs w:val="22"/>
                <w:lang w:val="mn-MN" w:eastAsia="mn-MN"/>
              </w:rPr>
              <w:t>4.1%</w:t>
            </w:r>
          </w:p>
        </w:tc>
        <w:tc>
          <w:tcPr>
            <w:tcW w:w="956" w:type="dxa"/>
            <w:tcBorders>
              <w:top w:val="nil"/>
              <w:left w:val="nil"/>
              <w:bottom w:val="nil"/>
              <w:right w:val="nil"/>
            </w:tcBorders>
            <w:shd w:val="clear" w:color="auto" w:fill="auto"/>
            <w:noWrap/>
            <w:vAlign w:val="center"/>
            <w:hideMark/>
          </w:tcPr>
          <w:p w14:paraId="39FB2E62" w14:textId="77777777" w:rsidR="008B7EA0" w:rsidRPr="0055231E" w:rsidRDefault="008B7EA0" w:rsidP="00453010">
            <w:pPr>
              <w:jc w:val="center"/>
              <w:rPr>
                <w:rFonts w:ascii="Arial Narrow" w:hAnsi="Arial Narrow" w:cs="Arial"/>
                <w:sz w:val="22"/>
                <w:szCs w:val="22"/>
                <w:lang w:val="mn-MN" w:eastAsia="mn-MN"/>
              </w:rPr>
            </w:pPr>
            <w:r w:rsidRPr="0055231E">
              <w:rPr>
                <w:rFonts w:ascii="Arial Narrow" w:hAnsi="Arial Narrow" w:cs="Arial"/>
                <w:sz w:val="22"/>
                <w:szCs w:val="22"/>
                <w:lang w:val="mn-MN" w:eastAsia="mn-MN"/>
              </w:rPr>
              <w:t>2.7%</w:t>
            </w:r>
          </w:p>
        </w:tc>
      </w:tr>
      <w:tr w:rsidR="008B7EA0" w:rsidRPr="008B7EA0" w14:paraId="6DA5CD68" w14:textId="77777777" w:rsidTr="001455A9">
        <w:trPr>
          <w:trHeight w:val="255"/>
        </w:trPr>
        <w:tc>
          <w:tcPr>
            <w:tcW w:w="2448" w:type="dxa"/>
            <w:tcBorders>
              <w:top w:val="nil"/>
              <w:left w:val="nil"/>
              <w:bottom w:val="nil"/>
              <w:right w:val="nil"/>
            </w:tcBorders>
            <w:shd w:val="clear" w:color="auto" w:fill="auto"/>
            <w:noWrap/>
            <w:vAlign w:val="center"/>
            <w:hideMark/>
          </w:tcPr>
          <w:p w14:paraId="551D12A7" w14:textId="77777777" w:rsidR="008B7EA0" w:rsidRPr="0055231E" w:rsidRDefault="008B7EA0" w:rsidP="00453010">
            <w:pPr>
              <w:jc w:val="center"/>
              <w:rPr>
                <w:rFonts w:ascii="Arial Narrow" w:hAnsi="Arial Narrow" w:cs="Arial"/>
                <w:sz w:val="22"/>
                <w:szCs w:val="22"/>
                <w:lang w:val="mn-MN" w:eastAsia="mn-MN"/>
              </w:rPr>
            </w:pPr>
            <w:r w:rsidRPr="0055231E">
              <w:rPr>
                <w:rFonts w:ascii="Arial Narrow" w:hAnsi="Arial Narrow" w:cs="Arial"/>
                <w:sz w:val="22"/>
                <w:szCs w:val="22"/>
                <w:lang w:val="mn-MN" w:eastAsia="mn-MN"/>
              </w:rPr>
              <w:t>2</w:t>
            </w:r>
          </w:p>
        </w:tc>
        <w:tc>
          <w:tcPr>
            <w:tcW w:w="962" w:type="dxa"/>
            <w:tcBorders>
              <w:top w:val="nil"/>
              <w:left w:val="nil"/>
              <w:bottom w:val="nil"/>
              <w:right w:val="nil"/>
            </w:tcBorders>
            <w:vAlign w:val="center"/>
          </w:tcPr>
          <w:p w14:paraId="57616350" w14:textId="77777777" w:rsidR="008B7EA0" w:rsidRPr="0055231E" w:rsidRDefault="002C6916" w:rsidP="00453010">
            <w:pPr>
              <w:jc w:val="center"/>
              <w:rPr>
                <w:rFonts w:ascii="Arial Narrow" w:hAnsi="Arial Narrow" w:cs="Arial"/>
                <w:sz w:val="22"/>
                <w:szCs w:val="22"/>
                <w:lang w:eastAsia="mn-MN"/>
              </w:rPr>
            </w:pPr>
            <w:r w:rsidRPr="0055231E">
              <w:rPr>
                <w:rFonts w:ascii="Arial Narrow" w:hAnsi="Arial Narrow" w:cs="Arial"/>
                <w:sz w:val="22"/>
                <w:szCs w:val="22"/>
                <w:lang w:eastAsia="mn-MN"/>
              </w:rPr>
              <w:t>7.0%</w:t>
            </w:r>
          </w:p>
        </w:tc>
        <w:tc>
          <w:tcPr>
            <w:tcW w:w="956" w:type="dxa"/>
            <w:tcBorders>
              <w:top w:val="nil"/>
              <w:left w:val="nil"/>
              <w:bottom w:val="nil"/>
              <w:right w:val="nil"/>
            </w:tcBorders>
            <w:shd w:val="clear" w:color="auto" w:fill="auto"/>
            <w:noWrap/>
            <w:vAlign w:val="center"/>
            <w:hideMark/>
          </w:tcPr>
          <w:p w14:paraId="4E2BDB50" w14:textId="77777777" w:rsidR="008B7EA0" w:rsidRPr="0055231E" w:rsidRDefault="008B7EA0" w:rsidP="00453010">
            <w:pPr>
              <w:jc w:val="center"/>
              <w:rPr>
                <w:rFonts w:ascii="Arial Narrow" w:hAnsi="Arial Narrow" w:cs="Arial"/>
                <w:sz w:val="22"/>
                <w:szCs w:val="22"/>
                <w:lang w:val="mn-MN" w:eastAsia="mn-MN"/>
              </w:rPr>
            </w:pPr>
            <w:r w:rsidRPr="0055231E">
              <w:rPr>
                <w:rFonts w:ascii="Arial Narrow" w:hAnsi="Arial Narrow" w:cs="Arial"/>
                <w:sz w:val="22"/>
                <w:szCs w:val="22"/>
                <w:lang w:val="mn-MN" w:eastAsia="mn-MN"/>
              </w:rPr>
              <w:t>0.3%</w:t>
            </w:r>
          </w:p>
        </w:tc>
        <w:tc>
          <w:tcPr>
            <w:tcW w:w="956" w:type="dxa"/>
            <w:tcBorders>
              <w:top w:val="nil"/>
              <w:left w:val="nil"/>
              <w:bottom w:val="nil"/>
              <w:right w:val="nil"/>
            </w:tcBorders>
            <w:shd w:val="clear" w:color="auto" w:fill="auto"/>
            <w:noWrap/>
            <w:vAlign w:val="center"/>
            <w:hideMark/>
          </w:tcPr>
          <w:p w14:paraId="03897172" w14:textId="77777777" w:rsidR="008B7EA0" w:rsidRPr="0055231E" w:rsidRDefault="008B7EA0" w:rsidP="00453010">
            <w:pPr>
              <w:jc w:val="center"/>
              <w:rPr>
                <w:rFonts w:ascii="Arial Narrow" w:hAnsi="Arial Narrow" w:cs="Arial"/>
                <w:sz w:val="22"/>
                <w:szCs w:val="22"/>
                <w:lang w:val="mn-MN" w:eastAsia="mn-MN"/>
              </w:rPr>
            </w:pPr>
            <w:r w:rsidRPr="0055231E">
              <w:rPr>
                <w:rFonts w:ascii="Arial Narrow" w:hAnsi="Arial Narrow" w:cs="Arial"/>
                <w:sz w:val="22"/>
                <w:szCs w:val="22"/>
                <w:lang w:val="mn-MN" w:eastAsia="mn-MN"/>
              </w:rPr>
              <w:t>0.7%</w:t>
            </w:r>
          </w:p>
        </w:tc>
        <w:tc>
          <w:tcPr>
            <w:tcW w:w="956" w:type="dxa"/>
            <w:tcBorders>
              <w:top w:val="nil"/>
              <w:left w:val="nil"/>
              <w:bottom w:val="nil"/>
              <w:right w:val="nil"/>
            </w:tcBorders>
            <w:shd w:val="clear" w:color="auto" w:fill="auto"/>
            <w:noWrap/>
            <w:vAlign w:val="center"/>
            <w:hideMark/>
          </w:tcPr>
          <w:p w14:paraId="4AD1CCAC" w14:textId="77777777" w:rsidR="008B7EA0" w:rsidRPr="0055231E" w:rsidRDefault="008B7EA0" w:rsidP="00453010">
            <w:pPr>
              <w:jc w:val="center"/>
              <w:rPr>
                <w:rFonts w:ascii="Arial Narrow" w:hAnsi="Arial Narrow" w:cs="Arial"/>
                <w:sz w:val="22"/>
                <w:szCs w:val="22"/>
                <w:lang w:val="mn-MN" w:eastAsia="mn-MN"/>
              </w:rPr>
            </w:pPr>
            <w:r w:rsidRPr="0055231E">
              <w:rPr>
                <w:rFonts w:ascii="Arial Narrow" w:hAnsi="Arial Narrow" w:cs="Arial"/>
                <w:sz w:val="22"/>
                <w:szCs w:val="22"/>
                <w:lang w:val="mn-MN" w:eastAsia="mn-MN"/>
              </w:rPr>
              <w:t>0.1%</w:t>
            </w:r>
          </w:p>
        </w:tc>
      </w:tr>
      <w:tr w:rsidR="008B7EA0" w:rsidRPr="008B7EA0" w14:paraId="30E1C54F" w14:textId="77777777" w:rsidTr="001455A9">
        <w:trPr>
          <w:trHeight w:val="255"/>
        </w:trPr>
        <w:tc>
          <w:tcPr>
            <w:tcW w:w="2448" w:type="dxa"/>
            <w:tcBorders>
              <w:top w:val="nil"/>
              <w:left w:val="nil"/>
              <w:bottom w:val="nil"/>
              <w:right w:val="nil"/>
            </w:tcBorders>
            <w:shd w:val="clear" w:color="auto" w:fill="auto"/>
            <w:noWrap/>
            <w:vAlign w:val="center"/>
            <w:hideMark/>
          </w:tcPr>
          <w:p w14:paraId="0CC5F057" w14:textId="77777777" w:rsidR="008B7EA0" w:rsidRPr="0055231E" w:rsidRDefault="008B7EA0" w:rsidP="00453010">
            <w:pPr>
              <w:jc w:val="center"/>
              <w:rPr>
                <w:rFonts w:ascii="Arial Narrow" w:hAnsi="Arial Narrow" w:cs="Arial"/>
                <w:sz w:val="22"/>
                <w:szCs w:val="22"/>
                <w:lang w:val="mn-MN" w:eastAsia="mn-MN"/>
              </w:rPr>
            </w:pPr>
            <w:r w:rsidRPr="0055231E">
              <w:rPr>
                <w:rFonts w:ascii="Arial Narrow" w:hAnsi="Arial Narrow" w:cs="Arial"/>
                <w:sz w:val="22"/>
                <w:szCs w:val="22"/>
                <w:lang w:val="mn-MN" w:eastAsia="mn-MN"/>
              </w:rPr>
              <w:t>3</w:t>
            </w:r>
          </w:p>
        </w:tc>
        <w:tc>
          <w:tcPr>
            <w:tcW w:w="962" w:type="dxa"/>
            <w:tcBorders>
              <w:top w:val="nil"/>
              <w:left w:val="nil"/>
              <w:bottom w:val="nil"/>
              <w:right w:val="nil"/>
            </w:tcBorders>
            <w:vAlign w:val="center"/>
          </w:tcPr>
          <w:p w14:paraId="20A20044" w14:textId="77777777" w:rsidR="008B7EA0" w:rsidRPr="0055231E" w:rsidRDefault="002C6916" w:rsidP="00453010">
            <w:pPr>
              <w:jc w:val="center"/>
              <w:rPr>
                <w:rFonts w:ascii="Arial Narrow" w:hAnsi="Arial Narrow" w:cs="Arial"/>
                <w:sz w:val="22"/>
                <w:szCs w:val="22"/>
                <w:lang w:eastAsia="mn-MN"/>
              </w:rPr>
            </w:pPr>
            <w:r w:rsidRPr="0055231E">
              <w:rPr>
                <w:rFonts w:ascii="Arial Narrow" w:hAnsi="Arial Narrow" w:cs="Arial"/>
                <w:sz w:val="22"/>
                <w:szCs w:val="22"/>
                <w:lang w:eastAsia="mn-MN"/>
              </w:rPr>
              <w:t>1.1%</w:t>
            </w:r>
          </w:p>
        </w:tc>
        <w:tc>
          <w:tcPr>
            <w:tcW w:w="956" w:type="dxa"/>
            <w:tcBorders>
              <w:top w:val="nil"/>
              <w:left w:val="nil"/>
              <w:bottom w:val="nil"/>
              <w:right w:val="nil"/>
            </w:tcBorders>
            <w:shd w:val="clear" w:color="auto" w:fill="auto"/>
            <w:noWrap/>
            <w:vAlign w:val="center"/>
            <w:hideMark/>
          </w:tcPr>
          <w:p w14:paraId="01F0EF33" w14:textId="77777777" w:rsidR="008B7EA0" w:rsidRPr="0055231E" w:rsidRDefault="008B7EA0" w:rsidP="00453010">
            <w:pPr>
              <w:jc w:val="center"/>
              <w:rPr>
                <w:rFonts w:ascii="Arial Narrow" w:hAnsi="Arial Narrow" w:cs="Arial"/>
                <w:sz w:val="22"/>
                <w:szCs w:val="22"/>
                <w:lang w:val="mn-MN" w:eastAsia="mn-MN"/>
              </w:rPr>
            </w:pPr>
            <w:r w:rsidRPr="0055231E">
              <w:rPr>
                <w:rFonts w:ascii="Arial Narrow" w:hAnsi="Arial Narrow" w:cs="Arial"/>
                <w:sz w:val="22"/>
                <w:szCs w:val="22"/>
                <w:lang w:val="mn-MN" w:eastAsia="mn-MN"/>
              </w:rPr>
              <w:t>0.1%</w:t>
            </w:r>
          </w:p>
        </w:tc>
        <w:tc>
          <w:tcPr>
            <w:tcW w:w="956" w:type="dxa"/>
            <w:tcBorders>
              <w:top w:val="nil"/>
              <w:left w:val="nil"/>
              <w:bottom w:val="nil"/>
              <w:right w:val="nil"/>
            </w:tcBorders>
            <w:shd w:val="clear" w:color="auto" w:fill="auto"/>
            <w:noWrap/>
            <w:vAlign w:val="center"/>
            <w:hideMark/>
          </w:tcPr>
          <w:p w14:paraId="13151760" w14:textId="77777777" w:rsidR="008B7EA0" w:rsidRPr="0055231E" w:rsidRDefault="008B7EA0" w:rsidP="00453010">
            <w:pPr>
              <w:jc w:val="center"/>
              <w:rPr>
                <w:rFonts w:ascii="Arial Narrow" w:hAnsi="Arial Narrow" w:cs="Arial"/>
                <w:sz w:val="22"/>
                <w:szCs w:val="22"/>
                <w:lang w:val="mn-MN" w:eastAsia="mn-MN"/>
              </w:rPr>
            </w:pPr>
            <w:r w:rsidRPr="0055231E">
              <w:rPr>
                <w:rFonts w:ascii="Arial Narrow" w:hAnsi="Arial Narrow" w:cs="Arial"/>
                <w:sz w:val="22"/>
                <w:szCs w:val="22"/>
                <w:lang w:val="mn-MN" w:eastAsia="mn-MN"/>
              </w:rPr>
              <w:t>0.1%</w:t>
            </w:r>
          </w:p>
        </w:tc>
        <w:tc>
          <w:tcPr>
            <w:tcW w:w="956" w:type="dxa"/>
            <w:tcBorders>
              <w:top w:val="nil"/>
              <w:left w:val="nil"/>
              <w:bottom w:val="nil"/>
              <w:right w:val="nil"/>
            </w:tcBorders>
            <w:shd w:val="clear" w:color="auto" w:fill="auto"/>
            <w:noWrap/>
            <w:vAlign w:val="center"/>
            <w:hideMark/>
          </w:tcPr>
          <w:p w14:paraId="2B2E78EC" w14:textId="77777777" w:rsidR="008B7EA0" w:rsidRPr="0055231E" w:rsidRDefault="00453010" w:rsidP="00453010">
            <w:pPr>
              <w:jc w:val="center"/>
              <w:rPr>
                <w:rFonts w:ascii="Arial Narrow" w:hAnsi="Arial Narrow" w:cs="Arial"/>
                <w:sz w:val="22"/>
                <w:szCs w:val="22"/>
                <w:lang w:eastAsia="mn-MN"/>
              </w:rPr>
            </w:pPr>
            <w:r w:rsidRPr="0055231E">
              <w:rPr>
                <w:rFonts w:ascii="Arial Narrow" w:hAnsi="Arial Narrow" w:cs="Arial"/>
                <w:sz w:val="22"/>
                <w:szCs w:val="22"/>
                <w:lang w:eastAsia="mn-MN"/>
              </w:rPr>
              <w:t>-</w:t>
            </w:r>
          </w:p>
        </w:tc>
      </w:tr>
      <w:tr w:rsidR="008B7EA0" w:rsidRPr="008B7EA0" w14:paraId="07D1A82F" w14:textId="77777777" w:rsidTr="001455A9">
        <w:trPr>
          <w:trHeight w:val="255"/>
        </w:trPr>
        <w:tc>
          <w:tcPr>
            <w:tcW w:w="2448" w:type="dxa"/>
            <w:tcBorders>
              <w:top w:val="nil"/>
              <w:left w:val="nil"/>
              <w:bottom w:val="nil"/>
              <w:right w:val="nil"/>
            </w:tcBorders>
            <w:shd w:val="clear" w:color="auto" w:fill="auto"/>
            <w:noWrap/>
            <w:vAlign w:val="center"/>
            <w:hideMark/>
          </w:tcPr>
          <w:p w14:paraId="605B3DCA" w14:textId="77777777" w:rsidR="008B7EA0" w:rsidRPr="0055231E" w:rsidRDefault="008B7EA0" w:rsidP="00453010">
            <w:pPr>
              <w:jc w:val="center"/>
              <w:rPr>
                <w:rFonts w:ascii="Arial Narrow" w:hAnsi="Arial Narrow" w:cs="Arial"/>
                <w:sz w:val="22"/>
                <w:szCs w:val="22"/>
                <w:lang w:val="mn-MN" w:eastAsia="mn-MN"/>
              </w:rPr>
            </w:pPr>
            <w:r w:rsidRPr="0055231E">
              <w:rPr>
                <w:rFonts w:ascii="Arial Narrow" w:hAnsi="Arial Narrow" w:cs="Arial"/>
                <w:sz w:val="22"/>
                <w:szCs w:val="22"/>
                <w:lang w:val="mn-MN" w:eastAsia="mn-MN"/>
              </w:rPr>
              <w:t>4</w:t>
            </w:r>
          </w:p>
        </w:tc>
        <w:tc>
          <w:tcPr>
            <w:tcW w:w="962" w:type="dxa"/>
            <w:tcBorders>
              <w:top w:val="nil"/>
              <w:left w:val="nil"/>
              <w:bottom w:val="nil"/>
              <w:right w:val="nil"/>
            </w:tcBorders>
            <w:vAlign w:val="center"/>
          </w:tcPr>
          <w:p w14:paraId="275E6346" w14:textId="77777777" w:rsidR="008B7EA0" w:rsidRPr="0055231E" w:rsidRDefault="002C6916" w:rsidP="00453010">
            <w:pPr>
              <w:jc w:val="center"/>
              <w:rPr>
                <w:rFonts w:ascii="Arial Narrow" w:hAnsi="Arial Narrow" w:cs="Arial"/>
                <w:sz w:val="22"/>
                <w:szCs w:val="22"/>
                <w:lang w:eastAsia="mn-MN"/>
              </w:rPr>
            </w:pPr>
            <w:r w:rsidRPr="0055231E">
              <w:rPr>
                <w:rFonts w:ascii="Arial Narrow" w:hAnsi="Arial Narrow" w:cs="Arial"/>
                <w:sz w:val="22"/>
                <w:szCs w:val="22"/>
                <w:lang w:eastAsia="mn-MN"/>
              </w:rPr>
              <w:t>0.5%</w:t>
            </w:r>
          </w:p>
        </w:tc>
        <w:tc>
          <w:tcPr>
            <w:tcW w:w="956" w:type="dxa"/>
            <w:tcBorders>
              <w:top w:val="nil"/>
              <w:left w:val="nil"/>
              <w:bottom w:val="nil"/>
              <w:right w:val="nil"/>
            </w:tcBorders>
            <w:shd w:val="clear" w:color="auto" w:fill="auto"/>
            <w:noWrap/>
            <w:vAlign w:val="center"/>
            <w:hideMark/>
          </w:tcPr>
          <w:p w14:paraId="6B1335B1" w14:textId="77777777" w:rsidR="008B7EA0" w:rsidRPr="0055231E" w:rsidRDefault="00453010" w:rsidP="00453010">
            <w:pPr>
              <w:jc w:val="center"/>
              <w:rPr>
                <w:rFonts w:ascii="Arial Narrow" w:hAnsi="Arial Narrow" w:cs="Arial"/>
                <w:sz w:val="22"/>
                <w:szCs w:val="22"/>
                <w:lang w:eastAsia="mn-MN"/>
              </w:rPr>
            </w:pPr>
            <w:r w:rsidRPr="0055231E">
              <w:rPr>
                <w:rFonts w:ascii="Arial Narrow" w:hAnsi="Arial Narrow" w:cs="Arial"/>
                <w:sz w:val="22"/>
                <w:szCs w:val="22"/>
                <w:lang w:eastAsia="mn-MN"/>
              </w:rPr>
              <w:t>-</w:t>
            </w:r>
          </w:p>
        </w:tc>
        <w:tc>
          <w:tcPr>
            <w:tcW w:w="956" w:type="dxa"/>
            <w:tcBorders>
              <w:top w:val="nil"/>
              <w:left w:val="nil"/>
              <w:bottom w:val="nil"/>
              <w:right w:val="nil"/>
            </w:tcBorders>
            <w:shd w:val="clear" w:color="auto" w:fill="auto"/>
            <w:noWrap/>
            <w:vAlign w:val="center"/>
            <w:hideMark/>
          </w:tcPr>
          <w:p w14:paraId="5AFFA928" w14:textId="77777777" w:rsidR="008B7EA0" w:rsidRPr="0055231E" w:rsidRDefault="00453010" w:rsidP="00453010">
            <w:pPr>
              <w:jc w:val="center"/>
              <w:rPr>
                <w:rFonts w:ascii="Arial Narrow" w:hAnsi="Arial Narrow" w:cs="Arial"/>
                <w:sz w:val="22"/>
                <w:szCs w:val="22"/>
                <w:lang w:eastAsia="mn-MN"/>
              </w:rPr>
            </w:pPr>
            <w:r w:rsidRPr="0055231E">
              <w:rPr>
                <w:rFonts w:ascii="Arial Narrow" w:hAnsi="Arial Narrow" w:cs="Arial"/>
                <w:sz w:val="22"/>
                <w:szCs w:val="22"/>
                <w:lang w:eastAsia="mn-MN"/>
              </w:rPr>
              <w:t>-</w:t>
            </w:r>
          </w:p>
        </w:tc>
        <w:tc>
          <w:tcPr>
            <w:tcW w:w="956" w:type="dxa"/>
            <w:tcBorders>
              <w:top w:val="nil"/>
              <w:left w:val="nil"/>
              <w:bottom w:val="nil"/>
              <w:right w:val="nil"/>
            </w:tcBorders>
            <w:shd w:val="clear" w:color="auto" w:fill="auto"/>
            <w:noWrap/>
            <w:vAlign w:val="center"/>
            <w:hideMark/>
          </w:tcPr>
          <w:p w14:paraId="1D094610" w14:textId="77777777" w:rsidR="008B7EA0" w:rsidRPr="0055231E" w:rsidRDefault="00453010" w:rsidP="00453010">
            <w:pPr>
              <w:jc w:val="center"/>
              <w:rPr>
                <w:rFonts w:ascii="Arial Narrow" w:hAnsi="Arial Narrow" w:cs="Arial"/>
                <w:sz w:val="22"/>
                <w:szCs w:val="22"/>
                <w:lang w:eastAsia="mn-MN"/>
              </w:rPr>
            </w:pPr>
            <w:r w:rsidRPr="0055231E">
              <w:rPr>
                <w:rFonts w:ascii="Arial Narrow" w:hAnsi="Arial Narrow" w:cs="Arial"/>
                <w:sz w:val="22"/>
                <w:szCs w:val="22"/>
                <w:lang w:eastAsia="mn-MN"/>
              </w:rPr>
              <w:t>-</w:t>
            </w:r>
          </w:p>
        </w:tc>
      </w:tr>
      <w:tr w:rsidR="008B7EA0" w:rsidRPr="008B7EA0" w14:paraId="7F3CE246" w14:textId="77777777" w:rsidTr="001455A9">
        <w:trPr>
          <w:trHeight w:val="255"/>
        </w:trPr>
        <w:tc>
          <w:tcPr>
            <w:tcW w:w="2448" w:type="dxa"/>
            <w:tcBorders>
              <w:top w:val="nil"/>
              <w:left w:val="nil"/>
              <w:bottom w:val="single" w:sz="4" w:space="0" w:color="auto"/>
              <w:right w:val="nil"/>
            </w:tcBorders>
            <w:shd w:val="clear" w:color="auto" w:fill="auto"/>
            <w:noWrap/>
            <w:vAlign w:val="center"/>
            <w:hideMark/>
          </w:tcPr>
          <w:p w14:paraId="112DDAC9" w14:textId="77777777" w:rsidR="008B7EA0" w:rsidRPr="0055231E" w:rsidRDefault="008B7EA0" w:rsidP="00453010">
            <w:pPr>
              <w:jc w:val="center"/>
              <w:rPr>
                <w:rFonts w:ascii="Arial Narrow" w:hAnsi="Arial Narrow" w:cs="Arial"/>
                <w:sz w:val="22"/>
                <w:szCs w:val="22"/>
                <w:lang w:val="mn-MN" w:eastAsia="mn-MN"/>
              </w:rPr>
            </w:pPr>
            <w:r w:rsidRPr="0055231E">
              <w:rPr>
                <w:rFonts w:ascii="Arial Narrow" w:hAnsi="Arial Narrow" w:cs="Arial"/>
                <w:sz w:val="22"/>
                <w:szCs w:val="22"/>
                <w:lang w:val="mn-MN" w:eastAsia="mn-MN"/>
              </w:rPr>
              <w:t>5</w:t>
            </w:r>
          </w:p>
        </w:tc>
        <w:tc>
          <w:tcPr>
            <w:tcW w:w="962" w:type="dxa"/>
            <w:tcBorders>
              <w:top w:val="nil"/>
              <w:left w:val="nil"/>
              <w:bottom w:val="single" w:sz="4" w:space="0" w:color="auto"/>
              <w:right w:val="nil"/>
            </w:tcBorders>
            <w:vAlign w:val="center"/>
          </w:tcPr>
          <w:p w14:paraId="272EFDFA" w14:textId="77777777" w:rsidR="008B7EA0" w:rsidRPr="0055231E" w:rsidRDefault="002C6916" w:rsidP="00453010">
            <w:pPr>
              <w:jc w:val="center"/>
              <w:rPr>
                <w:rFonts w:ascii="Arial Narrow" w:hAnsi="Arial Narrow" w:cs="Arial"/>
                <w:sz w:val="22"/>
                <w:szCs w:val="22"/>
                <w:lang w:eastAsia="mn-MN"/>
              </w:rPr>
            </w:pPr>
            <w:r w:rsidRPr="0055231E">
              <w:rPr>
                <w:rFonts w:ascii="Arial Narrow" w:hAnsi="Arial Narrow" w:cs="Arial"/>
                <w:sz w:val="22"/>
                <w:szCs w:val="22"/>
                <w:lang w:eastAsia="mn-MN"/>
              </w:rPr>
              <w:t>0.4%</w:t>
            </w:r>
          </w:p>
        </w:tc>
        <w:tc>
          <w:tcPr>
            <w:tcW w:w="956" w:type="dxa"/>
            <w:tcBorders>
              <w:top w:val="nil"/>
              <w:left w:val="nil"/>
              <w:bottom w:val="single" w:sz="4" w:space="0" w:color="auto"/>
              <w:right w:val="nil"/>
            </w:tcBorders>
            <w:shd w:val="clear" w:color="auto" w:fill="auto"/>
            <w:noWrap/>
            <w:vAlign w:val="center"/>
            <w:hideMark/>
          </w:tcPr>
          <w:p w14:paraId="50D2390F" w14:textId="77777777" w:rsidR="008B7EA0" w:rsidRPr="0055231E" w:rsidRDefault="00453010" w:rsidP="00453010">
            <w:pPr>
              <w:jc w:val="center"/>
              <w:rPr>
                <w:rFonts w:ascii="Arial Narrow" w:hAnsi="Arial Narrow" w:cs="Arial"/>
                <w:sz w:val="22"/>
                <w:szCs w:val="22"/>
                <w:lang w:eastAsia="mn-MN"/>
              </w:rPr>
            </w:pPr>
            <w:r w:rsidRPr="0055231E">
              <w:rPr>
                <w:rFonts w:ascii="Arial Narrow" w:hAnsi="Arial Narrow" w:cs="Arial"/>
                <w:sz w:val="22"/>
                <w:szCs w:val="22"/>
                <w:lang w:eastAsia="mn-MN"/>
              </w:rPr>
              <w:t>-</w:t>
            </w:r>
          </w:p>
        </w:tc>
        <w:tc>
          <w:tcPr>
            <w:tcW w:w="956" w:type="dxa"/>
            <w:tcBorders>
              <w:top w:val="nil"/>
              <w:left w:val="nil"/>
              <w:bottom w:val="single" w:sz="4" w:space="0" w:color="auto"/>
              <w:right w:val="nil"/>
            </w:tcBorders>
            <w:shd w:val="clear" w:color="auto" w:fill="auto"/>
            <w:noWrap/>
            <w:vAlign w:val="center"/>
            <w:hideMark/>
          </w:tcPr>
          <w:p w14:paraId="2BE3DB1A" w14:textId="77777777" w:rsidR="008B7EA0" w:rsidRPr="0055231E" w:rsidRDefault="00453010" w:rsidP="00453010">
            <w:pPr>
              <w:jc w:val="center"/>
              <w:rPr>
                <w:rFonts w:ascii="Arial Narrow" w:hAnsi="Arial Narrow" w:cs="Arial"/>
                <w:sz w:val="22"/>
                <w:szCs w:val="22"/>
                <w:lang w:eastAsia="mn-MN"/>
              </w:rPr>
            </w:pPr>
            <w:r w:rsidRPr="0055231E">
              <w:rPr>
                <w:rFonts w:ascii="Arial Narrow" w:hAnsi="Arial Narrow" w:cs="Arial"/>
                <w:sz w:val="22"/>
                <w:szCs w:val="22"/>
                <w:lang w:eastAsia="mn-MN"/>
              </w:rPr>
              <w:t>-</w:t>
            </w:r>
          </w:p>
        </w:tc>
        <w:tc>
          <w:tcPr>
            <w:tcW w:w="956" w:type="dxa"/>
            <w:tcBorders>
              <w:top w:val="nil"/>
              <w:left w:val="nil"/>
              <w:bottom w:val="single" w:sz="4" w:space="0" w:color="auto"/>
              <w:right w:val="nil"/>
            </w:tcBorders>
            <w:shd w:val="clear" w:color="auto" w:fill="auto"/>
            <w:noWrap/>
            <w:vAlign w:val="center"/>
            <w:hideMark/>
          </w:tcPr>
          <w:p w14:paraId="5F594870" w14:textId="77777777" w:rsidR="008B7EA0" w:rsidRPr="0055231E" w:rsidRDefault="00453010" w:rsidP="00453010">
            <w:pPr>
              <w:jc w:val="center"/>
              <w:rPr>
                <w:rFonts w:ascii="Arial Narrow" w:hAnsi="Arial Narrow" w:cs="Arial"/>
                <w:sz w:val="22"/>
                <w:szCs w:val="22"/>
                <w:lang w:eastAsia="mn-MN"/>
              </w:rPr>
            </w:pPr>
            <w:r w:rsidRPr="0055231E">
              <w:rPr>
                <w:rFonts w:ascii="Arial Narrow" w:hAnsi="Arial Narrow" w:cs="Arial"/>
                <w:sz w:val="22"/>
                <w:szCs w:val="22"/>
                <w:lang w:eastAsia="mn-MN"/>
              </w:rPr>
              <w:t>-</w:t>
            </w:r>
          </w:p>
        </w:tc>
      </w:tr>
      <w:tr w:rsidR="008B7EA0" w:rsidRPr="008B7EA0" w14:paraId="38C647C3" w14:textId="77777777" w:rsidTr="001455A9">
        <w:trPr>
          <w:trHeight w:val="270"/>
        </w:trPr>
        <w:tc>
          <w:tcPr>
            <w:tcW w:w="2448" w:type="dxa"/>
            <w:tcBorders>
              <w:top w:val="single" w:sz="4" w:space="0" w:color="auto"/>
              <w:left w:val="nil"/>
              <w:bottom w:val="single" w:sz="8" w:space="0" w:color="auto"/>
              <w:right w:val="nil"/>
            </w:tcBorders>
            <w:shd w:val="clear" w:color="auto" w:fill="auto"/>
            <w:noWrap/>
            <w:vAlign w:val="center"/>
            <w:hideMark/>
          </w:tcPr>
          <w:p w14:paraId="5DC1A5B8" w14:textId="77777777" w:rsidR="008B7EA0" w:rsidRPr="00423DF3" w:rsidRDefault="008B7EA0" w:rsidP="00453010">
            <w:pPr>
              <w:jc w:val="center"/>
              <w:rPr>
                <w:rFonts w:ascii="Arial Narrow" w:hAnsi="Arial Narrow" w:cs="Arial"/>
                <w:sz w:val="22"/>
                <w:szCs w:val="22"/>
                <w:lang w:eastAsia="mn-MN"/>
              </w:rPr>
            </w:pPr>
            <w:r w:rsidRPr="0055231E">
              <w:rPr>
                <w:rFonts w:ascii="Arial Narrow" w:hAnsi="Arial Narrow" w:cs="Arial"/>
                <w:sz w:val="22"/>
                <w:szCs w:val="22"/>
                <w:lang w:val="mn-MN" w:eastAsia="mn-MN"/>
              </w:rPr>
              <w:t>Total</w:t>
            </w:r>
          </w:p>
        </w:tc>
        <w:tc>
          <w:tcPr>
            <w:tcW w:w="962" w:type="dxa"/>
            <w:tcBorders>
              <w:top w:val="single" w:sz="4" w:space="0" w:color="auto"/>
              <w:left w:val="nil"/>
              <w:bottom w:val="single" w:sz="8" w:space="0" w:color="auto"/>
              <w:right w:val="nil"/>
            </w:tcBorders>
            <w:vAlign w:val="center"/>
          </w:tcPr>
          <w:p w14:paraId="68FF5B48" w14:textId="77777777" w:rsidR="008B7EA0" w:rsidRPr="0055231E" w:rsidRDefault="002C6916" w:rsidP="00453010">
            <w:pPr>
              <w:jc w:val="center"/>
              <w:rPr>
                <w:rFonts w:ascii="Arial Narrow" w:hAnsi="Arial Narrow" w:cs="Arial"/>
                <w:sz w:val="22"/>
                <w:szCs w:val="22"/>
                <w:lang w:eastAsia="mn-MN"/>
              </w:rPr>
            </w:pPr>
            <w:r w:rsidRPr="0055231E">
              <w:rPr>
                <w:rFonts w:ascii="Arial Narrow" w:hAnsi="Arial Narrow" w:cs="Arial"/>
                <w:sz w:val="22"/>
                <w:szCs w:val="22"/>
                <w:lang w:eastAsia="mn-MN"/>
              </w:rPr>
              <w:t>1.8%</w:t>
            </w:r>
          </w:p>
        </w:tc>
        <w:tc>
          <w:tcPr>
            <w:tcW w:w="956" w:type="dxa"/>
            <w:tcBorders>
              <w:top w:val="single" w:sz="4" w:space="0" w:color="auto"/>
              <w:left w:val="nil"/>
              <w:bottom w:val="single" w:sz="8" w:space="0" w:color="auto"/>
              <w:right w:val="nil"/>
            </w:tcBorders>
            <w:shd w:val="clear" w:color="auto" w:fill="auto"/>
            <w:noWrap/>
            <w:vAlign w:val="center"/>
            <w:hideMark/>
          </w:tcPr>
          <w:p w14:paraId="275DD863" w14:textId="77777777" w:rsidR="008B7EA0" w:rsidRPr="0055231E" w:rsidRDefault="008B7EA0" w:rsidP="00453010">
            <w:pPr>
              <w:jc w:val="center"/>
              <w:rPr>
                <w:rFonts w:ascii="Arial Narrow" w:hAnsi="Arial Narrow" w:cs="Arial"/>
                <w:sz w:val="22"/>
                <w:szCs w:val="22"/>
                <w:lang w:val="mn-MN" w:eastAsia="mn-MN"/>
              </w:rPr>
            </w:pPr>
            <w:r w:rsidRPr="0055231E">
              <w:rPr>
                <w:rFonts w:ascii="Arial Narrow" w:hAnsi="Arial Narrow" w:cs="Arial"/>
                <w:sz w:val="22"/>
                <w:szCs w:val="22"/>
                <w:lang w:val="mn-MN" w:eastAsia="mn-MN"/>
              </w:rPr>
              <w:t>1.1%</w:t>
            </w:r>
          </w:p>
        </w:tc>
        <w:tc>
          <w:tcPr>
            <w:tcW w:w="956" w:type="dxa"/>
            <w:tcBorders>
              <w:top w:val="single" w:sz="4" w:space="0" w:color="auto"/>
              <w:left w:val="nil"/>
              <w:bottom w:val="single" w:sz="8" w:space="0" w:color="auto"/>
              <w:right w:val="nil"/>
            </w:tcBorders>
            <w:shd w:val="clear" w:color="auto" w:fill="auto"/>
            <w:noWrap/>
            <w:vAlign w:val="center"/>
            <w:hideMark/>
          </w:tcPr>
          <w:p w14:paraId="564311C6" w14:textId="77777777" w:rsidR="008B7EA0" w:rsidRPr="0055231E" w:rsidRDefault="008B7EA0" w:rsidP="00453010">
            <w:pPr>
              <w:jc w:val="center"/>
              <w:rPr>
                <w:rFonts w:ascii="Arial Narrow" w:hAnsi="Arial Narrow" w:cs="Arial"/>
                <w:sz w:val="22"/>
                <w:szCs w:val="22"/>
                <w:lang w:val="mn-MN" w:eastAsia="mn-MN"/>
              </w:rPr>
            </w:pPr>
            <w:r w:rsidRPr="0055231E">
              <w:rPr>
                <w:rFonts w:ascii="Arial Narrow" w:hAnsi="Arial Narrow" w:cs="Arial"/>
                <w:sz w:val="22"/>
                <w:szCs w:val="22"/>
                <w:lang w:val="mn-MN" w:eastAsia="mn-MN"/>
              </w:rPr>
              <w:t>1.2%</w:t>
            </w:r>
          </w:p>
        </w:tc>
        <w:tc>
          <w:tcPr>
            <w:tcW w:w="956" w:type="dxa"/>
            <w:tcBorders>
              <w:top w:val="single" w:sz="4" w:space="0" w:color="auto"/>
              <w:left w:val="nil"/>
              <w:bottom w:val="single" w:sz="8" w:space="0" w:color="auto"/>
              <w:right w:val="nil"/>
            </w:tcBorders>
            <w:shd w:val="clear" w:color="auto" w:fill="auto"/>
            <w:noWrap/>
            <w:vAlign w:val="center"/>
            <w:hideMark/>
          </w:tcPr>
          <w:p w14:paraId="660DC187" w14:textId="77777777" w:rsidR="008B7EA0" w:rsidRPr="0055231E" w:rsidRDefault="008B7EA0" w:rsidP="00453010">
            <w:pPr>
              <w:jc w:val="center"/>
              <w:rPr>
                <w:rFonts w:ascii="Arial Narrow" w:hAnsi="Arial Narrow" w:cs="Arial"/>
                <w:sz w:val="22"/>
                <w:szCs w:val="22"/>
                <w:lang w:val="mn-MN" w:eastAsia="mn-MN"/>
              </w:rPr>
            </w:pPr>
            <w:r w:rsidRPr="0055231E">
              <w:rPr>
                <w:rFonts w:ascii="Arial Narrow" w:hAnsi="Arial Narrow" w:cs="Arial"/>
                <w:sz w:val="22"/>
                <w:szCs w:val="22"/>
                <w:lang w:val="mn-MN" w:eastAsia="mn-MN"/>
              </w:rPr>
              <w:t>0.6%</w:t>
            </w:r>
          </w:p>
        </w:tc>
      </w:tr>
    </w:tbl>
    <w:p w14:paraId="29BBD703" w14:textId="77777777" w:rsidR="004B13E9" w:rsidRPr="008B7EA0" w:rsidRDefault="008B7EA0" w:rsidP="008B7EA0">
      <w:pPr>
        <w:ind w:left="1332"/>
        <w:jc w:val="both"/>
        <w:rPr>
          <w:i/>
          <w:sz w:val="22"/>
          <w:lang w:val="en-GB"/>
        </w:rPr>
      </w:pPr>
      <w:r w:rsidRPr="008B7EA0">
        <w:rPr>
          <w:i/>
          <w:sz w:val="22"/>
          <w:lang w:val="en-GB"/>
        </w:rPr>
        <w:t>Source: Mongolia Household Socio-Economic Surveys, 2009-2012</w:t>
      </w:r>
    </w:p>
    <w:p w14:paraId="26345965" w14:textId="77777777" w:rsidR="008C1545" w:rsidRDefault="008C1545" w:rsidP="008C1545">
      <w:pPr>
        <w:jc w:val="both"/>
        <w:rPr>
          <w:rFonts w:ascii="Arial" w:hAnsi="Arial" w:cs="Arial"/>
        </w:rPr>
      </w:pPr>
    </w:p>
    <w:p w14:paraId="41564039" w14:textId="0494B6E6" w:rsidR="008C1545" w:rsidRDefault="008C1545" w:rsidP="008C1545">
      <w:pPr>
        <w:jc w:val="both"/>
        <w:rPr>
          <w:rFonts w:ascii="Arial" w:hAnsi="Arial" w:cs="Arial"/>
        </w:rPr>
      </w:pPr>
      <w:r>
        <w:rPr>
          <w:rFonts w:ascii="Arial" w:hAnsi="Arial" w:cs="Arial"/>
        </w:rPr>
        <w:t xml:space="preserve">In addition, only households in lower expenditure quintiles impoverished due to health payments and 80% of them live in western, eastern and highlands regions. </w:t>
      </w:r>
      <w:r w:rsidR="006168FB">
        <w:rPr>
          <w:rFonts w:ascii="Arial" w:hAnsi="Arial" w:cs="Arial"/>
        </w:rPr>
        <w:t>Only 3% of total h</w:t>
      </w:r>
      <w:r>
        <w:rPr>
          <w:rFonts w:ascii="Arial" w:hAnsi="Arial" w:cs="Arial"/>
        </w:rPr>
        <w:t>ouseholds impoverished due t</w:t>
      </w:r>
      <w:r w:rsidR="006168FB">
        <w:rPr>
          <w:rFonts w:ascii="Arial" w:hAnsi="Arial" w:cs="Arial"/>
        </w:rPr>
        <w:t>o health out of pocket payments is</w:t>
      </w:r>
      <w:r>
        <w:rPr>
          <w:rFonts w:ascii="Arial" w:hAnsi="Arial" w:cs="Arial"/>
        </w:rPr>
        <w:t xml:space="preserve"> in Ulaanbaatar</w:t>
      </w:r>
      <w:r w:rsidR="001455A9">
        <w:rPr>
          <w:rFonts w:ascii="Arial" w:hAnsi="Arial" w:cs="Arial"/>
        </w:rPr>
        <w:t xml:space="preserve"> </w:t>
      </w:r>
      <w:r w:rsidR="006168FB">
        <w:rPr>
          <w:rFonts w:ascii="Arial" w:hAnsi="Arial" w:cs="Arial"/>
        </w:rPr>
        <w:t>(</w:t>
      </w:r>
      <w:r w:rsidR="001B60D3">
        <w:rPr>
          <w:rFonts w:ascii="Arial" w:hAnsi="Arial" w:cs="Arial"/>
        </w:rPr>
        <w:t>2011 and 2012</w:t>
      </w:r>
      <w:r w:rsidR="006168FB">
        <w:rPr>
          <w:rFonts w:ascii="Arial" w:hAnsi="Arial" w:cs="Arial"/>
        </w:rPr>
        <w:t>)</w:t>
      </w:r>
      <w:r>
        <w:rPr>
          <w:rFonts w:ascii="Arial" w:hAnsi="Arial" w:cs="Arial"/>
        </w:rPr>
        <w:t>.</w:t>
      </w:r>
    </w:p>
    <w:p w14:paraId="5B6E1AEC" w14:textId="77777777" w:rsidR="008C1545" w:rsidRDefault="008C1545" w:rsidP="008C1545">
      <w:pPr>
        <w:jc w:val="both"/>
        <w:rPr>
          <w:rFonts w:ascii="Arial" w:hAnsi="Arial" w:cs="Arial"/>
        </w:rPr>
      </w:pPr>
    </w:p>
    <w:p w14:paraId="2A0BAC33" w14:textId="1F86A575" w:rsidR="008C1545" w:rsidRPr="008C1545" w:rsidRDefault="006168FB" w:rsidP="008C1545">
      <w:pPr>
        <w:pStyle w:val="Caption"/>
        <w:jc w:val="center"/>
        <w:rPr>
          <w:rFonts w:ascii="Arial" w:hAnsi="Arial" w:cs="Arial"/>
          <w:b w:val="0"/>
          <w:sz w:val="22"/>
          <w:szCs w:val="22"/>
          <w:lang w:val="en-GB"/>
        </w:rPr>
      </w:pPr>
      <w:bookmarkStart w:id="45" w:name="_Toc310170117"/>
      <w:r w:rsidRPr="006168FB">
        <w:rPr>
          <w:rFonts w:ascii="Arial" w:hAnsi="Arial" w:cs="Arial"/>
          <w:b w:val="0"/>
          <w:sz w:val="22"/>
          <w:szCs w:val="22"/>
        </w:rPr>
        <w:t xml:space="preserve">Figure </w:t>
      </w:r>
      <w:r w:rsidRPr="006168FB">
        <w:rPr>
          <w:rFonts w:ascii="Arial" w:hAnsi="Arial" w:cs="Arial"/>
          <w:b w:val="0"/>
          <w:sz w:val="22"/>
          <w:szCs w:val="22"/>
        </w:rPr>
        <w:fldChar w:fldCharType="begin"/>
      </w:r>
      <w:r w:rsidRPr="006168FB">
        <w:rPr>
          <w:rFonts w:ascii="Arial" w:hAnsi="Arial" w:cs="Arial"/>
          <w:b w:val="0"/>
          <w:sz w:val="22"/>
          <w:szCs w:val="22"/>
        </w:rPr>
        <w:instrText xml:space="preserve"> SEQ Figure \* ARABIC </w:instrText>
      </w:r>
      <w:r w:rsidRPr="006168FB">
        <w:rPr>
          <w:rFonts w:ascii="Arial" w:hAnsi="Arial" w:cs="Arial"/>
          <w:b w:val="0"/>
          <w:sz w:val="22"/>
          <w:szCs w:val="22"/>
        </w:rPr>
        <w:fldChar w:fldCharType="separate"/>
      </w:r>
      <w:r>
        <w:rPr>
          <w:rFonts w:ascii="Arial" w:hAnsi="Arial" w:cs="Arial"/>
          <w:b w:val="0"/>
          <w:noProof/>
          <w:sz w:val="22"/>
          <w:szCs w:val="22"/>
        </w:rPr>
        <w:t>12</w:t>
      </w:r>
      <w:r w:rsidRPr="006168FB">
        <w:rPr>
          <w:rFonts w:ascii="Arial" w:hAnsi="Arial" w:cs="Arial"/>
          <w:b w:val="0"/>
          <w:sz w:val="22"/>
          <w:szCs w:val="22"/>
        </w:rPr>
        <w:fldChar w:fldCharType="end"/>
      </w:r>
      <w:r w:rsidR="008C1545" w:rsidRPr="006168FB">
        <w:rPr>
          <w:rFonts w:ascii="Arial" w:hAnsi="Arial" w:cs="Arial"/>
          <w:b w:val="0"/>
          <w:sz w:val="22"/>
          <w:szCs w:val="22"/>
        </w:rPr>
        <w:t>:</w:t>
      </w:r>
      <w:r w:rsidR="008C1545" w:rsidRPr="008B7EA0">
        <w:rPr>
          <w:rFonts w:ascii="Arial" w:hAnsi="Arial" w:cs="Arial"/>
          <w:b w:val="0"/>
          <w:iCs/>
          <w:sz w:val="22"/>
          <w:szCs w:val="22"/>
        </w:rPr>
        <w:t xml:space="preserve"> </w:t>
      </w:r>
      <w:r w:rsidR="008C1545" w:rsidRPr="008B7EA0">
        <w:rPr>
          <w:rFonts w:ascii="Arial" w:hAnsi="Arial" w:cs="Arial"/>
          <w:b w:val="0"/>
          <w:sz w:val="22"/>
          <w:szCs w:val="22"/>
          <w:lang w:val="en-GB"/>
        </w:rPr>
        <w:t xml:space="preserve"> </w:t>
      </w:r>
      <w:r w:rsidR="008C1545">
        <w:rPr>
          <w:rFonts w:ascii="Arial" w:hAnsi="Arial" w:cs="Arial"/>
          <w:b w:val="0"/>
          <w:sz w:val="22"/>
          <w:szCs w:val="22"/>
          <w:lang w:val="en-GB"/>
        </w:rPr>
        <w:t>Geographic d</w:t>
      </w:r>
      <w:r w:rsidR="008C1545" w:rsidRPr="008B7EA0">
        <w:rPr>
          <w:rFonts w:ascii="Arial" w:hAnsi="Arial" w:cs="Arial"/>
          <w:b w:val="0"/>
          <w:sz w:val="22"/>
          <w:szCs w:val="22"/>
          <w:lang w:val="en-GB"/>
        </w:rPr>
        <w:t>istribution</w:t>
      </w:r>
      <w:r w:rsidR="00724B08">
        <w:rPr>
          <w:rFonts w:ascii="Arial" w:hAnsi="Arial" w:cs="Arial"/>
          <w:b w:val="0"/>
          <w:sz w:val="22"/>
          <w:szCs w:val="22"/>
          <w:lang w:val="en-GB"/>
        </w:rPr>
        <w:t>s</w:t>
      </w:r>
      <w:r w:rsidR="008C1545" w:rsidRPr="008B7EA0">
        <w:rPr>
          <w:rFonts w:ascii="Arial" w:hAnsi="Arial" w:cs="Arial"/>
          <w:b w:val="0"/>
          <w:sz w:val="22"/>
          <w:szCs w:val="22"/>
          <w:lang w:val="en-GB"/>
        </w:rPr>
        <w:t xml:space="preserve"> of impoverishment by total out-of-pocket payment</w:t>
      </w:r>
      <w:bookmarkEnd w:id="45"/>
    </w:p>
    <w:p w14:paraId="04552A3A" w14:textId="68F93274" w:rsidR="00A254D6" w:rsidRDefault="008A061F" w:rsidP="00442E54">
      <w:pPr>
        <w:jc w:val="both"/>
        <w:rPr>
          <w:rFonts w:ascii="Arial" w:hAnsi="Arial" w:cs="Arial"/>
          <w:lang w:val="en-GB"/>
        </w:rPr>
      </w:pPr>
      <w:r w:rsidRPr="008A061F">
        <w:rPr>
          <w:noProof/>
        </w:rPr>
        <w:drawing>
          <wp:inline distT="0" distB="0" distL="0" distR="0" wp14:anchorId="362DE0DC" wp14:editId="5BC0B86A">
            <wp:extent cx="5490210" cy="2267722"/>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90210" cy="2267722"/>
                    </a:xfrm>
                    <a:prstGeom prst="rect">
                      <a:avLst/>
                    </a:prstGeom>
                    <a:noFill/>
                    <a:ln>
                      <a:noFill/>
                    </a:ln>
                  </pic:spPr>
                </pic:pic>
              </a:graphicData>
            </a:graphic>
          </wp:inline>
        </w:drawing>
      </w:r>
    </w:p>
    <w:p w14:paraId="2B9A1E19" w14:textId="77777777" w:rsidR="006168FB" w:rsidRDefault="006168FB" w:rsidP="00442E54">
      <w:pPr>
        <w:jc w:val="both"/>
        <w:rPr>
          <w:rFonts w:ascii="Arial" w:hAnsi="Arial" w:cs="Arial"/>
          <w:lang w:val="en-GB"/>
        </w:rPr>
      </w:pPr>
    </w:p>
    <w:p w14:paraId="5241AD10" w14:textId="113A6566" w:rsidR="001E563A" w:rsidRPr="00453010" w:rsidRDefault="00E828C5" w:rsidP="00442E54">
      <w:pPr>
        <w:jc w:val="both"/>
        <w:rPr>
          <w:rFonts w:ascii="Arial" w:hAnsi="Arial" w:cs="Arial"/>
          <w:lang w:val="en-GB"/>
        </w:rPr>
      </w:pPr>
      <w:r>
        <w:rPr>
          <w:rFonts w:ascii="Arial" w:hAnsi="Arial" w:cs="Arial"/>
          <w:lang w:val="en-GB"/>
        </w:rPr>
        <w:t>Households experience</w:t>
      </w:r>
      <w:r w:rsidR="008D0052">
        <w:rPr>
          <w:rFonts w:ascii="Arial" w:hAnsi="Arial" w:cs="Arial"/>
          <w:lang w:val="en-GB"/>
        </w:rPr>
        <w:t>d</w:t>
      </w:r>
      <w:r>
        <w:rPr>
          <w:rFonts w:ascii="Arial" w:hAnsi="Arial" w:cs="Arial"/>
          <w:lang w:val="en-GB"/>
        </w:rPr>
        <w:t xml:space="preserve"> catastrophic health payments due to </w:t>
      </w:r>
      <w:r w:rsidR="008D0052">
        <w:rPr>
          <w:rFonts w:ascii="Arial" w:hAnsi="Arial" w:cs="Arial"/>
          <w:lang w:val="en-GB"/>
        </w:rPr>
        <w:t xml:space="preserve">higher </w:t>
      </w:r>
      <w:r>
        <w:rPr>
          <w:rFonts w:ascii="Arial" w:hAnsi="Arial" w:cs="Arial"/>
          <w:lang w:val="en-GB"/>
        </w:rPr>
        <w:t xml:space="preserve">out of pocket spending </w:t>
      </w:r>
      <w:r w:rsidR="006168FB">
        <w:rPr>
          <w:rFonts w:ascii="Arial" w:hAnsi="Arial" w:cs="Arial"/>
          <w:lang w:val="en-GB"/>
        </w:rPr>
        <w:t>on</w:t>
      </w:r>
      <w:r>
        <w:rPr>
          <w:rFonts w:ascii="Arial" w:hAnsi="Arial" w:cs="Arial"/>
          <w:lang w:val="en-GB"/>
        </w:rPr>
        <w:t xml:space="preserve"> </w:t>
      </w:r>
      <w:r w:rsidR="006168FB">
        <w:rPr>
          <w:rFonts w:ascii="Arial" w:hAnsi="Arial" w:cs="Arial"/>
          <w:lang w:val="en-GB"/>
        </w:rPr>
        <w:t xml:space="preserve">purchase of </w:t>
      </w:r>
      <w:r>
        <w:rPr>
          <w:rFonts w:ascii="Arial" w:hAnsi="Arial" w:cs="Arial"/>
          <w:lang w:val="en-GB"/>
        </w:rPr>
        <w:t xml:space="preserve">medicine and </w:t>
      </w:r>
      <w:r w:rsidR="004E413A">
        <w:rPr>
          <w:rFonts w:ascii="Arial" w:hAnsi="Arial" w:cs="Arial"/>
          <w:lang w:val="en-GB"/>
        </w:rPr>
        <w:t xml:space="preserve">also </w:t>
      </w:r>
      <w:r>
        <w:rPr>
          <w:rFonts w:ascii="Arial" w:hAnsi="Arial" w:cs="Arial"/>
          <w:lang w:val="en-GB"/>
        </w:rPr>
        <w:t>inpatien</w:t>
      </w:r>
      <w:r w:rsidR="004E413A">
        <w:rPr>
          <w:rFonts w:ascii="Arial" w:hAnsi="Arial" w:cs="Arial"/>
          <w:lang w:val="en-GB"/>
        </w:rPr>
        <w:t xml:space="preserve">t services in Mongolia. </w:t>
      </w:r>
      <w:r w:rsidR="00D12698">
        <w:rPr>
          <w:rFonts w:ascii="Arial" w:hAnsi="Arial" w:cs="Arial"/>
          <w:lang w:val="en-GB"/>
        </w:rPr>
        <w:t>This means that ab</w:t>
      </w:r>
      <w:r w:rsidR="006168FB">
        <w:rPr>
          <w:rFonts w:ascii="Arial" w:hAnsi="Arial" w:cs="Arial"/>
          <w:lang w:val="en-GB"/>
        </w:rPr>
        <w:t>out 80% in 2010 and 60% in 2012</w:t>
      </w:r>
      <w:r w:rsidR="00200375">
        <w:rPr>
          <w:rFonts w:ascii="Arial" w:hAnsi="Arial" w:cs="Arial"/>
          <w:lang w:val="en-GB"/>
        </w:rPr>
        <w:t xml:space="preserve"> </w:t>
      </w:r>
      <w:r w:rsidR="00D12698">
        <w:rPr>
          <w:rFonts w:ascii="Arial" w:hAnsi="Arial" w:cs="Arial"/>
          <w:lang w:val="en-GB"/>
        </w:rPr>
        <w:t xml:space="preserve">of households experienced catastrophic health payments </w:t>
      </w:r>
      <w:r w:rsidR="00200375">
        <w:rPr>
          <w:rFonts w:ascii="Arial" w:hAnsi="Arial" w:cs="Arial"/>
          <w:lang w:val="en-GB"/>
        </w:rPr>
        <w:t xml:space="preserve">as results of OOPs </w:t>
      </w:r>
      <w:r w:rsidR="006168FB">
        <w:rPr>
          <w:rFonts w:ascii="Arial" w:hAnsi="Arial" w:cs="Arial"/>
          <w:lang w:val="en-GB"/>
        </w:rPr>
        <w:t>on</w:t>
      </w:r>
      <w:r w:rsidR="00200375">
        <w:rPr>
          <w:rFonts w:ascii="Arial" w:hAnsi="Arial" w:cs="Arial"/>
          <w:lang w:val="en-GB"/>
        </w:rPr>
        <w:t xml:space="preserve"> medicine and</w:t>
      </w:r>
      <w:r w:rsidR="006168FB">
        <w:rPr>
          <w:rFonts w:ascii="Arial" w:hAnsi="Arial" w:cs="Arial"/>
          <w:lang w:val="en-GB"/>
        </w:rPr>
        <w:t xml:space="preserve"> inpatient care. The s</w:t>
      </w:r>
      <w:r>
        <w:rPr>
          <w:rFonts w:ascii="Arial" w:hAnsi="Arial" w:cs="Arial"/>
          <w:lang w:val="en-GB"/>
        </w:rPr>
        <w:t xml:space="preserve">hares of households decreased substantially from 2010 to 2012 for both medicines and inpatient services. </w:t>
      </w:r>
      <w:r w:rsidR="00453010">
        <w:rPr>
          <w:rFonts w:ascii="Arial" w:hAnsi="Arial" w:cs="Arial"/>
          <w:lang w:val="en-GB"/>
        </w:rPr>
        <w:t xml:space="preserve">In particular, the percentage of </w:t>
      </w:r>
      <w:r w:rsidR="00E80A9C">
        <w:rPr>
          <w:rFonts w:ascii="Arial" w:hAnsi="Arial" w:cs="Arial"/>
          <w:lang w:val="en-GB"/>
        </w:rPr>
        <w:t xml:space="preserve">households experiencing </w:t>
      </w:r>
      <w:r w:rsidR="00453010">
        <w:rPr>
          <w:rFonts w:ascii="Arial" w:hAnsi="Arial" w:cs="Arial"/>
          <w:lang w:val="en-GB"/>
        </w:rPr>
        <w:t>catastrophic expenditure</w:t>
      </w:r>
      <w:r w:rsidR="00E80A9C">
        <w:rPr>
          <w:rFonts w:ascii="Arial" w:hAnsi="Arial" w:cs="Arial"/>
          <w:lang w:val="en-GB"/>
        </w:rPr>
        <w:t xml:space="preserve"> due to medicine declined </w:t>
      </w:r>
      <w:r w:rsidR="00D12698">
        <w:rPr>
          <w:rFonts w:ascii="Arial" w:hAnsi="Arial" w:cs="Arial"/>
          <w:lang w:val="en-GB"/>
        </w:rPr>
        <w:t>by 2.7</w:t>
      </w:r>
      <w:r w:rsidR="004E413A">
        <w:rPr>
          <w:rFonts w:ascii="Arial" w:hAnsi="Arial" w:cs="Arial"/>
          <w:lang w:val="en-GB"/>
        </w:rPr>
        <w:t xml:space="preserve"> times </w:t>
      </w:r>
      <w:r w:rsidR="006168FB">
        <w:rPr>
          <w:rFonts w:ascii="Arial" w:hAnsi="Arial" w:cs="Arial"/>
          <w:lang w:val="en-GB"/>
        </w:rPr>
        <w:t xml:space="preserve">or </w:t>
      </w:r>
      <w:r w:rsidR="00E80A9C">
        <w:rPr>
          <w:rFonts w:ascii="Arial" w:hAnsi="Arial" w:cs="Arial"/>
          <w:lang w:val="en-GB"/>
        </w:rPr>
        <w:t>from 0.8% in 2010 to 0.3% in 2012</w:t>
      </w:r>
      <w:r w:rsidR="009A68A8">
        <w:rPr>
          <w:rFonts w:ascii="Arial" w:hAnsi="Arial" w:cs="Arial"/>
          <w:lang w:val="en-GB"/>
        </w:rPr>
        <w:t xml:space="preserve"> (Figure 11)</w:t>
      </w:r>
      <w:r w:rsidR="00E80A9C">
        <w:rPr>
          <w:rFonts w:ascii="Arial" w:hAnsi="Arial" w:cs="Arial"/>
          <w:lang w:val="en-GB"/>
        </w:rPr>
        <w:t xml:space="preserve">. </w:t>
      </w:r>
      <w:r w:rsidR="00453010">
        <w:rPr>
          <w:rFonts w:ascii="Arial" w:hAnsi="Arial" w:cs="Arial"/>
          <w:lang w:val="en-GB"/>
        </w:rPr>
        <w:t xml:space="preserve"> </w:t>
      </w:r>
    </w:p>
    <w:p w14:paraId="3C992F48" w14:textId="77777777" w:rsidR="0049498A" w:rsidRDefault="0049498A" w:rsidP="001E563A">
      <w:pPr>
        <w:jc w:val="both"/>
        <w:rPr>
          <w:rFonts w:ascii="Arial" w:hAnsi="Arial" w:cs="Arial"/>
          <w:sz w:val="22"/>
          <w:szCs w:val="22"/>
        </w:rPr>
      </w:pPr>
    </w:p>
    <w:p w14:paraId="1CE12C44" w14:textId="77777777" w:rsidR="006168FB" w:rsidRDefault="006168FB" w:rsidP="001E563A">
      <w:pPr>
        <w:jc w:val="both"/>
        <w:rPr>
          <w:rFonts w:ascii="Arial" w:hAnsi="Arial" w:cs="Arial"/>
          <w:sz w:val="22"/>
          <w:szCs w:val="22"/>
        </w:rPr>
      </w:pPr>
    </w:p>
    <w:p w14:paraId="056BF5C3" w14:textId="77777777" w:rsidR="006168FB" w:rsidRDefault="006168FB" w:rsidP="001E563A">
      <w:pPr>
        <w:jc w:val="both"/>
        <w:rPr>
          <w:rFonts w:ascii="Arial" w:hAnsi="Arial" w:cs="Arial"/>
          <w:sz w:val="22"/>
          <w:szCs w:val="22"/>
        </w:rPr>
      </w:pPr>
    </w:p>
    <w:p w14:paraId="5BB7A948" w14:textId="77777777" w:rsidR="007808E8" w:rsidRPr="00E80A9C" w:rsidRDefault="001E563A" w:rsidP="001E563A">
      <w:pPr>
        <w:jc w:val="both"/>
        <w:rPr>
          <w:rFonts w:ascii="Arial" w:hAnsi="Arial" w:cs="Arial"/>
          <w:sz w:val="22"/>
          <w:szCs w:val="22"/>
          <w:lang w:val="en-GB"/>
        </w:rPr>
      </w:pPr>
      <w:bookmarkStart w:id="46" w:name="_Toc310170118"/>
      <w:r w:rsidRPr="00E80A9C">
        <w:rPr>
          <w:rFonts w:ascii="Arial" w:hAnsi="Arial" w:cs="Arial"/>
          <w:sz w:val="22"/>
          <w:szCs w:val="22"/>
        </w:rPr>
        <w:t xml:space="preserve">Figure </w:t>
      </w:r>
      <w:r w:rsidR="00CB191B" w:rsidRPr="00E80A9C">
        <w:rPr>
          <w:rFonts w:ascii="Arial" w:hAnsi="Arial" w:cs="Arial"/>
          <w:sz w:val="22"/>
          <w:szCs w:val="22"/>
        </w:rPr>
        <w:fldChar w:fldCharType="begin"/>
      </w:r>
      <w:r w:rsidRPr="00E80A9C">
        <w:rPr>
          <w:rFonts w:ascii="Arial" w:hAnsi="Arial" w:cs="Arial"/>
          <w:sz w:val="22"/>
          <w:szCs w:val="22"/>
        </w:rPr>
        <w:instrText xml:space="preserve"> SEQ Figure \* ARABIC </w:instrText>
      </w:r>
      <w:r w:rsidR="00CB191B" w:rsidRPr="00E80A9C">
        <w:rPr>
          <w:rFonts w:ascii="Arial" w:hAnsi="Arial" w:cs="Arial"/>
          <w:sz w:val="22"/>
          <w:szCs w:val="22"/>
        </w:rPr>
        <w:fldChar w:fldCharType="separate"/>
      </w:r>
      <w:r w:rsidR="006168FB">
        <w:rPr>
          <w:rFonts w:ascii="Arial" w:hAnsi="Arial" w:cs="Arial"/>
          <w:noProof/>
          <w:sz w:val="22"/>
          <w:szCs w:val="22"/>
        </w:rPr>
        <w:t>13</w:t>
      </w:r>
      <w:r w:rsidR="00CB191B" w:rsidRPr="00E80A9C">
        <w:rPr>
          <w:rFonts w:ascii="Arial" w:hAnsi="Arial" w:cs="Arial"/>
          <w:sz w:val="22"/>
          <w:szCs w:val="22"/>
        </w:rPr>
        <w:fldChar w:fldCharType="end"/>
      </w:r>
      <w:r w:rsidRPr="00E80A9C">
        <w:rPr>
          <w:rFonts w:ascii="Arial" w:hAnsi="Arial" w:cs="Arial"/>
          <w:sz w:val="22"/>
          <w:szCs w:val="22"/>
        </w:rPr>
        <w:t>:</w:t>
      </w:r>
      <w:r w:rsidRPr="00E80A9C">
        <w:rPr>
          <w:rFonts w:ascii="Arial" w:hAnsi="Arial" w:cs="Arial"/>
          <w:iCs/>
          <w:sz w:val="22"/>
          <w:szCs w:val="22"/>
        </w:rPr>
        <w:t xml:space="preserve"> </w:t>
      </w:r>
      <w:r w:rsidRPr="00E80A9C">
        <w:rPr>
          <w:rFonts w:ascii="Arial" w:hAnsi="Arial" w:cs="Arial"/>
          <w:sz w:val="22"/>
          <w:szCs w:val="22"/>
          <w:lang w:val="en-GB"/>
        </w:rPr>
        <w:t xml:space="preserve"> </w:t>
      </w:r>
      <w:r w:rsidR="00442E54" w:rsidRPr="00E80A9C">
        <w:rPr>
          <w:rFonts w:ascii="Arial" w:hAnsi="Arial" w:cs="Arial"/>
          <w:sz w:val="22"/>
          <w:szCs w:val="22"/>
          <w:lang w:val="en-GB"/>
        </w:rPr>
        <w:t>Estimates of catastrophic expenditure by each component of out-of-pocket payment</w:t>
      </w:r>
      <w:r w:rsidR="00E14E1F">
        <w:rPr>
          <w:rFonts w:ascii="Arial" w:hAnsi="Arial" w:cs="Arial"/>
          <w:sz w:val="22"/>
          <w:szCs w:val="22"/>
          <w:lang w:val="en-GB"/>
        </w:rPr>
        <w:t>s</w:t>
      </w:r>
      <w:bookmarkEnd w:id="46"/>
      <w:r w:rsidR="00442E54" w:rsidRPr="00E80A9C">
        <w:rPr>
          <w:rFonts w:ascii="Arial" w:hAnsi="Arial" w:cs="Arial"/>
          <w:sz w:val="22"/>
          <w:szCs w:val="22"/>
          <w:lang w:val="en-GB"/>
        </w:rPr>
        <w:t xml:space="preserve"> </w:t>
      </w:r>
    </w:p>
    <w:p w14:paraId="2FE61DFA" w14:textId="6BD4EF5B" w:rsidR="001E563A" w:rsidRDefault="00D3265D" w:rsidP="001E563A">
      <w:pPr>
        <w:jc w:val="both"/>
        <w:rPr>
          <w:lang w:val="en-GB"/>
        </w:rPr>
      </w:pPr>
      <w:r w:rsidRPr="00D3265D">
        <w:rPr>
          <w:noProof/>
        </w:rPr>
        <w:drawing>
          <wp:inline distT="0" distB="0" distL="0" distR="0" wp14:anchorId="03A1A7FD" wp14:editId="71A69495">
            <wp:extent cx="5716970" cy="1925320"/>
            <wp:effectExtent l="0" t="0" r="0" b="5080"/>
            <wp:docPr id="3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18369" cy="1925791"/>
                    </a:xfrm>
                    <a:prstGeom prst="rect">
                      <a:avLst/>
                    </a:prstGeom>
                    <a:noFill/>
                    <a:ln>
                      <a:noFill/>
                    </a:ln>
                  </pic:spPr>
                </pic:pic>
              </a:graphicData>
            </a:graphic>
          </wp:inline>
        </w:drawing>
      </w:r>
    </w:p>
    <w:p w14:paraId="2A18CC19" w14:textId="77777777" w:rsidR="00E80A9C" w:rsidRPr="008B7EA0" w:rsidRDefault="00E80A9C" w:rsidP="00E80A9C">
      <w:pPr>
        <w:rPr>
          <w:i/>
          <w:sz w:val="22"/>
          <w:lang w:val="en-GB"/>
        </w:rPr>
      </w:pPr>
      <w:r w:rsidRPr="008B7EA0">
        <w:rPr>
          <w:i/>
          <w:sz w:val="22"/>
          <w:lang w:val="en-GB"/>
        </w:rPr>
        <w:t>Source: Mongolia Household Socio-Economic Surveys, 20</w:t>
      </w:r>
      <w:r w:rsidR="007E46E0">
        <w:rPr>
          <w:i/>
          <w:sz w:val="22"/>
          <w:lang w:val="en-GB"/>
        </w:rPr>
        <w:t>10</w:t>
      </w:r>
      <w:r w:rsidRPr="008B7EA0">
        <w:rPr>
          <w:i/>
          <w:sz w:val="22"/>
          <w:lang w:val="en-GB"/>
        </w:rPr>
        <w:t>-2012</w:t>
      </w:r>
    </w:p>
    <w:p w14:paraId="145AB17A" w14:textId="77777777" w:rsidR="005B3A94" w:rsidRDefault="005B3A94" w:rsidP="001E563A">
      <w:pPr>
        <w:jc w:val="both"/>
        <w:rPr>
          <w:rFonts w:ascii="Arial" w:hAnsi="Arial" w:cs="Arial"/>
          <w:sz w:val="22"/>
          <w:szCs w:val="22"/>
        </w:rPr>
      </w:pPr>
    </w:p>
    <w:p w14:paraId="7657595A" w14:textId="3ECB1BD3" w:rsidR="009C57F9" w:rsidRPr="007B42E2" w:rsidRDefault="009C57F9" w:rsidP="009C57F9">
      <w:pPr>
        <w:jc w:val="both"/>
        <w:rPr>
          <w:rFonts w:ascii="Arial" w:hAnsi="Arial" w:cs="Arial"/>
          <w:lang w:val="en-GB"/>
        </w:rPr>
      </w:pPr>
      <w:r w:rsidRPr="007B42E2">
        <w:rPr>
          <w:rFonts w:ascii="Arial" w:hAnsi="Arial" w:cs="Arial"/>
          <w:lang w:val="en-GB"/>
        </w:rPr>
        <w:t>Decline</w:t>
      </w:r>
      <w:r w:rsidR="00200375">
        <w:rPr>
          <w:rFonts w:ascii="Arial" w:hAnsi="Arial" w:cs="Arial"/>
          <w:lang w:val="en-GB"/>
        </w:rPr>
        <w:t>s</w:t>
      </w:r>
      <w:r w:rsidRPr="007B42E2">
        <w:rPr>
          <w:rFonts w:ascii="Arial" w:hAnsi="Arial" w:cs="Arial"/>
          <w:lang w:val="en-GB"/>
        </w:rPr>
        <w:t xml:space="preserve"> in percentages of households experienced catastrophic health payments due to purchase of medicine</w:t>
      </w:r>
      <w:r w:rsidR="00E14E1F">
        <w:rPr>
          <w:rFonts w:ascii="Arial" w:hAnsi="Arial" w:cs="Arial"/>
          <w:lang w:val="en-GB"/>
        </w:rPr>
        <w:t>s</w:t>
      </w:r>
      <w:r w:rsidRPr="007B42E2">
        <w:rPr>
          <w:rFonts w:ascii="Arial" w:hAnsi="Arial" w:cs="Arial"/>
          <w:lang w:val="en-GB"/>
        </w:rPr>
        <w:t xml:space="preserve"> </w:t>
      </w:r>
      <w:r w:rsidR="00200375">
        <w:rPr>
          <w:rFonts w:ascii="Arial" w:hAnsi="Arial" w:cs="Arial"/>
          <w:lang w:val="en-GB"/>
        </w:rPr>
        <w:t>have been</w:t>
      </w:r>
      <w:r w:rsidRPr="007B42E2">
        <w:rPr>
          <w:rFonts w:ascii="Arial" w:hAnsi="Arial" w:cs="Arial"/>
          <w:lang w:val="en-GB"/>
        </w:rPr>
        <w:t xml:space="preserve"> observed for all </w:t>
      </w:r>
      <w:r w:rsidR="00E14E1F">
        <w:rPr>
          <w:rFonts w:ascii="Arial" w:hAnsi="Arial" w:cs="Arial"/>
          <w:lang w:val="en-GB"/>
        </w:rPr>
        <w:t>wealth quintiles</w:t>
      </w:r>
      <w:r w:rsidR="007B42E2" w:rsidRPr="007B42E2">
        <w:rPr>
          <w:rFonts w:ascii="Arial" w:hAnsi="Arial" w:cs="Arial"/>
          <w:lang w:val="en-GB"/>
        </w:rPr>
        <w:t xml:space="preserve"> </w:t>
      </w:r>
      <w:r w:rsidR="00E14E1F">
        <w:rPr>
          <w:rFonts w:ascii="Arial" w:hAnsi="Arial" w:cs="Arial"/>
          <w:lang w:val="en-GB"/>
        </w:rPr>
        <w:t>from</w:t>
      </w:r>
      <w:r w:rsidR="007B42E2" w:rsidRPr="007B42E2">
        <w:rPr>
          <w:rFonts w:ascii="Arial" w:hAnsi="Arial" w:cs="Arial"/>
          <w:lang w:val="en-GB"/>
        </w:rPr>
        <w:t xml:space="preserve"> 2010 </w:t>
      </w:r>
      <w:r w:rsidR="00E14E1F">
        <w:rPr>
          <w:rFonts w:ascii="Arial" w:hAnsi="Arial" w:cs="Arial"/>
          <w:lang w:val="en-GB"/>
        </w:rPr>
        <w:t xml:space="preserve">to </w:t>
      </w:r>
      <w:r w:rsidR="007B42E2" w:rsidRPr="007B42E2">
        <w:rPr>
          <w:rFonts w:ascii="Arial" w:hAnsi="Arial" w:cs="Arial"/>
          <w:lang w:val="en-GB"/>
        </w:rPr>
        <w:t>2012</w:t>
      </w:r>
      <w:r w:rsidR="00BF7391">
        <w:rPr>
          <w:rFonts w:ascii="Arial" w:hAnsi="Arial" w:cs="Arial"/>
          <w:lang w:val="en-GB"/>
        </w:rPr>
        <w:t xml:space="preserve"> (Table 16)</w:t>
      </w:r>
      <w:r w:rsidRPr="007B42E2">
        <w:rPr>
          <w:rFonts w:ascii="Arial" w:hAnsi="Arial" w:cs="Arial"/>
          <w:lang w:val="en-GB"/>
        </w:rPr>
        <w:t xml:space="preserve">. </w:t>
      </w:r>
    </w:p>
    <w:p w14:paraId="100BCF34" w14:textId="77777777" w:rsidR="007B42E2" w:rsidRDefault="007B42E2" w:rsidP="009C57F9">
      <w:pPr>
        <w:jc w:val="both"/>
        <w:rPr>
          <w:lang w:val="en-GB"/>
        </w:rPr>
      </w:pPr>
    </w:p>
    <w:p w14:paraId="3018BAF5" w14:textId="77777777" w:rsidR="007B42E2" w:rsidRDefault="007B42E2" w:rsidP="007B42E2">
      <w:pPr>
        <w:rPr>
          <w:rFonts w:ascii="Arial" w:hAnsi="Arial" w:cs="Arial"/>
          <w:sz w:val="22"/>
          <w:szCs w:val="22"/>
          <w:lang w:eastAsia="mn-MN"/>
        </w:rPr>
      </w:pPr>
      <w:bookmarkStart w:id="47" w:name="_Toc310170099"/>
      <w:r w:rsidRPr="007B42E2">
        <w:rPr>
          <w:rFonts w:ascii="Arial" w:hAnsi="Arial" w:cs="Arial"/>
          <w:sz w:val="22"/>
          <w:szCs w:val="22"/>
        </w:rPr>
        <w:t xml:space="preserve">Table </w:t>
      </w:r>
      <w:r w:rsidR="00CB191B" w:rsidRPr="007B42E2">
        <w:rPr>
          <w:rFonts w:ascii="Arial" w:hAnsi="Arial" w:cs="Arial"/>
          <w:sz w:val="22"/>
          <w:szCs w:val="22"/>
        </w:rPr>
        <w:fldChar w:fldCharType="begin"/>
      </w:r>
      <w:r w:rsidRPr="007B42E2">
        <w:rPr>
          <w:rFonts w:ascii="Arial" w:hAnsi="Arial" w:cs="Arial"/>
          <w:sz w:val="22"/>
          <w:szCs w:val="22"/>
        </w:rPr>
        <w:instrText xml:space="preserve"> SEQ Table \* ARABIC </w:instrText>
      </w:r>
      <w:r w:rsidR="00CB191B" w:rsidRPr="007B42E2">
        <w:rPr>
          <w:rFonts w:ascii="Arial" w:hAnsi="Arial" w:cs="Arial"/>
          <w:sz w:val="22"/>
          <w:szCs w:val="22"/>
        </w:rPr>
        <w:fldChar w:fldCharType="separate"/>
      </w:r>
      <w:r w:rsidR="00BF7391">
        <w:rPr>
          <w:rFonts w:ascii="Arial" w:hAnsi="Arial" w:cs="Arial"/>
          <w:noProof/>
          <w:sz w:val="22"/>
          <w:szCs w:val="22"/>
        </w:rPr>
        <w:t>16</w:t>
      </w:r>
      <w:r w:rsidR="00CB191B" w:rsidRPr="007B42E2">
        <w:rPr>
          <w:rFonts w:ascii="Arial" w:hAnsi="Arial" w:cs="Arial"/>
          <w:sz w:val="22"/>
          <w:szCs w:val="22"/>
        </w:rPr>
        <w:fldChar w:fldCharType="end"/>
      </w:r>
      <w:r w:rsidRPr="007B42E2">
        <w:rPr>
          <w:rFonts w:ascii="Arial" w:hAnsi="Arial" w:cs="Arial"/>
          <w:sz w:val="22"/>
          <w:szCs w:val="22"/>
        </w:rPr>
        <w:t xml:space="preserve">: </w:t>
      </w:r>
      <w:r w:rsidRPr="007B42E2">
        <w:rPr>
          <w:rFonts w:ascii="Arial" w:hAnsi="Arial" w:cs="Arial"/>
          <w:sz w:val="22"/>
          <w:szCs w:val="22"/>
          <w:lang w:val="mn-MN" w:eastAsia="mn-MN"/>
        </w:rPr>
        <w:t>Catastrophic payments by types of health services</w:t>
      </w:r>
      <w:r w:rsidRPr="007B42E2">
        <w:rPr>
          <w:rFonts w:ascii="Arial" w:hAnsi="Arial" w:cs="Arial"/>
          <w:sz w:val="22"/>
          <w:szCs w:val="22"/>
          <w:lang w:eastAsia="mn-MN"/>
        </w:rPr>
        <w:t xml:space="preserve"> and expenditure quintiles, 2010-2012</w:t>
      </w:r>
      <w:bookmarkEnd w:id="47"/>
    </w:p>
    <w:tbl>
      <w:tblPr>
        <w:tblW w:w="9932" w:type="dxa"/>
        <w:tblInd w:w="93" w:type="dxa"/>
        <w:tblLayout w:type="fixed"/>
        <w:tblLook w:val="04A0" w:firstRow="1" w:lastRow="0" w:firstColumn="1" w:lastColumn="0" w:noHBand="0" w:noVBand="1"/>
      </w:tblPr>
      <w:tblGrid>
        <w:gridCol w:w="1284"/>
        <w:gridCol w:w="720"/>
        <w:gridCol w:w="721"/>
        <w:gridCol w:w="721"/>
        <w:gridCol w:w="720"/>
        <w:gridCol w:w="721"/>
        <w:gridCol w:w="721"/>
        <w:gridCol w:w="720"/>
        <w:gridCol w:w="721"/>
        <w:gridCol w:w="721"/>
        <w:gridCol w:w="720"/>
        <w:gridCol w:w="721"/>
        <w:gridCol w:w="721"/>
      </w:tblGrid>
      <w:tr w:rsidR="0008172F" w:rsidRPr="00D3265D" w14:paraId="1A6C3BF8" w14:textId="77777777" w:rsidTr="009A68A8">
        <w:trPr>
          <w:trHeight w:val="240"/>
        </w:trPr>
        <w:tc>
          <w:tcPr>
            <w:tcW w:w="1284" w:type="dxa"/>
            <w:vMerge w:val="restart"/>
            <w:tcBorders>
              <w:top w:val="single" w:sz="4" w:space="0" w:color="auto"/>
              <w:left w:val="nil"/>
              <w:bottom w:val="single" w:sz="4" w:space="0" w:color="000000"/>
              <w:right w:val="nil"/>
            </w:tcBorders>
            <w:shd w:val="clear" w:color="auto" w:fill="auto"/>
            <w:hideMark/>
          </w:tcPr>
          <w:p w14:paraId="1B1D58B5"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Expenditure quintile</w:t>
            </w:r>
          </w:p>
        </w:tc>
        <w:tc>
          <w:tcPr>
            <w:tcW w:w="2162" w:type="dxa"/>
            <w:gridSpan w:val="3"/>
            <w:tcBorders>
              <w:top w:val="single" w:sz="4" w:space="0" w:color="auto"/>
              <w:left w:val="nil"/>
              <w:bottom w:val="nil"/>
              <w:right w:val="single" w:sz="4" w:space="0" w:color="000000"/>
            </w:tcBorders>
            <w:shd w:val="clear" w:color="auto" w:fill="auto"/>
            <w:noWrap/>
            <w:vAlign w:val="bottom"/>
            <w:hideMark/>
          </w:tcPr>
          <w:p w14:paraId="4FE0E60E" w14:textId="77777777" w:rsidR="0008172F" w:rsidRPr="00D3265D" w:rsidRDefault="0008172F" w:rsidP="0008172F">
            <w:pPr>
              <w:jc w:val="center"/>
              <w:rPr>
                <w:rFonts w:ascii="Arial Narrow" w:hAnsi="Arial Narrow" w:cs="Arial"/>
                <w:b/>
                <w:sz w:val="20"/>
                <w:szCs w:val="20"/>
              </w:rPr>
            </w:pPr>
            <w:r w:rsidRPr="00D3265D">
              <w:rPr>
                <w:rFonts w:ascii="Arial Narrow" w:hAnsi="Arial Narrow" w:cs="Arial"/>
                <w:b/>
                <w:sz w:val="20"/>
                <w:szCs w:val="20"/>
              </w:rPr>
              <w:t>Medicine</w:t>
            </w:r>
          </w:p>
        </w:tc>
        <w:tc>
          <w:tcPr>
            <w:tcW w:w="2162" w:type="dxa"/>
            <w:gridSpan w:val="3"/>
            <w:tcBorders>
              <w:top w:val="single" w:sz="4" w:space="0" w:color="auto"/>
              <w:left w:val="nil"/>
              <w:bottom w:val="nil"/>
              <w:right w:val="single" w:sz="4" w:space="0" w:color="000000"/>
            </w:tcBorders>
            <w:shd w:val="clear" w:color="auto" w:fill="auto"/>
            <w:noWrap/>
            <w:vAlign w:val="bottom"/>
            <w:hideMark/>
          </w:tcPr>
          <w:p w14:paraId="01E679D0" w14:textId="77777777" w:rsidR="0008172F" w:rsidRPr="00D3265D" w:rsidRDefault="0008172F" w:rsidP="0008172F">
            <w:pPr>
              <w:jc w:val="center"/>
              <w:rPr>
                <w:rFonts w:ascii="Arial Narrow" w:hAnsi="Arial Narrow" w:cs="Arial"/>
                <w:b/>
                <w:sz w:val="20"/>
                <w:szCs w:val="20"/>
              </w:rPr>
            </w:pPr>
            <w:r w:rsidRPr="00D3265D">
              <w:rPr>
                <w:rFonts w:ascii="Arial Narrow" w:hAnsi="Arial Narrow" w:cs="Arial"/>
                <w:b/>
                <w:sz w:val="20"/>
                <w:szCs w:val="20"/>
              </w:rPr>
              <w:t>Inpatient care</w:t>
            </w:r>
          </w:p>
        </w:tc>
        <w:tc>
          <w:tcPr>
            <w:tcW w:w="2162" w:type="dxa"/>
            <w:gridSpan w:val="3"/>
            <w:tcBorders>
              <w:top w:val="single" w:sz="4" w:space="0" w:color="auto"/>
              <w:left w:val="nil"/>
              <w:bottom w:val="nil"/>
              <w:right w:val="single" w:sz="4" w:space="0" w:color="000000"/>
            </w:tcBorders>
            <w:shd w:val="clear" w:color="auto" w:fill="auto"/>
            <w:noWrap/>
            <w:vAlign w:val="bottom"/>
            <w:hideMark/>
          </w:tcPr>
          <w:p w14:paraId="01DBC20F" w14:textId="77777777" w:rsidR="0008172F" w:rsidRPr="00D3265D" w:rsidRDefault="0008172F" w:rsidP="0008172F">
            <w:pPr>
              <w:jc w:val="center"/>
              <w:rPr>
                <w:rFonts w:ascii="Arial Narrow" w:hAnsi="Arial Narrow" w:cs="Arial"/>
                <w:b/>
                <w:sz w:val="20"/>
                <w:szCs w:val="20"/>
              </w:rPr>
            </w:pPr>
            <w:r w:rsidRPr="00D3265D">
              <w:rPr>
                <w:rFonts w:ascii="Arial Narrow" w:hAnsi="Arial Narrow" w:cs="Arial"/>
                <w:b/>
                <w:sz w:val="20"/>
                <w:szCs w:val="20"/>
              </w:rPr>
              <w:t xml:space="preserve">Ancillary services </w:t>
            </w:r>
          </w:p>
        </w:tc>
        <w:tc>
          <w:tcPr>
            <w:tcW w:w="2162" w:type="dxa"/>
            <w:gridSpan w:val="3"/>
            <w:tcBorders>
              <w:top w:val="single" w:sz="4" w:space="0" w:color="auto"/>
              <w:left w:val="nil"/>
              <w:bottom w:val="nil"/>
              <w:right w:val="nil"/>
            </w:tcBorders>
            <w:shd w:val="clear" w:color="auto" w:fill="auto"/>
            <w:noWrap/>
            <w:vAlign w:val="bottom"/>
            <w:hideMark/>
          </w:tcPr>
          <w:p w14:paraId="66B07458" w14:textId="77777777" w:rsidR="0008172F" w:rsidRPr="00D3265D" w:rsidRDefault="0008172F" w:rsidP="0008172F">
            <w:pPr>
              <w:jc w:val="center"/>
              <w:rPr>
                <w:rFonts w:ascii="Arial Narrow" w:hAnsi="Arial Narrow" w:cs="Arial"/>
                <w:b/>
                <w:sz w:val="20"/>
                <w:szCs w:val="20"/>
              </w:rPr>
            </w:pPr>
            <w:r w:rsidRPr="00D3265D">
              <w:rPr>
                <w:rFonts w:ascii="Arial Narrow" w:hAnsi="Arial Narrow" w:cs="Arial"/>
                <w:b/>
                <w:sz w:val="20"/>
                <w:szCs w:val="20"/>
              </w:rPr>
              <w:t>Outpatient care</w:t>
            </w:r>
          </w:p>
        </w:tc>
      </w:tr>
      <w:tr w:rsidR="0008172F" w:rsidRPr="00D3265D" w14:paraId="0A429B60" w14:textId="77777777" w:rsidTr="009A68A8">
        <w:trPr>
          <w:trHeight w:val="240"/>
        </w:trPr>
        <w:tc>
          <w:tcPr>
            <w:tcW w:w="1284" w:type="dxa"/>
            <w:vMerge/>
            <w:tcBorders>
              <w:top w:val="single" w:sz="4" w:space="0" w:color="auto"/>
              <w:left w:val="nil"/>
              <w:bottom w:val="single" w:sz="4" w:space="0" w:color="000000"/>
              <w:right w:val="nil"/>
            </w:tcBorders>
            <w:vAlign w:val="center"/>
            <w:hideMark/>
          </w:tcPr>
          <w:p w14:paraId="4545496C" w14:textId="77777777" w:rsidR="0008172F" w:rsidRPr="00D3265D" w:rsidRDefault="0008172F" w:rsidP="0008172F">
            <w:pPr>
              <w:rPr>
                <w:rFonts w:ascii="Arial Narrow" w:hAnsi="Arial Narrow" w:cs="Arial"/>
                <w:sz w:val="20"/>
                <w:szCs w:val="20"/>
              </w:rPr>
            </w:pPr>
          </w:p>
        </w:tc>
        <w:tc>
          <w:tcPr>
            <w:tcW w:w="720" w:type="dxa"/>
            <w:tcBorders>
              <w:top w:val="single" w:sz="4" w:space="0" w:color="auto"/>
              <w:left w:val="nil"/>
              <w:bottom w:val="single" w:sz="4" w:space="0" w:color="auto"/>
              <w:right w:val="nil"/>
            </w:tcBorders>
            <w:shd w:val="clear" w:color="auto" w:fill="auto"/>
            <w:noWrap/>
            <w:vAlign w:val="bottom"/>
            <w:hideMark/>
          </w:tcPr>
          <w:p w14:paraId="0E1E9425" w14:textId="77777777" w:rsidR="0008172F" w:rsidRPr="00D3265D" w:rsidRDefault="0008172F" w:rsidP="0008172F">
            <w:pPr>
              <w:jc w:val="right"/>
              <w:rPr>
                <w:rFonts w:ascii="Arial Narrow" w:hAnsi="Arial Narrow" w:cs="Arial"/>
                <w:sz w:val="20"/>
                <w:szCs w:val="20"/>
              </w:rPr>
            </w:pPr>
            <w:r w:rsidRPr="00D3265D">
              <w:rPr>
                <w:rFonts w:ascii="Arial Narrow" w:hAnsi="Arial Narrow" w:cs="Arial"/>
                <w:sz w:val="20"/>
                <w:szCs w:val="20"/>
              </w:rPr>
              <w:t>2010</w:t>
            </w:r>
          </w:p>
        </w:tc>
        <w:tc>
          <w:tcPr>
            <w:tcW w:w="721" w:type="dxa"/>
            <w:tcBorders>
              <w:top w:val="single" w:sz="4" w:space="0" w:color="auto"/>
              <w:left w:val="nil"/>
              <w:bottom w:val="single" w:sz="4" w:space="0" w:color="auto"/>
              <w:right w:val="nil"/>
            </w:tcBorders>
            <w:shd w:val="clear" w:color="auto" w:fill="auto"/>
            <w:noWrap/>
            <w:vAlign w:val="bottom"/>
            <w:hideMark/>
          </w:tcPr>
          <w:p w14:paraId="46261619" w14:textId="77777777" w:rsidR="0008172F" w:rsidRPr="00D3265D" w:rsidRDefault="0008172F" w:rsidP="0008172F">
            <w:pPr>
              <w:jc w:val="right"/>
              <w:rPr>
                <w:rFonts w:ascii="Arial Narrow" w:hAnsi="Arial Narrow" w:cs="Arial"/>
                <w:sz w:val="20"/>
                <w:szCs w:val="20"/>
              </w:rPr>
            </w:pPr>
            <w:r w:rsidRPr="00D3265D">
              <w:rPr>
                <w:rFonts w:ascii="Arial Narrow" w:hAnsi="Arial Narrow" w:cs="Arial"/>
                <w:sz w:val="20"/>
                <w:szCs w:val="20"/>
              </w:rPr>
              <w:t>2011</w:t>
            </w:r>
          </w:p>
        </w:tc>
        <w:tc>
          <w:tcPr>
            <w:tcW w:w="721" w:type="dxa"/>
            <w:tcBorders>
              <w:top w:val="single" w:sz="4" w:space="0" w:color="auto"/>
              <w:left w:val="nil"/>
              <w:bottom w:val="single" w:sz="4" w:space="0" w:color="auto"/>
              <w:right w:val="single" w:sz="4" w:space="0" w:color="auto"/>
            </w:tcBorders>
            <w:shd w:val="clear" w:color="auto" w:fill="auto"/>
            <w:noWrap/>
            <w:vAlign w:val="bottom"/>
            <w:hideMark/>
          </w:tcPr>
          <w:p w14:paraId="3E2AA1F0" w14:textId="77777777" w:rsidR="0008172F" w:rsidRPr="00D3265D" w:rsidRDefault="0008172F" w:rsidP="0008172F">
            <w:pPr>
              <w:jc w:val="right"/>
              <w:rPr>
                <w:rFonts w:ascii="Arial Narrow" w:hAnsi="Arial Narrow" w:cs="Arial"/>
                <w:sz w:val="20"/>
                <w:szCs w:val="20"/>
              </w:rPr>
            </w:pPr>
            <w:r w:rsidRPr="00D3265D">
              <w:rPr>
                <w:rFonts w:ascii="Arial Narrow" w:hAnsi="Arial Narrow" w:cs="Arial"/>
                <w:sz w:val="20"/>
                <w:szCs w:val="20"/>
              </w:rPr>
              <w:t>2012</w:t>
            </w:r>
          </w:p>
        </w:tc>
        <w:tc>
          <w:tcPr>
            <w:tcW w:w="720" w:type="dxa"/>
            <w:tcBorders>
              <w:top w:val="single" w:sz="4" w:space="0" w:color="auto"/>
              <w:left w:val="nil"/>
              <w:bottom w:val="single" w:sz="4" w:space="0" w:color="auto"/>
              <w:right w:val="nil"/>
            </w:tcBorders>
            <w:shd w:val="clear" w:color="auto" w:fill="auto"/>
            <w:noWrap/>
            <w:vAlign w:val="bottom"/>
            <w:hideMark/>
          </w:tcPr>
          <w:p w14:paraId="04933A66" w14:textId="77777777" w:rsidR="0008172F" w:rsidRPr="00D3265D" w:rsidRDefault="0008172F" w:rsidP="0008172F">
            <w:pPr>
              <w:jc w:val="right"/>
              <w:rPr>
                <w:rFonts w:ascii="Arial Narrow" w:hAnsi="Arial Narrow" w:cs="Arial"/>
                <w:sz w:val="20"/>
                <w:szCs w:val="20"/>
              </w:rPr>
            </w:pPr>
            <w:r w:rsidRPr="00D3265D">
              <w:rPr>
                <w:rFonts w:ascii="Arial Narrow" w:hAnsi="Arial Narrow" w:cs="Arial"/>
                <w:sz w:val="20"/>
                <w:szCs w:val="20"/>
              </w:rPr>
              <w:t>2010</w:t>
            </w:r>
          </w:p>
        </w:tc>
        <w:tc>
          <w:tcPr>
            <w:tcW w:w="721" w:type="dxa"/>
            <w:tcBorders>
              <w:top w:val="single" w:sz="4" w:space="0" w:color="auto"/>
              <w:left w:val="nil"/>
              <w:bottom w:val="single" w:sz="4" w:space="0" w:color="auto"/>
              <w:right w:val="nil"/>
            </w:tcBorders>
            <w:shd w:val="clear" w:color="auto" w:fill="auto"/>
            <w:noWrap/>
            <w:vAlign w:val="bottom"/>
            <w:hideMark/>
          </w:tcPr>
          <w:p w14:paraId="1F34161A" w14:textId="77777777" w:rsidR="0008172F" w:rsidRPr="00D3265D" w:rsidRDefault="0008172F" w:rsidP="0008172F">
            <w:pPr>
              <w:jc w:val="right"/>
              <w:rPr>
                <w:rFonts w:ascii="Arial Narrow" w:hAnsi="Arial Narrow" w:cs="Arial"/>
                <w:sz w:val="20"/>
                <w:szCs w:val="20"/>
              </w:rPr>
            </w:pPr>
            <w:r w:rsidRPr="00D3265D">
              <w:rPr>
                <w:rFonts w:ascii="Arial Narrow" w:hAnsi="Arial Narrow" w:cs="Arial"/>
                <w:sz w:val="20"/>
                <w:szCs w:val="20"/>
              </w:rPr>
              <w:t>2011</w:t>
            </w:r>
          </w:p>
        </w:tc>
        <w:tc>
          <w:tcPr>
            <w:tcW w:w="721" w:type="dxa"/>
            <w:tcBorders>
              <w:top w:val="single" w:sz="4" w:space="0" w:color="auto"/>
              <w:left w:val="nil"/>
              <w:bottom w:val="single" w:sz="4" w:space="0" w:color="auto"/>
              <w:right w:val="single" w:sz="4" w:space="0" w:color="auto"/>
            </w:tcBorders>
            <w:shd w:val="clear" w:color="auto" w:fill="auto"/>
            <w:noWrap/>
            <w:vAlign w:val="bottom"/>
            <w:hideMark/>
          </w:tcPr>
          <w:p w14:paraId="2C409C05" w14:textId="77777777" w:rsidR="0008172F" w:rsidRPr="00D3265D" w:rsidRDefault="0008172F" w:rsidP="0008172F">
            <w:pPr>
              <w:jc w:val="right"/>
              <w:rPr>
                <w:rFonts w:ascii="Arial Narrow" w:hAnsi="Arial Narrow" w:cs="Arial"/>
                <w:sz w:val="20"/>
                <w:szCs w:val="20"/>
              </w:rPr>
            </w:pPr>
            <w:r w:rsidRPr="00D3265D">
              <w:rPr>
                <w:rFonts w:ascii="Arial Narrow" w:hAnsi="Arial Narrow" w:cs="Arial"/>
                <w:sz w:val="20"/>
                <w:szCs w:val="20"/>
              </w:rPr>
              <w:t>2012</w:t>
            </w:r>
          </w:p>
        </w:tc>
        <w:tc>
          <w:tcPr>
            <w:tcW w:w="720" w:type="dxa"/>
            <w:tcBorders>
              <w:top w:val="single" w:sz="4" w:space="0" w:color="auto"/>
              <w:left w:val="nil"/>
              <w:bottom w:val="single" w:sz="4" w:space="0" w:color="auto"/>
              <w:right w:val="nil"/>
            </w:tcBorders>
            <w:shd w:val="clear" w:color="auto" w:fill="auto"/>
            <w:noWrap/>
            <w:vAlign w:val="bottom"/>
            <w:hideMark/>
          </w:tcPr>
          <w:p w14:paraId="45AE249D" w14:textId="77777777" w:rsidR="0008172F" w:rsidRPr="00D3265D" w:rsidRDefault="0008172F" w:rsidP="0008172F">
            <w:pPr>
              <w:jc w:val="right"/>
              <w:rPr>
                <w:rFonts w:ascii="Arial Narrow" w:hAnsi="Arial Narrow" w:cs="Arial"/>
                <w:sz w:val="20"/>
                <w:szCs w:val="20"/>
              </w:rPr>
            </w:pPr>
            <w:r w:rsidRPr="00D3265D">
              <w:rPr>
                <w:rFonts w:ascii="Arial Narrow" w:hAnsi="Arial Narrow" w:cs="Arial"/>
                <w:sz w:val="20"/>
                <w:szCs w:val="20"/>
              </w:rPr>
              <w:t>2010</w:t>
            </w:r>
          </w:p>
        </w:tc>
        <w:tc>
          <w:tcPr>
            <w:tcW w:w="721" w:type="dxa"/>
            <w:tcBorders>
              <w:top w:val="single" w:sz="4" w:space="0" w:color="auto"/>
              <w:left w:val="nil"/>
              <w:bottom w:val="single" w:sz="4" w:space="0" w:color="auto"/>
              <w:right w:val="nil"/>
            </w:tcBorders>
            <w:shd w:val="clear" w:color="auto" w:fill="auto"/>
            <w:noWrap/>
            <w:vAlign w:val="bottom"/>
            <w:hideMark/>
          </w:tcPr>
          <w:p w14:paraId="44BF68BC" w14:textId="77777777" w:rsidR="0008172F" w:rsidRPr="00D3265D" w:rsidRDefault="0008172F" w:rsidP="0008172F">
            <w:pPr>
              <w:jc w:val="right"/>
              <w:rPr>
                <w:rFonts w:ascii="Arial Narrow" w:hAnsi="Arial Narrow" w:cs="Arial"/>
                <w:sz w:val="20"/>
                <w:szCs w:val="20"/>
              </w:rPr>
            </w:pPr>
            <w:r w:rsidRPr="00D3265D">
              <w:rPr>
                <w:rFonts w:ascii="Arial Narrow" w:hAnsi="Arial Narrow" w:cs="Arial"/>
                <w:sz w:val="20"/>
                <w:szCs w:val="20"/>
              </w:rPr>
              <w:t>2011</w:t>
            </w:r>
          </w:p>
        </w:tc>
        <w:tc>
          <w:tcPr>
            <w:tcW w:w="721" w:type="dxa"/>
            <w:tcBorders>
              <w:top w:val="single" w:sz="4" w:space="0" w:color="auto"/>
              <w:left w:val="nil"/>
              <w:bottom w:val="single" w:sz="4" w:space="0" w:color="auto"/>
              <w:right w:val="single" w:sz="4" w:space="0" w:color="auto"/>
            </w:tcBorders>
            <w:shd w:val="clear" w:color="auto" w:fill="auto"/>
            <w:noWrap/>
            <w:vAlign w:val="bottom"/>
            <w:hideMark/>
          </w:tcPr>
          <w:p w14:paraId="7E21DBFF" w14:textId="77777777" w:rsidR="0008172F" w:rsidRPr="00D3265D" w:rsidRDefault="0008172F" w:rsidP="0008172F">
            <w:pPr>
              <w:jc w:val="right"/>
              <w:rPr>
                <w:rFonts w:ascii="Arial Narrow" w:hAnsi="Arial Narrow" w:cs="Arial"/>
                <w:sz w:val="20"/>
                <w:szCs w:val="20"/>
              </w:rPr>
            </w:pPr>
            <w:r w:rsidRPr="00D3265D">
              <w:rPr>
                <w:rFonts w:ascii="Arial Narrow" w:hAnsi="Arial Narrow" w:cs="Arial"/>
                <w:sz w:val="20"/>
                <w:szCs w:val="20"/>
              </w:rPr>
              <w:t>2012</w:t>
            </w:r>
          </w:p>
        </w:tc>
        <w:tc>
          <w:tcPr>
            <w:tcW w:w="720" w:type="dxa"/>
            <w:tcBorders>
              <w:top w:val="single" w:sz="4" w:space="0" w:color="auto"/>
              <w:left w:val="nil"/>
              <w:bottom w:val="single" w:sz="4" w:space="0" w:color="auto"/>
              <w:right w:val="nil"/>
            </w:tcBorders>
            <w:shd w:val="clear" w:color="auto" w:fill="auto"/>
            <w:noWrap/>
            <w:vAlign w:val="bottom"/>
            <w:hideMark/>
          </w:tcPr>
          <w:p w14:paraId="7401AE75" w14:textId="77777777" w:rsidR="0008172F" w:rsidRPr="00D3265D" w:rsidRDefault="0008172F" w:rsidP="0008172F">
            <w:pPr>
              <w:jc w:val="right"/>
              <w:rPr>
                <w:rFonts w:ascii="Arial Narrow" w:hAnsi="Arial Narrow" w:cs="Arial"/>
                <w:sz w:val="20"/>
                <w:szCs w:val="20"/>
              </w:rPr>
            </w:pPr>
            <w:r w:rsidRPr="00D3265D">
              <w:rPr>
                <w:rFonts w:ascii="Arial Narrow" w:hAnsi="Arial Narrow" w:cs="Arial"/>
                <w:sz w:val="20"/>
                <w:szCs w:val="20"/>
              </w:rPr>
              <w:t>2010</w:t>
            </w:r>
          </w:p>
        </w:tc>
        <w:tc>
          <w:tcPr>
            <w:tcW w:w="721" w:type="dxa"/>
            <w:tcBorders>
              <w:top w:val="single" w:sz="4" w:space="0" w:color="auto"/>
              <w:left w:val="nil"/>
              <w:bottom w:val="single" w:sz="4" w:space="0" w:color="auto"/>
              <w:right w:val="nil"/>
            </w:tcBorders>
            <w:shd w:val="clear" w:color="auto" w:fill="auto"/>
            <w:noWrap/>
            <w:vAlign w:val="bottom"/>
            <w:hideMark/>
          </w:tcPr>
          <w:p w14:paraId="7F8EC333" w14:textId="77777777" w:rsidR="0008172F" w:rsidRPr="00D3265D" w:rsidRDefault="0008172F" w:rsidP="0008172F">
            <w:pPr>
              <w:jc w:val="right"/>
              <w:rPr>
                <w:rFonts w:ascii="Arial Narrow" w:hAnsi="Arial Narrow" w:cs="Arial"/>
                <w:sz w:val="20"/>
                <w:szCs w:val="20"/>
              </w:rPr>
            </w:pPr>
            <w:r w:rsidRPr="00D3265D">
              <w:rPr>
                <w:rFonts w:ascii="Arial Narrow" w:hAnsi="Arial Narrow" w:cs="Arial"/>
                <w:sz w:val="20"/>
                <w:szCs w:val="20"/>
              </w:rPr>
              <w:t>2011</w:t>
            </w:r>
          </w:p>
        </w:tc>
        <w:tc>
          <w:tcPr>
            <w:tcW w:w="721" w:type="dxa"/>
            <w:tcBorders>
              <w:top w:val="single" w:sz="4" w:space="0" w:color="auto"/>
              <w:left w:val="nil"/>
              <w:bottom w:val="single" w:sz="4" w:space="0" w:color="auto"/>
              <w:right w:val="nil"/>
            </w:tcBorders>
            <w:shd w:val="clear" w:color="auto" w:fill="auto"/>
            <w:noWrap/>
            <w:vAlign w:val="bottom"/>
            <w:hideMark/>
          </w:tcPr>
          <w:p w14:paraId="22E36FBE" w14:textId="77777777" w:rsidR="0008172F" w:rsidRPr="00D3265D" w:rsidRDefault="0008172F" w:rsidP="0008172F">
            <w:pPr>
              <w:jc w:val="right"/>
              <w:rPr>
                <w:rFonts w:ascii="Arial Narrow" w:hAnsi="Arial Narrow" w:cs="Arial"/>
                <w:sz w:val="20"/>
                <w:szCs w:val="20"/>
              </w:rPr>
            </w:pPr>
            <w:r w:rsidRPr="00D3265D">
              <w:rPr>
                <w:rFonts w:ascii="Arial Narrow" w:hAnsi="Arial Narrow" w:cs="Arial"/>
                <w:sz w:val="20"/>
                <w:szCs w:val="20"/>
              </w:rPr>
              <w:t>2012</w:t>
            </w:r>
          </w:p>
        </w:tc>
      </w:tr>
      <w:tr w:rsidR="0008172F" w:rsidRPr="00D3265D" w14:paraId="306D6F0E" w14:textId="77777777" w:rsidTr="009A68A8">
        <w:trPr>
          <w:trHeight w:val="240"/>
        </w:trPr>
        <w:tc>
          <w:tcPr>
            <w:tcW w:w="1284" w:type="dxa"/>
            <w:tcBorders>
              <w:top w:val="nil"/>
              <w:left w:val="nil"/>
              <w:bottom w:val="nil"/>
              <w:right w:val="nil"/>
            </w:tcBorders>
            <w:shd w:val="clear" w:color="auto" w:fill="auto"/>
            <w:noWrap/>
            <w:vAlign w:val="bottom"/>
            <w:hideMark/>
          </w:tcPr>
          <w:p w14:paraId="384F7310"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1</w:t>
            </w:r>
          </w:p>
        </w:tc>
        <w:tc>
          <w:tcPr>
            <w:tcW w:w="720" w:type="dxa"/>
            <w:tcBorders>
              <w:top w:val="nil"/>
              <w:left w:val="nil"/>
              <w:bottom w:val="nil"/>
              <w:right w:val="nil"/>
            </w:tcBorders>
            <w:shd w:val="clear" w:color="auto" w:fill="auto"/>
            <w:noWrap/>
            <w:vAlign w:val="bottom"/>
            <w:hideMark/>
          </w:tcPr>
          <w:p w14:paraId="5AFE07B3"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0.4%</w:t>
            </w:r>
          </w:p>
        </w:tc>
        <w:tc>
          <w:tcPr>
            <w:tcW w:w="721" w:type="dxa"/>
            <w:tcBorders>
              <w:top w:val="nil"/>
              <w:left w:val="nil"/>
              <w:bottom w:val="nil"/>
              <w:right w:val="nil"/>
            </w:tcBorders>
            <w:shd w:val="clear" w:color="auto" w:fill="auto"/>
            <w:noWrap/>
            <w:vAlign w:val="bottom"/>
            <w:hideMark/>
          </w:tcPr>
          <w:p w14:paraId="5E7A4487"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0.64%</w:t>
            </w:r>
          </w:p>
        </w:tc>
        <w:tc>
          <w:tcPr>
            <w:tcW w:w="721" w:type="dxa"/>
            <w:tcBorders>
              <w:top w:val="nil"/>
              <w:left w:val="nil"/>
              <w:bottom w:val="nil"/>
              <w:right w:val="single" w:sz="4" w:space="0" w:color="auto"/>
            </w:tcBorders>
            <w:shd w:val="clear" w:color="auto" w:fill="auto"/>
            <w:noWrap/>
            <w:vAlign w:val="bottom"/>
            <w:hideMark/>
          </w:tcPr>
          <w:p w14:paraId="13A3DB78"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0.08%</w:t>
            </w:r>
          </w:p>
        </w:tc>
        <w:tc>
          <w:tcPr>
            <w:tcW w:w="720" w:type="dxa"/>
            <w:tcBorders>
              <w:top w:val="nil"/>
              <w:left w:val="nil"/>
              <w:bottom w:val="nil"/>
              <w:right w:val="nil"/>
            </w:tcBorders>
            <w:shd w:val="clear" w:color="auto" w:fill="auto"/>
            <w:noWrap/>
            <w:vAlign w:val="bottom"/>
            <w:hideMark/>
          </w:tcPr>
          <w:p w14:paraId="102737B4"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0.2%</w:t>
            </w:r>
          </w:p>
        </w:tc>
        <w:tc>
          <w:tcPr>
            <w:tcW w:w="721" w:type="dxa"/>
            <w:tcBorders>
              <w:top w:val="nil"/>
              <w:left w:val="nil"/>
              <w:bottom w:val="nil"/>
              <w:right w:val="nil"/>
            </w:tcBorders>
            <w:shd w:val="clear" w:color="auto" w:fill="auto"/>
            <w:noWrap/>
            <w:vAlign w:val="bottom"/>
            <w:hideMark/>
          </w:tcPr>
          <w:p w14:paraId="4B90B534"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0.4%</w:t>
            </w:r>
          </w:p>
        </w:tc>
        <w:tc>
          <w:tcPr>
            <w:tcW w:w="721" w:type="dxa"/>
            <w:tcBorders>
              <w:top w:val="nil"/>
              <w:left w:val="nil"/>
              <w:bottom w:val="nil"/>
              <w:right w:val="single" w:sz="4" w:space="0" w:color="auto"/>
            </w:tcBorders>
            <w:shd w:val="clear" w:color="auto" w:fill="auto"/>
            <w:noWrap/>
            <w:vAlign w:val="bottom"/>
            <w:hideMark/>
          </w:tcPr>
          <w:p w14:paraId="09846A4E"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0.1%</w:t>
            </w:r>
          </w:p>
        </w:tc>
        <w:tc>
          <w:tcPr>
            <w:tcW w:w="720" w:type="dxa"/>
            <w:tcBorders>
              <w:top w:val="nil"/>
              <w:left w:val="nil"/>
              <w:bottom w:val="nil"/>
              <w:right w:val="nil"/>
            </w:tcBorders>
            <w:shd w:val="clear" w:color="auto" w:fill="auto"/>
            <w:noWrap/>
            <w:vAlign w:val="bottom"/>
            <w:hideMark/>
          </w:tcPr>
          <w:p w14:paraId="37EEE0B8" w14:textId="42FBFBED" w:rsidR="0008172F" w:rsidRPr="00D3265D" w:rsidRDefault="00956A5D" w:rsidP="0008172F">
            <w:pPr>
              <w:jc w:val="center"/>
              <w:rPr>
                <w:rFonts w:ascii="Arial Narrow" w:hAnsi="Arial Narrow" w:cs="Arial"/>
                <w:sz w:val="20"/>
                <w:szCs w:val="20"/>
              </w:rPr>
            </w:pPr>
            <w:r w:rsidRPr="00D3265D">
              <w:rPr>
                <w:rFonts w:ascii="Arial Narrow" w:hAnsi="Arial Narrow" w:cs="Arial"/>
                <w:sz w:val="20"/>
                <w:szCs w:val="20"/>
              </w:rPr>
              <w:t xml:space="preserve"> -</w:t>
            </w:r>
            <w:r w:rsidR="0008172F" w:rsidRPr="00D3265D">
              <w:rPr>
                <w:rFonts w:ascii="Arial Narrow" w:hAnsi="Arial Narrow" w:cs="Arial"/>
                <w:sz w:val="20"/>
                <w:szCs w:val="20"/>
              </w:rPr>
              <w:t> </w:t>
            </w:r>
          </w:p>
        </w:tc>
        <w:tc>
          <w:tcPr>
            <w:tcW w:w="721" w:type="dxa"/>
            <w:tcBorders>
              <w:top w:val="nil"/>
              <w:left w:val="nil"/>
              <w:bottom w:val="nil"/>
              <w:right w:val="nil"/>
            </w:tcBorders>
            <w:shd w:val="clear" w:color="auto" w:fill="auto"/>
            <w:noWrap/>
            <w:vAlign w:val="bottom"/>
            <w:hideMark/>
          </w:tcPr>
          <w:p w14:paraId="622FB707" w14:textId="410A44F8" w:rsidR="0008172F" w:rsidRPr="00D3265D" w:rsidRDefault="00956A5D" w:rsidP="0008172F">
            <w:pPr>
              <w:jc w:val="center"/>
              <w:rPr>
                <w:rFonts w:ascii="Arial Narrow" w:hAnsi="Arial Narrow" w:cs="Arial"/>
                <w:sz w:val="20"/>
                <w:szCs w:val="20"/>
              </w:rPr>
            </w:pPr>
            <w:r w:rsidRPr="00D3265D">
              <w:rPr>
                <w:rFonts w:ascii="Arial Narrow" w:hAnsi="Arial Narrow" w:cs="Arial"/>
                <w:sz w:val="20"/>
                <w:szCs w:val="20"/>
              </w:rPr>
              <w:t>-</w:t>
            </w:r>
          </w:p>
        </w:tc>
        <w:tc>
          <w:tcPr>
            <w:tcW w:w="721" w:type="dxa"/>
            <w:tcBorders>
              <w:top w:val="nil"/>
              <w:left w:val="nil"/>
              <w:bottom w:val="nil"/>
              <w:right w:val="single" w:sz="4" w:space="0" w:color="auto"/>
            </w:tcBorders>
            <w:shd w:val="clear" w:color="auto" w:fill="auto"/>
            <w:noWrap/>
            <w:vAlign w:val="bottom"/>
            <w:hideMark/>
          </w:tcPr>
          <w:p w14:paraId="5B8D6C9F" w14:textId="4204C306"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 </w:t>
            </w:r>
            <w:r w:rsidR="00956A5D" w:rsidRPr="00D3265D">
              <w:rPr>
                <w:rFonts w:ascii="Arial Narrow" w:hAnsi="Arial Narrow" w:cs="Arial"/>
                <w:sz w:val="20"/>
                <w:szCs w:val="20"/>
              </w:rPr>
              <w:t>-</w:t>
            </w:r>
          </w:p>
        </w:tc>
        <w:tc>
          <w:tcPr>
            <w:tcW w:w="720" w:type="dxa"/>
            <w:tcBorders>
              <w:top w:val="nil"/>
              <w:left w:val="nil"/>
              <w:bottom w:val="nil"/>
              <w:right w:val="nil"/>
            </w:tcBorders>
            <w:shd w:val="clear" w:color="auto" w:fill="auto"/>
            <w:noWrap/>
            <w:vAlign w:val="bottom"/>
            <w:hideMark/>
          </w:tcPr>
          <w:p w14:paraId="5B8CEAE0" w14:textId="0D8412B3" w:rsidR="0008172F" w:rsidRPr="00D3265D" w:rsidRDefault="00956A5D" w:rsidP="0008172F">
            <w:pPr>
              <w:jc w:val="center"/>
              <w:rPr>
                <w:rFonts w:ascii="Arial Narrow" w:hAnsi="Arial Narrow" w:cs="Arial"/>
                <w:sz w:val="20"/>
                <w:szCs w:val="20"/>
              </w:rPr>
            </w:pPr>
            <w:r w:rsidRPr="00D3265D">
              <w:rPr>
                <w:rFonts w:ascii="Arial Narrow" w:hAnsi="Arial Narrow" w:cs="Arial"/>
                <w:sz w:val="20"/>
                <w:szCs w:val="20"/>
              </w:rPr>
              <w:t>-</w:t>
            </w:r>
          </w:p>
        </w:tc>
        <w:tc>
          <w:tcPr>
            <w:tcW w:w="721" w:type="dxa"/>
            <w:tcBorders>
              <w:top w:val="nil"/>
              <w:left w:val="nil"/>
              <w:bottom w:val="nil"/>
              <w:right w:val="nil"/>
            </w:tcBorders>
            <w:shd w:val="clear" w:color="auto" w:fill="auto"/>
            <w:noWrap/>
            <w:vAlign w:val="bottom"/>
            <w:hideMark/>
          </w:tcPr>
          <w:p w14:paraId="481B686B" w14:textId="1ECE2303" w:rsidR="0008172F" w:rsidRPr="00D3265D" w:rsidRDefault="00956A5D" w:rsidP="0008172F">
            <w:pPr>
              <w:jc w:val="center"/>
              <w:rPr>
                <w:rFonts w:ascii="Arial Narrow" w:hAnsi="Arial Narrow" w:cs="Arial"/>
                <w:sz w:val="20"/>
                <w:szCs w:val="20"/>
              </w:rPr>
            </w:pPr>
            <w:r w:rsidRPr="00D3265D">
              <w:rPr>
                <w:rFonts w:ascii="Arial Narrow" w:hAnsi="Arial Narrow" w:cs="Arial"/>
                <w:sz w:val="20"/>
                <w:szCs w:val="20"/>
              </w:rPr>
              <w:t>-</w:t>
            </w:r>
          </w:p>
        </w:tc>
        <w:tc>
          <w:tcPr>
            <w:tcW w:w="721" w:type="dxa"/>
            <w:tcBorders>
              <w:top w:val="nil"/>
              <w:left w:val="nil"/>
              <w:bottom w:val="nil"/>
              <w:right w:val="nil"/>
            </w:tcBorders>
            <w:shd w:val="clear" w:color="auto" w:fill="auto"/>
            <w:noWrap/>
            <w:vAlign w:val="bottom"/>
            <w:hideMark/>
          </w:tcPr>
          <w:p w14:paraId="5E81B0ED"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0.04%</w:t>
            </w:r>
          </w:p>
        </w:tc>
      </w:tr>
      <w:tr w:rsidR="0008172F" w:rsidRPr="00D3265D" w14:paraId="0115375B" w14:textId="77777777" w:rsidTr="009A68A8">
        <w:trPr>
          <w:trHeight w:val="240"/>
        </w:trPr>
        <w:tc>
          <w:tcPr>
            <w:tcW w:w="1284" w:type="dxa"/>
            <w:tcBorders>
              <w:top w:val="nil"/>
              <w:left w:val="nil"/>
              <w:bottom w:val="nil"/>
              <w:right w:val="nil"/>
            </w:tcBorders>
            <w:shd w:val="clear" w:color="auto" w:fill="auto"/>
            <w:noWrap/>
            <w:vAlign w:val="bottom"/>
            <w:hideMark/>
          </w:tcPr>
          <w:p w14:paraId="714A48B2"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2</w:t>
            </w:r>
          </w:p>
        </w:tc>
        <w:tc>
          <w:tcPr>
            <w:tcW w:w="720" w:type="dxa"/>
            <w:tcBorders>
              <w:top w:val="nil"/>
              <w:left w:val="nil"/>
              <w:bottom w:val="nil"/>
              <w:right w:val="nil"/>
            </w:tcBorders>
            <w:shd w:val="clear" w:color="auto" w:fill="auto"/>
            <w:noWrap/>
            <w:vAlign w:val="bottom"/>
            <w:hideMark/>
          </w:tcPr>
          <w:p w14:paraId="49D3C1FC"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0.5%</w:t>
            </w:r>
          </w:p>
        </w:tc>
        <w:tc>
          <w:tcPr>
            <w:tcW w:w="721" w:type="dxa"/>
            <w:tcBorders>
              <w:top w:val="nil"/>
              <w:left w:val="nil"/>
              <w:bottom w:val="nil"/>
              <w:right w:val="nil"/>
            </w:tcBorders>
            <w:shd w:val="clear" w:color="auto" w:fill="auto"/>
            <w:noWrap/>
            <w:vAlign w:val="bottom"/>
            <w:hideMark/>
          </w:tcPr>
          <w:p w14:paraId="5BC5BAFC"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0.6%</w:t>
            </w:r>
          </w:p>
        </w:tc>
        <w:tc>
          <w:tcPr>
            <w:tcW w:w="721" w:type="dxa"/>
            <w:tcBorders>
              <w:top w:val="nil"/>
              <w:left w:val="nil"/>
              <w:bottom w:val="nil"/>
              <w:right w:val="single" w:sz="4" w:space="0" w:color="auto"/>
            </w:tcBorders>
            <w:shd w:val="clear" w:color="auto" w:fill="auto"/>
            <w:noWrap/>
            <w:vAlign w:val="bottom"/>
            <w:hideMark/>
          </w:tcPr>
          <w:p w14:paraId="4BA3389A"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0.2%</w:t>
            </w:r>
          </w:p>
        </w:tc>
        <w:tc>
          <w:tcPr>
            <w:tcW w:w="720" w:type="dxa"/>
            <w:tcBorders>
              <w:top w:val="nil"/>
              <w:left w:val="nil"/>
              <w:bottom w:val="nil"/>
              <w:right w:val="nil"/>
            </w:tcBorders>
            <w:shd w:val="clear" w:color="auto" w:fill="auto"/>
            <w:noWrap/>
            <w:vAlign w:val="bottom"/>
            <w:hideMark/>
          </w:tcPr>
          <w:p w14:paraId="4FBF4ABB"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0.1%</w:t>
            </w:r>
          </w:p>
        </w:tc>
        <w:tc>
          <w:tcPr>
            <w:tcW w:w="721" w:type="dxa"/>
            <w:tcBorders>
              <w:top w:val="nil"/>
              <w:left w:val="nil"/>
              <w:bottom w:val="nil"/>
              <w:right w:val="nil"/>
            </w:tcBorders>
            <w:shd w:val="clear" w:color="auto" w:fill="auto"/>
            <w:noWrap/>
            <w:vAlign w:val="bottom"/>
            <w:hideMark/>
          </w:tcPr>
          <w:p w14:paraId="78A2B927"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0.5%</w:t>
            </w:r>
          </w:p>
        </w:tc>
        <w:tc>
          <w:tcPr>
            <w:tcW w:w="721" w:type="dxa"/>
            <w:tcBorders>
              <w:top w:val="nil"/>
              <w:left w:val="nil"/>
              <w:bottom w:val="nil"/>
              <w:right w:val="single" w:sz="4" w:space="0" w:color="auto"/>
            </w:tcBorders>
            <w:shd w:val="clear" w:color="auto" w:fill="auto"/>
            <w:noWrap/>
            <w:vAlign w:val="bottom"/>
            <w:hideMark/>
          </w:tcPr>
          <w:p w14:paraId="15A6097A" w14:textId="1C4B0D55" w:rsidR="0008172F" w:rsidRPr="00D3265D" w:rsidRDefault="00595881" w:rsidP="0008172F">
            <w:pPr>
              <w:jc w:val="center"/>
              <w:rPr>
                <w:rFonts w:ascii="Arial Narrow" w:hAnsi="Arial Narrow" w:cs="Arial"/>
                <w:sz w:val="20"/>
                <w:szCs w:val="20"/>
              </w:rPr>
            </w:pPr>
            <w:r w:rsidRPr="00D3265D">
              <w:rPr>
                <w:rFonts w:ascii="Arial Narrow" w:hAnsi="Arial Narrow" w:cs="Arial"/>
                <w:sz w:val="20"/>
                <w:szCs w:val="20"/>
              </w:rPr>
              <w:t>-</w:t>
            </w:r>
            <w:r w:rsidR="0008172F" w:rsidRPr="00D3265D">
              <w:rPr>
                <w:rFonts w:ascii="Arial Narrow" w:hAnsi="Arial Narrow" w:cs="Arial"/>
                <w:sz w:val="20"/>
                <w:szCs w:val="20"/>
              </w:rPr>
              <w:t> </w:t>
            </w:r>
          </w:p>
        </w:tc>
        <w:tc>
          <w:tcPr>
            <w:tcW w:w="720" w:type="dxa"/>
            <w:tcBorders>
              <w:top w:val="nil"/>
              <w:left w:val="nil"/>
              <w:bottom w:val="nil"/>
              <w:right w:val="nil"/>
            </w:tcBorders>
            <w:shd w:val="clear" w:color="auto" w:fill="auto"/>
            <w:noWrap/>
            <w:vAlign w:val="bottom"/>
            <w:hideMark/>
          </w:tcPr>
          <w:p w14:paraId="1DC64DFC" w14:textId="05F27EED" w:rsidR="0008172F" w:rsidRPr="00D3265D" w:rsidRDefault="00956A5D" w:rsidP="00956A5D">
            <w:pPr>
              <w:rPr>
                <w:rFonts w:ascii="Arial Narrow" w:hAnsi="Arial Narrow" w:cs="Arial"/>
                <w:sz w:val="20"/>
                <w:szCs w:val="20"/>
              </w:rPr>
            </w:pPr>
            <w:r w:rsidRPr="00D3265D">
              <w:rPr>
                <w:rFonts w:ascii="Arial Narrow" w:hAnsi="Arial Narrow" w:cs="Arial"/>
                <w:sz w:val="20"/>
                <w:szCs w:val="20"/>
              </w:rPr>
              <w:t xml:space="preserve">     -</w:t>
            </w:r>
          </w:p>
        </w:tc>
        <w:tc>
          <w:tcPr>
            <w:tcW w:w="721" w:type="dxa"/>
            <w:tcBorders>
              <w:top w:val="nil"/>
              <w:left w:val="nil"/>
              <w:bottom w:val="nil"/>
              <w:right w:val="nil"/>
            </w:tcBorders>
            <w:shd w:val="clear" w:color="auto" w:fill="auto"/>
            <w:noWrap/>
            <w:vAlign w:val="bottom"/>
            <w:hideMark/>
          </w:tcPr>
          <w:p w14:paraId="5BAA8D05" w14:textId="0612E948" w:rsidR="0008172F" w:rsidRPr="00D3265D" w:rsidRDefault="00956A5D" w:rsidP="0008172F">
            <w:pPr>
              <w:jc w:val="center"/>
              <w:rPr>
                <w:rFonts w:ascii="Arial Narrow" w:hAnsi="Arial Narrow" w:cs="Arial"/>
                <w:sz w:val="20"/>
                <w:szCs w:val="20"/>
              </w:rPr>
            </w:pPr>
            <w:r w:rsidRPr="00D3265D">
              <w:rPr>
                <w:rFonts w:ascii="Arial Narrow" w:hAnsi="Arial Narrow" w:cs="Arial"/>
                <w:sz w:val="20"/>
                <w:szCs w:val="20"/>
              </w:rPr>
              <w:t>-</w:t>
            </w:r>
          </w:p>
        </w:tc>
        <w:tc>
          <w:tcPr>
            <w:tcW w:w="721" w:type="dxa"/>
            <w:tcBorders>
              <w:top w:val="nil"/>
              <w:left w:val="nil"/>
              <w:bottom w:val="nil"/>
              <w:right w:val="single" w:sz="4" w:space="0" w:color="auto"/>
            </w:tcBorders>
            <w:shd w:val="clear" w:color="auto" w:fill="auto"/>
            <w:noWrap/>
            <w:vAlign w:val="bottom"/>
            <w:hideMark/>
          </w:tcPr>
          <w:p w14:paraId="38F0D5CE" w14:textId="1E8C246F"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 </w:t>
            </w:r>
            <w:r w:rsidR="00956A5D" w:rsidRPr="00D3265D">
              <w:rPr>
                <w:rFonts w:ascii="Arial Narrow" w:hAnsi="Arial Narrow" w:cs="Arial"/>
                <w:sz w:val="20"/>
                <w:szCs w:val="20"/>
              </w:rPr>
              <w:t>-</w:t>
            </w:r>
          </w:p>
        </w:tc>
        <w:tc>
          <w:tcPr>
            <w:tcW w:w="720" w:type="dxa"/>
            <w:tcBorders>
              <w:top w:val="nil"/>
              <w:left w:val="nil"/>
              <w:bottom w:val="nil"/>
              <w:right w:val="nil"/>
            </w:tcBorders>
            <w:shd w:val="clear" w:color="auto" w:fill="auto"/>
            <w:noWrap/>
            <w:vAlign w:val="bottom"/>
            <w:hideMark/>
          </w:tcPr>
          <w:p w14:paraId="0A470346" w14:textId="6521F697" w:rsidR="0008172F" w:rsidRPr="00D3265D" w:rsidRDefault="00956A5D" w:rsidP="0008172F">
            <w:pPr>
              <w:jc w:val="center"/>
              <w:rPr>
                <w:rFonts w:ascii="Arial Narrow" w:hAnsi="Arial Narrow" w:cs="Arial"/>
                <w:sz w:val="20"/>
                <w:szCs w:val="20"/>
              </w:rPr>
            </w:pPr>
            <w:r w:rsidRPr="00D3265D">
              <w:rPr>
                <w:rFonts w:ascii="Arial Narrow" w:hAnsi="Arial Narrow" w:cs="Arial"/>
                <w:sz w:val="20"/>
                <w:szCs w:val="20"/>
              </w:rPr>
              <w:t>-</w:t>
            </w:r>
          </w:p>
        </w:tc>
        <w:tc>
          <w:tcPr>
            <w:tcW w:w="721" w:type="dxa"/>
            <w:tcBorders>
              <w:top w:val="nil"/>
              <w:left w:val="nil"/>
              <w:bottom w:val="nil"/>
              <w:right w:val="nil"/>
            </w:tcBorders>
            <w:shd w:val="clear" w:color="auto" w:fill="auto"/>
            <w:noWrap/>
            <w:vAlign w:val="bottom"/>
            <w:hideMark/>
          </w:tcPr>
          <w:p w14:paraId="61555A30"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0.03%</w:t>
            </w:r>
          </w:p>
        </w:tc>
        <w:tc>
          <w:tcPr>
            <w:tcW w:w="721" w:type="dxa"/>
            <w:tcBorders>
              <w:top w:val="nil"/>
              <w:left w:val="nil"/>
              <w:bottom w:val="nil"/>
              <w:right w:val="nil"/>
            </w:tcBorders>
            <w:shd w:val="clear" w:color="auto" w:fill="auto"/>
            <w:noWrap/>
            <w:vAlign w:val="bottom"/>
            <w:hideMark/>
          </w:tcPr>
          <w:p w14:paraId="2271C166" w14:textId="4D920EDD" w:rsidR="0008172F" w:rsidRPr="00D3265D" w:rsidRDefault="00956A5D" w:rsidP="00956A5D">
            <w:pPr>
              <w:jc w:val="center"/>
              <w:rPr>
                <w:rFonts w:ascii="Arial Narrow" w:hAnsi="Arial Narrow" w:cs="Arial"/>
                <w:sz w:val="20"/>
                <w:szCs w:val="20"/>
              </w:rPr>
            </w:pPr>
            <w:r w:rsidRPr="00D3265D">
              <w:rPr>
                <w:rFonts w:ascii="Arial Narrow" w:hAnsi="Arial Narrow" w:cs="Arial"/>
                <w:sz w:val="20"/>
                <w:szCs w:val="20"/>
              </w:rPr>
              <w:t>-</w:t>
            </w:r>
          </w:p>
        </w:tc>
      </w:tr>
      <w:tr w:rsidR="0008172F" w:rsidRPr="00D3265D" w14:paraId="1D46C44F" w14:textId="77777777" w:rsidTr="009A68A8">
        <w:trPr>
          <w:trHeight w:val="240"/>
        </w:trPr>
        <w:tc>
          <w:tcPr>
            <w:tcW w:w="1284" w:type="dxa"/>
            <w:tcBorders>
              <w:top w:val="nil"/>
              <w:left w:val="nil"/>
              <w:bottom w:val="nil"/>
              <w:right w:val="nil"/>
            </w:tcBorders>
            <w:shd w:val="clear" w:color="auto" w:fill="auto"/>
            <w:noWrap/>
            <w:vAlign w:val="bottom"/>
            <w:hideMark/>
          </w:tcPr>
          <w:p w14:paraId="25F9549C"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3</w:t>
            </w:r>
          </w:p>
        </w:tc>
        <w:tc>
          <w:tcPr>
            <w:tcW w:w="720" w:type="dxa"/>
            <w:tcBorders>
              <w:top w:val="nil"/>
              <w:left w:val="nil"/>
              <w:bottom w:val="nil"/>
              <w:right w:val="nil"/>
            </w:tcBorders>
            <w:shd w:val="clear" w:color="auto" w:fill="auto"/>
            <w:noWrap/>
            <w:vAlign w:val="bottom"/>
            <w:hideMark/>
          </w:tcPr>
          <w:p w14:paraId="692FA123"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0.3%</w:t>
            </w:r>
          </w:p>
        </w:tc>
        <w:tc>
          <w:tcPr>
            <w:tcW w:w="721" w:type="dxa"/>
            <w:tcBorders>
              <w:top w:val="nil"/>
              <w:left w:val="nil"/>
              <w:bottom w:val="nil"/>
              <w:right w:val="nil"/>
            </w:tcBorders>
            <w:shd w:val="clear" w:color="auto" w:fill="auto"/>
            <w:noWrap/>
            <w:vAlign w:val="bottom"/>
            <w:hideMark/>
          </w:tcPr>
          <w:p w14:paraId="6345B775"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0.6%</w:t>
            </w:r>
          </w:p>
        </w:tc>
        <w:tc>
          <w:tcPr>
            <w:tcW w:w="721" w:type="dxa"/>
            <w:tcBorders>
              <w:top w:val="nil"/>
              <w:left w:val="nil"/>
              <w:bottom w:val="nil"/>
              <w:right w:val="single" w:sz="4" w:space="0" w:color="auto"/>
            </w:tcBorders>
            <w:shd w:val="clear" w:color="auto" w:fill="auto"/>
            <w:noWrap/>
            <w:vAlign w:val="bottom"/>
            <w:hideMark/>
          </w:tcPr>
          <w:p w14:paraId="049BEFB4"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0.2%</w:t>
            </w:r>
          </w:p>
        </w:tc>
        <w:tc>
          <w:tcPr>
            <w:tcW w:w="720" w:type="dxa"/>
            <w:tcBorders>
              <w:top w:val="nil"/>
              <w:left w:val="nil"/>
              <w:bottom w:val="nil"/>
              <w:right w:val="nil"/>
            </w:tcBorders>
            <w:shd w:val="clear" w:color="auto" w:fill="auto"/>
            <w:noWrap/>
            <w:vAlign w:val="bottom"/>
            <w:hideMark/>
          </w:tcPr>
          <w:p w14:paraId="6D478AF4"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0.3%</w:t>
            </w:r>
          </w:p>
        </w:tc>
        <w:tc>
          <w:tcPr>
            <w:tcW w:w="721" w:type="dxa"/>
            <w:tcBorders>
              <w:top w:val="nil"/>
              <w:left w:val="nil"/>
              <w:bottom w:val="nil"/>
              <w:right w:val="nil"/>
            </w:tcBorders>
            <w:shd w:val="clear" w:color="auto" w:fill="auto"/>
            <w:noWrap/>
            <w:vAlign w:val="bottom"/>
            <w:hideMark/>
          </w:tcPr>
          <w:p w14:paraId="6CAAA62D"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0.2%</w:t>
            </w:r>
          </w:p>
        </w:tc>
        <w:tc>
          <w:tcPr>
            <w:tcW w:w="721" w:type="dxa"/>
            <w:tcBorders>
              <w:top w:val="nil"/>
              <w:left w:val="nil"/>
              <w:bottom w:val="nil"/>
              <w:right w:val="single" w:sz="4" w:space="0" w:color="auto"/>
            </w:tcBorders>
            <w:shd w:val="clear" w:color="auto" w:fill="auto"/>
            <w:noWrap/>
            <w:vAlign w:val="bottom"/>
            <w:hideMark/>
          </w:tcPr>
          <w:p w14:paraId="69B61025"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0.1%</w:t>
            </w:r>
          </w:p>
        </w:tc>
        <w:tc>
          <w:tcPr>
            <w:tcW w:w="720" w:type="dxa"/>
            <w:tcBorders>
              <w:top w:val="nil"/>
              <w:left w:val="nil"/>
              <w:bottom w:val="nil"/>
              <w:right w:val="nil"/>
            </w:tcBorders>
            <w:shd w:val="clear" w:color="auto" w:fill="auto"/>
            <w:noWrap/>
            <w:vAlign w:val="bottom"/>
            <w:hideMark/>
          </w:tcPr>
          <w:p w14:paraId="089648C4"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0.03%</w:t>
            </w:r>
          </w:p>
        </w:tc>
        <w:tc>
          <w:tcPr>
            <w:tcW w:w="721" w:type="dxa"/>
            <w:tcBorders>
              <w:top w:val="nil"/>
              <w:left w:val="nil"/>
              <w:bottom w:val="nil"/>
              <w:right w:val="nil"/>
            </w:tcBorders>
            <w:shd w:val="clear" w:color="auto" w:fill="auto"/>
            <w:noWrap/>
            <w:vAlign w:val="bottom"/>
            <w:hideMark/>
          </w:tcPr>
          <w:p w14:paraId="08723B35" w14:textId="015E6F6C" w:rsidR="0008172F" w:rsidRPr="00D3265D" w:rsidRDefault="00956A5D" w:rsidP="0008172F">
            <w:pPr>
              <w:jc w:val="center"/>
              <w:rPr>
                <w:rFonts w:ascii="Arial Narrow" w:hAnsi="Arial Narrow" w:cs="Arial"/>
                <w:sz w:val="20"/>
                <w:szCs w:val="20"/>
              </w:rPr>
            </w:pPr>
            <w:r w:rsidRPr="00D3265D">
              <w:rPr>
                <w:rFonts w:ascii="Arial Narrow" w:hAnsi="Arial Narrow" w:cs="Arial"/>
                <w:sz w:val="20"/>
                <w:szCs w:val="20"/>
              </w:rPr>
              <w:t>-</w:t>
            </w:r>
          </w:p>
        </w:tc>
        <w:tc>
          <w:tcPr>
            <w:tcW w:w="721" w:type="dxa"/>
            <w:tcBorders>
              <w:top w:val="nil"/>
              <w:left w:val="nil"/>
              <w:bottom w:val="nil"/>
              <w:right w:val="single" w:sz="4" w:space="0" w:color="auto"/>
            </w:tcBorders>
            <w:shd w:val="clear" w:color="auto" w:fill="auto"/>
            <w:noWrap/>
            <w:vAlign w:val="bottom"/>
            <w:hideMark/>
          </w:tcPr>
          <w:p w14:paraId="215615FB" w14:textId="5CA5FDA1" w:rsidR="0008172F" w:rsidRPr="00D3265D" w:rsidRDefault="00956A5D" w:rsidP="0008172F">
            <w:pPr>
              <w:jc w:val="center"/>
              <w:rPr>
                <w:rFonts w:ascii="Arial Narrow" w:hAnsi="Arial Narrow" w:cs="Arial"/>
                <w:sz w:val="20"/>
                <w:szCs w:val="20"/>
              </w:rPr>
            </w:pPr>
            <w:r w:rsidRPr="00D3265D">
              <w:rPr>
                <w:rFonts w:ascii="Arial Narrow" w:hAnsi="Arial Narrow" w:cs="Arial"/>
                <w:sz w:val="20"/>
                <w:szCs w:val="20"/>
              </w:rPr>
              <w:t xml:space="preserve">  -</w:t>
            </w:r>
            <w:r w:rsidR="0008172F" w:rsidRPr="00D3265D">
              <w:rPr>
                <w:rFonts w:ascii="Arial Narrow" w:hAnsi="Arial Narrow" w:cs="Arial"/>
                <w:sz w:val="20"/>
                <w:szCs w:val="20"/>
              </w:rPr>
              <w:t> </w:t>
            </w:r>
          </w:p>
        </w:tc>
        <w:tc>
          <w:tcPr>
            <w:tcW w:w="720" w:type="dxa"/>
            <w:tcBorders>
              <w:top w:val="nil"/>
              <w:left w:val="nil"/>
              <w:bottom w:val="nil"/>
              <w:right w:val="nil"/>
            </w:tcBorders>
            <w:shd w:val="clear" w:color="auto" w:fill="auto"/>
            <w:noWrap/>
            <w:vAlign w:val="bottom"/>
            <w:hideMark/>
          </w:tcPr>
          <w:p w14:paraId="7E95FAB9"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0.03%</w:t>
            </w:r>
          </w:p>
        </w:tc>
        <w:tc>
          <w:tcPr>
            <w:tcW w:w="721" w:type="dxa"/>
            <w:tcBorders>
              <w:top w:val="nil"/>
              <w:left w:val="nil"/>
              <w:bottom w:val="nil"/>
              <w:right w:val="nil"/>
            </w:tcBorders>
            <w:shd w:val="clear" w:color="auto" w:fill="auto"/>
            <w:noWrap/>
            <w:vAlign w:val="bottom"/>
            <w:hideMark/>
          </w:tcPr>
          <w:p w14:paraId="5AC0826B" w14:textId="62FDEA27" w:rsidR="0008172F" w:rsidRPr="00D3265D" w:rsidRDefault="00956A5D" w:rsidP="0008172F">
            <w:pPr>
              <w:jc w:val="center"/>
              <w:rPr>
                <w:rFonts w:ascii="Arial Narrow" w:hAnsi="Arial Narrow" w:cs="Arial"/>
                <w:sz w:val="20"/>
                <w:szCs w:val="20"/>
              </w:rPr>
            </w:pPr>
            <w:r w:rsidRPr="00D3265D">
              <w:rPr>
                <w:rFonts w:ascii="Arial Narrow" w:hAnsi="Arial Narrow" w:cs="Arial"/>
                <w:sz w:val="20"/>
                <w:szCs w:val="20"/>
              </w:rPr>
              <w:t>-</w:t>
            </w:r>
          </w:p>
        </w:tc>
        <w:tc>
          <w:tcPr>
            <w:tcW w:w="721" w:type="dxa"/>
            <w:tcBorders>
              <w:top w:val="nil"/>
              <w:left w:val="nil"/>
              <w:bottom w:val="nil"/>
              <w:right w:val="nil"/>
            </w:tcBorders>
            <w:shd w:val="clear" w:color="auto" w:fill="auto"/>
            <w:noWrap/>
            <w:vAlign w:val="bottom"/>
            <w:hideMark/>
          </w:tcPr>
          <w:p w14:paraId="26581C6A"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0.04%</w:t>
            </w:r>
          </w:p>
        </w:tc>
      </w:tr>
      <w:tr w:rsidR="0008172F" w:rsidRPr="00D3265D" w14:paraId="0DD49CA4" w14:textId="77777777" w:rsidTr="009A68A8">
        <w:trPr>
          <w:trHeight w:val="240"/>
        </w:trPr>
        <w:tc>
          <w:tcPr>
            <w:tcW w:w="1284" w:type="dxa"/>
            <w:tcBorders>
              <w:top w:val="nil"/>
              <w:left w:val="nil"/>
              <w:bottom w:val="nil"/>
              <w:right w:val="nil"/>
            </w:tcBorders>
            <w:shd w:val="clear" w:color="auto" w:fill="auto"/>
            <w:noWrap/>
            <w:vAlign w:val="bottom"/>
            <w:hideMark/>
          </w:tcPr>
          <w:p w14:paraId="3EE5CE36"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4</w:t>
            </w:r>
          </w:p>
        </w:tc>
        <w:tc>
          <w:tcPr>
            <w:tcW w:w="720" w:type="dxa"/>
            <w:tcBorders>
              <w:top w:val="nil"/>
              <w:left w:val="nil"/>
              <w:bottom w:val="nil"/>
              <w:right w:val="nil"/>
            </w:tcBorders>
            <w:shd w:val="clear" w:color="auto" w:fill="auto"/>
            <w:noWrap/>
            <w:vAlign w:val="bottom"/>
            <w:hideMark/>
          </w:tcPr>
          <w:p w14:paraId="1124BA59"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1.0%</w:t>
            </w:r>
          </w:p>
        </w:tc>
        <w:tc>
          <w:tcPr>
            <w:tcW w:w="721" w:type="dxa"/>
            <w:tcBorders>
              <w:top w:val="nil"/>
              <w:left w:val="nil"/>
              <w:bottom w:val="nil"/>
              <w:right w:val="nil"/>
            </w:tcBorders>
            <w:shd w:val="clear" w:color="auto" w:fill="auto"/>
            <w:noWrap/>
            <w:vAlign w:val="bottom"/>
            <w:hideMark/>
          </w:tcPr>
          <w:p w14:paraId="490D9BCF"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0.8%</w:t>
            </w:r>
          </w:p>
        </w:tc>
        <w:tc>
          <w:tcPr>
            <w:tcW w:w="721" w:type="dxa"/>
            <w:tcBorders>
              <w:top w:val="nil"/>
              <w:left w:val="nil"/>
              <w:bottom w:val="nil"/>
              <w:right w:val="single" w:sz="4" w:space="0" w:color="auto"/>
            </w:tcBorders>
            <w:shd w:val="clear" w:color="auto" w:fill="auto"/>
            <w:noWrap/>
            <w:vAlign w:val="bottom"/>
            <w:hideMark/>
          </w:tcPr>
          <w:p w14:paraId="2A1F25DF"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0.4%</w:t>
            </w:r>
          </w:p>
        </w:tc>
        <w:tc>
          <w:tcPr>
            <w:tcW w:w="720" w:type="dxa"/>
            <w:tcBorders>
              <w:top w:val="nil"/>
              <w:left w:val="nil"/>
              <w:bottom w:val="nil"/>
              <w:right w:val="nil"/>
            </w:tcBorders>
            <w:shd w:val="clear" w:color="auto" w:fill="auto"/>
            <w:noWrap/>
            <w:vAlign w:val="bottom"/>
            <w:hideMark/>
          </w:tcPr>
          <w:p w14:paraId="07FCB568"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0.2%</w:t>
            </w:r>
          </w:p>
        </w:tc>
        <w:tc>
          <w:tcPr>
            <w:tcW w:w="721" w:type="dxa"/>
            <w:tcBorders>
              <w:top w:val="nil"/>
              <w:left w:val="nil"/>
              <w:bottom w:val="nil"/>
              <w:right w:val="nil"/>
            </w:tcBorders>
            <w:shd w:val="clear" w:color="auto" w:fill="auto"/>
            <w:noWrap/>
            <w:vAlign w:val="bottom"/>
            <w:hideMark/>
          </w:tcPr>
          <w:p w14:paraId="04C7FEA6"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0.4%</w:t>
            </w:r>
          </w:p>
        </w:tc>
        <w:tc>
          <w:tcPr>
            <w:tcW w:w="721" w:type="dxa"/>
            <w:tcBorders>
              <w:top w:val="nil"/>
              <w:left w:val="nil"/>
              <w:bottom w:val="nil"/>
              <w:right w:val="single" w:sz="4" w:space="0" w:color="auto"/>
            </w:tcBorders>
            <w:shd w:val="clear" w:color="auto" w:fill="auto"/>
            <w:noWrap/>
            <w:vAlign w:val="bottom"/>
            <w:hideMark/>
          </w:tcPr>
          <w:p w14:paraId="0780CBB3"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0.4%</w:t>
            </w:r>
          </w:p>
        </w:tc>
        <w:tc>
          <w:tcPr>
            <w:tcW w:w="720" w:type="dxa"/>
            <w:tcBorders>
              <w:top w:val="nil"/>
              <w:left w:val="nil"/>
              <w:bottom w:val="nil"/>
              <w:right w:val="nil"/>
            </w:tcBorders>
            <w:shd w:val="clear" w:color="auto" w:fill="auto"/>
            <w:noWrap/>
            <w:vAlign w:val="bottom"/>
            <w:hideMark/>
          </w:tcPr>
          <w:p w14:paraId="731337A3" w14:textId="57FC84EB" w:rsidR="0008172F" w:rsidRPr="00D3265D" w:rsidRDefault="00956A5D" w:rsidP="0008172F">
            <w:pPr>
              <w:jc w:val="center"/>
              <w:rPr>
                <w:rFonts w:ascii="Arial Narrow" w:hAnsi="Arial Narrow" w:cs="Arial"/>
                <w:sz w:val="20"/>
                <w:szCs w:val="20"/>
              </w:rPr>
            </w:pPr>
            <w:r w:rsidRPr="00D3265D">
              <w:rPr>
                <w:rFonts w:ascii="Arial Narrow" w:hAnsi="Arial Narrow" w:cs="Arial"/>
                <w:sz w:val="20"/>
                <w:szCs w:val="20"/>
              </w:rPr>
              <w:t xml:space="preserve"> -</w:t>
            </w:r>
            <w:r w:rsidR="0008172F" w:rsidRPr="00D3265D">
              <w:rPr>
                <w:rFonts w:ascii="Arial Narrow" w:hAnsi="Arial Narrow" w:cs="Arial"/>
                <w:sz w:val="20"/>
                <w:szCs w:val="20"/>
              </w:rPr>
              <w:t> </w:t>
            </w:r>
          </w:p>
        </w:tc>
        <w:tc>
          <w:tcPr>
            <w:tcW w:w="721" w:type="dxa"/>
            <w:tcBorders>
              <w:top w:val="nil"/>
              <w:left w:val="nil"/>
              <w:bottom w:val="nil"/>
              <w:right w:val="nil"/>
            </w:tcBorders>
            <w:shd w:val="clear" w:color="auto" w:fill="auto"/>
            <w:noWrap/>
            <w:vAlign w:val="bottom"/>
            <w:hideMark/>
          </w:tcPr>
          <w:p w14:paraId="434A6F76"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0.1%</w:t>
            </w:r>
          </w:p>
        </w:tc>
        <w:tc>
          <w:tcPr>
            <w:tcW w:w="721" w:type="dxa"/>
            <w:tcBorders>
              <w:top w:val="nil"/>
              <w:left w:val="nil"/>
              <w:bottom w:val="nil"/>
              <w:right w:val="single" w:sz="4" w:space="0" w:color="auto"/>
            </w:tcBorders>
            <w:shd w:val="clear" w:color="auto" w:fill="auto"/>
            <w:noWrap/>
            <w:vAlign w:val="bottom"/>
            <w:hideMark/>
          </w:tcPr>
          <w:p w14:paraId="19A2D677"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0.04%</w:t>
            </w:r>
          </w:p>
        </w:tc>
        <w:tc>
          <w:tcPr>
            <w:tcW w:w="720" w:type="dxa"/>
            <w:tcBorders>
              <w:top w:val="nil"/>
              <w:left w:val="nil"/>
              <w:bottom w:val="nil"/>
              <w:right w:val="nil"/>
            </w:tcBorders>
            <w:shd w:val="clear" w:color="auto" w:fill="auto"/>
            <w:noWrap/>
            <w:vAlign w:val="bottom"/>
            <w:hideMark/>
          </w:tcPr>
          <w:p w14:paraId="170A497B"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0.1%</w:t>
            </w:r>
          </w:p>
        </w:tc>
        <w:tc>
          <w:tcPr>
            <w:tcW w:w="721" w:type="dxa"/>
            <w:tcBorders>
              <w:top w:val="nil"/>
              <w:left w:val="nil"/>
              <w:bottom w:val="nil"/>
              <w:right w:val="nil"/>
            </w:tcBorders>
            <w:shd w:val="clear" w:color="auto" w:fill="auto"/>
            <w:noWrap/>
            <w:vAlign w:val="bottom"/>
            <w:hideMark/>
          </w:tcPr>
          <w:p w14:paraId="00B1BAA5"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0.01%</w:t>
            </w:r>
          </w:p>
        </w:tc>
        <w:tc>
          <w:tcPr>
            <w:tcW w:w="721" w:type="dxa"/>
            <w:tcBorders>
              <w:top w:val="nil"/>
              <w:left w:val="nil"/>
              <w:bottom w:val="nil"/>
              <w:right w:val="nil"/>
            </w:tcBorders>
            <w:shd w:val="clear" w:color="auto" w:fill="auto"/>
            <w:noWrap/>
            <w:vAlign w:val="bottom"/>
            <w:hideMark/>
          </w:tcPr>
          <w:p w14:paraId="3D51FFF1" w14:textId="75963AC8" w:rsidR="0008172F" w:rsidRPr="00D3265D" w:rsidRDefault="00956A5D" w:rsidP="0008172F">
            <w:pPr>
              <w:jc w:val="center"/>
              <w:rPr>
                <w:rFonts w:ascii="Arial Narrow" w:hAnsi="Arial Narrow" w:cs="Arial"/>
                <w:sz w:val="20"/>
                <w:szCs w:val="20"/>
              </w:rPr>
            </w:pPr>
            <w:r w:rsidRPr="00D3265D">
              <w:rPr>
                <w:rFonts w:ascii="Arial Narrow" w:hAnsi="Arial Narrow" w:cs="Arial"/>
                <w:sz w:val="20"/>
                <w:szCs w:val="20"/>
              </w:rPr>
              <w:t>-</w:t>
            </w:r>
          </w:p>
        </w:tc>
      </w:tr>
      <w:tr w:rsidR="0008172F" w:rsidRPr="00D3265D" w14:paraId="4D7699AD" w14:textId="77777777" w:rsidTr="009A68A8">
        <w:trPr>
          <w:trHeight w:val="240"/>
        </w:trPr>
        <w:tc>
          <w:tcPr>
            <w:tcW w:w="1284" w:type="dxa"/>
            <w:tcBorders>
              <w:top w:val="nil"/>
              <w:left w:val="nil"/>
              <w:bottom w:val="nil"/>
              <w:right w:val="nil"/>
            </w:tcBorders>
            <w:shd w:val="clear" w:color="auto" w:fill="auto"/>
            <w:noWrap/>
            <w:vAlign w:val="bottom"/>
            <w:hideMark/>
          </w:tcPr>
          <w:p w14:paraId="308A0796"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5</w:t>
            </w:r>
          </w:p>
        </w:tc>
        <w:tc>
          <w:tcPr>
            <w:tcW w:w="720" w:type="dxa"/>
            <w:tcBorders>
              <w:top w:val="nil"/>
              <w:left w:val="nil"/>
              <w:bottom w:val="nil"/>
              <w:right w:val="nil"/>
            </w:tcBorders>
            <w:shd w:val="clear" w:color="auto" w:fill="auto"/>
            <w:noWrap/>
            <w:vAlign w:val="bottom"/>
            <w:hideMark/>
          </w:tcPr>
          <w:p w14:paraId="3A51CE53"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1.7%</w:t>
            </w:r>
          </w:p>
        </w:tc>
        <w:tc>
          <w:tcPr>
            <w:tcW w:w="721" w:type="dxa"/>
            <w:tcBorders>
              <w:top w:val="nil"/>
              <w:left w:val="nil"/>
              <w:bottom w:val="nil"/>
              <w:right w:val="nil"/>
            </w:tcBorders>
            <w:shd w:val="clear" w:color="auto" w:fill="auto"/>
            <w:noWrap/>
            <w:vAlign w:val="bottom"/>
            <w:hideMark/>
          </w:tcPr>
          <w:p w14:paraId="6F650EE8"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0.8%</w:t>
            </w:r>
          </w:p>
        </w:tc>
        <w:tc>
          <w:tcPr>
            <w:tcW w:w="721" w:type="dxa"/>
            <w:tcBorders>
              <w:top w:val="nil"/>
              <w:left w:val="nil"/>
              <w:bottom w:val="nil"/>
              <w:right w:val="single" w:sz="4" w:space="0" w:color="auto"/>
            </w:tcBorders>
            <w:shd w:val="clear" w:color="auto" w:fill="auto"/>
            <w:noWrap/>
            <w:vAlign w:val="bottom"/>
            <w:hideMark/>
          </w:tcPr>
          <w:p w14:paraId="12F9C26F"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0.5%</w:t>
            </w:r>
          </w:p>
        </w:tc>
        <w:tc>
          <w:tcPr>
            <w:tcW w:w="720" w:type="dxa"/>
            <w:tcBorders>
              <w:top w:val="nil"/>
              <w:left w:val="nil"/>
              <w:bottom w:val="nil"/>
              <w:right w:val="nil"/>
            </w:tcBorders>
            <w:shd w:val="clear" w:color="auto" w:fill="auto"/>
            <w:noWrap/>
            <w:vAlign w:val="bottom"/>
            <w:hideMark/>
          </w:tcPr>
          <w:p w14:paraId="12A4E263"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1.1%</w:t>
            </w:r>
          </w:p>
        </w:tc>
        <w:tc>
          <w:tcPr>
            <w:tcW w:w="721" w:type="dxa"/>
            <w:tcBorders>
              <w:top w:val="nil"/>
              <w:left w:val="nil"/>
              <w:bottom w:val="nil"/>
              <w:right w:val="nil"/>
            </w:tcBorders>
            <w:shd w:val="clear" w:color="auto" w:fill="auto"/>
            <w:noWrap/>
            <w:vAlign w:val="bottom"/>
            <w:hideMark/>
          </w:tcPr>
          <w:p w14:paraId="5A8D9D12"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1.3%</w:t>
            </w:r>
          </w:p>
        </w:tc>
        <w:tc>
          <w:tcPr>
            <w:tcW w:w="721" w:type="dxa"/>
            <w:tcBorders>
              <w:top w:val="nil"/>
              <w:left w:val="nil"/>
              <w:bottom w:val="nil"/>
              <w:right w:val="single" w:sz="4" w:space="0" w:color="auto"/>
            </w:tcBorders>
            <w:shd w:val="clear" w:color="auto" w:fill="auto"/>
            <w:noWrap/>
            <w:vAlign w:val="bottom"/>
            <w:hideMark/>
          </w:tcPr>
          <w:p w14:paraId="05CFA2B8"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0.7%</w:t>
            </w:r>
          </w:p>
        </w:tc>
        <w:tc>
          <w:tcPr>
            <w:tcW w:w="720" w:type="dxa"/>
            <w:tcBorders>
              <w:top w:val="nil"/>
              <w:left w:val="nil"/>
              <w:bottom w:val="nil"/>
              <w:right w:val="nil"/>
            </w:tcBorders>
            <w:shd w:val="clear" w:color="auto" w:fill="auto"/>
            <w:noWrap/>
            <w:vAlign w:val="bottom"/>
            <w:hideMark/>
          </w:tcPr>
          <w:p w14:paraId="09A224E5"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0.1%</w:t>
            </w:r>
          </w:p>
        </w:tc>
        <w:tc>
          <w:tcPr>
            <w:tcW w:w="721" w:type="dxa"/>
            <w:tcBorders>
              <w:top w:val="nil"/>
              <w:left w:val="nil"/>
              <w:bottom w:val="nil"/>
              <w:right w:val="nil"/>
            </w:tcBorders>
            <w:shd w:val="clear" w:color="auto" w:fill="auto"/>
            <w:noWrap/>
            <w:vAlign w:val="bottom"/>
            <w:hideMark/>
          </w:tcPr>
          <w:p w14:paraId="2C6E1393"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0.1%</w:t>
            </w:r>
          </w:p>
        </w:tc>
        <w:tc>
          <w:tcPr>
            <w:tcW w:w="721" w:type="dxa"/>
            <w:tcBorders>
              <w:top w:val="nil"/>
              <w:left w:val="nil"/>
              <w:bottom w:val="nil"/>
              <w:right w:val="single" w:sz="4" w:space="0" w:color="auto"/>
            </w:tcBorders>
            <w:shd w:val="clear" w:color="auto" w:fill="auto"/>
            <w:noWrap/>
            <w:vAlign w:val="bottom"/>
            <w:hideMark/>
          </w:tcPr>
          <w:p w14:paraId="15F1B297"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0.1%</w:t>
            </w:r>
          </w:p>
        </w:tc>
        <w:tc>
          <w:tcPr>
            <w:tcW w:w="720" w:type="dxa"/>
            <w:tcBorders>
              <w:top w:val="nil"/>
              <w:left w:val="nil"/>
              <w:bottom w:val="nil"/>
              <w:right w:val="nil"/>
            </w:tcBorders>
            <w:shd w:val="clear" w:color="auto" w:fill="auto"/>
            <w:noWrap/>
            <w:vAlign w:val="bottom"/>
            <w:hideMark/>
          </w:tcPr>
          <w:p w14:paraId="745D0991" w14:textId="420CB834" w:rsidR="0008172F" w:rsidRPr="00D3265D" w:rsidRDefault="00956A5D" w:rsidP="0008172F">
            <w:pPr>
              <w:jc w:val="center"/>
              <w:rPr>
                <w:rFonts w:ascii="Arial Narrow" w:hAnsi="Arial Narrow" w:cs="Arial"/>
                <w:sz w:val="20"/>
                <w:szCs w:val="20"/>
              </w:rPr>
            </w:pPr>
            <w:r w:rsidRPr="00D3265D">
              <w:rPr>
                <w:rFonts w:ascii="Arial Narrow" w:hAnsi="Arial Narrow" w:cs="Arial"/>
                <w:sz w:val="20"/>
                <w:szCs w:val="20"/>
              </w:rPr>
              <w:t>-</w:t>
            </w:r>
          </w:p>
        </w:tc>
        <w:tc>
          <w:tcPr>
            <w:tcW w:w="721" w:type="dxa"/>
            <w:tcBorders>
              <w:top w:val="nil"/>
              <w:left w:val="nil"/>
              <w:bottom w:val="nil"/>
              <w:right w:val="nil"/>
            </w:tcBorders>
            <w:shd w:val="clear" w:color="auto" w:fill="auto"/>
            <w:noWrap/>
            <w:vAlign w:val="bottom"/>
            <w:hideMark/>
          </w:tcPr>
          <w:p w14:paraId="30450127" w14:textId="7D037B27" w:rsidR="0008172F" w:rsidRPr="00D3265D" w:rsidRDefault="00956A5D" w:rsidP="0008172F">
            <w:pPr>
              <w:jc w:val="center"/>
              <w:rPr>
                <w:rFonts w:ascii="Arial Narrow" w:hAnsi="Arial Narrow" w:cs="Arial"/>
                <w:sz w:val="20"/>
                <w:szCs w:val="20"/>
              </w:rPr>
            </w:pPr>
            <w:r w:rsidRPr="00D3265D">
              <w:rPr>
                <w:rFonts w:ascii="Arial Narrow" w:hAnsi="Arial Narrow" w:cs="Arial"/>
                <w:sz w:val="20"/>
                <w:szCs w:val="20"/>
              </w:rPr>
              <w:t>-</w:t>
            </w:r>
          </w:p>
        </w:tc>
        <w:tc>
          <w:tcPr>
            <w:tcW w:w="721" w:type="dxa"/>
            <w:tcBorders>
              <w:top w:val="nil"/>
              <w:left w:val="nil"/>
              <w:bottom w:val="nil"/>
              <w:right w:val="nil"/>
            </w:tcBorders>
            <w:shd w:val="clear" w:color="auto" w:fill="auto"/>
            <w:noWrap/>
            <w:vAlign w:val="bottom"/>
            <w:hideMark/>
          </w:tcPr>
          <w:p w14:paraId="624A0A36"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0.02%</w:t>
            </w:r>
          </w:p>
        </w:tc>
      </w:tr>
      <w:tr w:rsidR="0008172F" w:rsidRPr="00D3265D" w14:paraId="20B7A084" w14:textId="77777777" w:rsidTr="009A68A8">
        <w:trPr>
          <w:trHeight w:val="240"/>
        </w:trPr>
        <w:tc>
          <w:tcPr>
            <w:tcW w:w="1284" w:type="dxa"/>
            <w:tcBorders>
              <w:top w:val="single" w:sz="4" w:space="0" w:color="auto"/>
              <w:left w:val="nil"/>
              <w:bottom w:val="single" w:sz="4" w:space="0" w:color="auto"/>
              <w:right w:val="nil"/>
            </w:tcBorders>
            <w:shd w:val="clear" w:color="auto" w:fill="auto"/>
            <w:noWrap/>
            <w:vAlign w:val="bottom"/>
            <w:hideMark/>
          </w:tcPr>
          <w:p w14:paraId="59F25671"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Total</w:t>
            </w:r>
          </w:p>
        </w:tc>
        <w:tc>
          <w:tcPr>
            <w:tcW w:w="720" w:type="dxa"/>
            <w:tcBorders>
              <w:top w:val="single" w:sz="4" w:space="0" w:color="auto"/>
              <w:left w:val="nil"/>
              <w:bottom w:val="single" w:sz="4" w:space="0" w:color="auto"/>
              <w:right w:val="nil"/>
            </w:tcBorders>
            <w:shd w:val="clear" w:color="auto" w:fill="auto"/>
            <w:noWrap/>
            <w:vAlign w:val="bottom"/>
            <w:hideMark/>
          </w:tcPr>
          <w:p w14:paraId="40EB09AA"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0.8%</w:t>
            </w:r>
          </w:p>
        </w:tc>
        <w:tc>
          <w:tcPr>
            <w:tcW w:w="721" w:type="dxa"/>
            <w:tcBorders>
              <w:top w:val="single" w:sz="4" w:space="0" w:color="auto"/>
              <w:left w:val="nil"/>
              <w:bottom w:val="single" w:sz="4" w:space="0" w:color="auto"/>
              <w:right w:val="nil"/>
            </w:tcBorders>
            <w:shd w:val="clear" w:color="auto" w:fill="auto"/>
            <w:noWrap/>
            <w:vAlign w:val="bottom"/>
            <w:hideMark/>
          </w:tcPr>
          <w:p w14:paraId="13DE85B8"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0.7%</w:t>
            </w:r>
          </w:p>
        </w:tc>
        <w:tc>
          <w:tcPr>
            <w:tcW w:w="721" w:type="dxa"/>
            <w:tcBorders>
              <w:top w:val="single" w:sz="4" w:space="0" w:color="auto"/>
              <w:left w:val="nil"/>
              <w:bottom w:val="single" w:sz="4" w:space="0" w:color="auto"/>
              <w:right w:val="single" w:sz="4" w:space="0" w:color="auto"/>
            </w:tcBorders>
            <w:shd w:val="clear" w:color="auto" w:fill="auto"/>
            <w:noWrap/>
            <w:vAlign w:val="bottom"/>
            <w:hideMark/>
          </w:tcPr>
          <w:p w14:paraId="5ABC97D8"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0.3%</w:t>
            </w:r>
          </w:p>
        </w:tc>
        <w:tc>
          <w:tcPr>
            <w:tcW w:w="720" w:type="dxa"/>
            <w:tcBorders>
              <w:top w:val="single" w:sz="4" w:space="0" w:color="auto"/>
              <w:left w:val="nil"/>
              <w:bottom w:val="single" w:sz="4" w:space="0" w:color="auto"/>
              <w:right w:val="nil"/>
            </w:tcBorders>
            <w:shd w:val="clear" w:color="auto" w:fill="auto"/>
            <w:noWrap/>
            <w:vAlign w:val="bottom"/>
            <w:hideMark/>
          </w:tcPr>
          <w:p w14:paraId="101A158F"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0.4%</w:t>
            </w:r>
          </w:p>
        </w:tc>
        <w:tc>
          <w:tcPr>
            <w:tcW w:w="721" w:type="dxa"/>
            <w:tcBorders>
              <w:top w:val="single" w:sz="4" w:space="0" w:color="auto"/>
              <w:left w:val="nil"/>
              <w:bottom w:val="single" w:sz="4" w:space="0" w:color="auto"/>
              <w:right w:val="nil"/>
            </w:tcBorders>
            <w:shd w:val="clear" w:color="auto" w:fill="auto"/>
            <w:noWrap/>
            <w:vAlign w:val="bottom"/>
            <w:hideMark/>
          </w:tcPr>
          <w:p w14:paraId="53B9CB7E"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0.6%</w:t>
            </w:r>
          </w:p>
        </w:tc>
        <w:tc>
          <w:tcPr>
            <w:tcW w:w="721" w:type="dxa"/>
            <w:tcBorders>
              <w:top w:val="single" w:sz="4" w:space="0" w:color="auto"/>
              <w:left w:val="nil"/>
              <w:bottom w:val="single" w:sz="4" w:space="0" w:color="auto"/>
              <w:right w:val="single" w:sz="4" w:space="0" w:color="auto"/>
            </w:tcBorders>
            <w:shd w:val="clear" w:color="auto" w:fill="auto"/>
            <w:noWrap/>
            <w:vAlign w:val="bottom"/>
            <w:hideMark/>
          </w:tcPr>
          <w:p w14:paraId="19C071A0"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0.24%</w:t>
            </w:r>
          </w:p>
        </w:tc>
        <w:tc>
          <w:tcPr>
            <w:tcW w:w="720" w:type="dxa"/>
            <w:tcBorders>
              <w:top w:val="single" w:sz="4" w:space="0" w:color="auto"/>
              <w:left w:val="nil"/>
              <w:bottom w:val="single" w:sz="4" w:space="0" w:color="auto"/>
              <w:right w:val="nil"/>
            </w:tcBorders>
            <w:shd w:val="clear" w:color="auto" w:fill="auto"/>
            <w:noWrap/>
            <w:vAlign w:val="bottom"/>
            <w:hideMark/>
          </w:tcPr>
          <w:p w14:paraId="06D3BA3B"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0.02%</w:t>
            </w:r>
          </w:p>
        </w:tc>
        <w:tc>
          <w:tcPr>
            <w:tcW w:w="721" w:type="dxa"/>
            <w:tcBorders>
              <w:top w:val="single" w:sz="4" w:space="0" w:color="auto"/>
              <w:left w:val="nil"/>
              <w:bottom w:val="single" w:sz="4" w:space="0" w:color="auto"/>
              <w:right w:val="nil"/>
            </w:tcBorders>
            <w:shd w:val="clear" w:color="auto" w:fill="auto"/>
            <w:noWrap/>
            <w:vAlign w:val="bottom"/>
            <w:hideMark/>
          </w:tcPr>
          <w:p w14:paraId="039C1845"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0.04%</w:t>
            </w:r>
          </w:p>
        </w:tc>
        <w:tc>
          <w:tcPr>
            <w:tcW w:w="721" w:type="dxa"/>
            <w:tcBorders>
              <w:top w:val="single" w:sz="4" w:space="0" w:color="auto"/>
              <w:left w:val="nil"/>
              <w:bottom w:val="single" w:sz="4" w:space="0" w:color="auto"/>
              <w:right w:val="single" w:sz="4" w:space="0" w:color="auto"/>
            </w:tcBorders>
            <w:shd w:val="clear" w:color="auto" w:fill="auto"/>
            <w:noWrap/>
            <w:vAlign w:val="bottom"/>
            <w:hideMark/>
          </w:tcPr>
          <w:p w14:paraId="165BB056"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0.03%</w:t>
            </w:r>
          </w:p>
        </w:tc>
        <w:tc>
          <w:tcPr>
            <w:tcW w:w="720" w:type="dxa"/>
            <w:tcBorders>
              <w:top w:val="single" w:sz="4" w:space="0" w:color="auto"/>
              <w:left w:val="nil"/>
              <w:bottom w:val="single" w:sz="4" w:space="0" w:color="auto"/>
              <w:right w:val="nil"/>
            </w:tcBorders>
            <w:shd w:val="clear" w:color="auto" w:fill="auto"/>
            <w:noWrap/>
            <w:vAlign w:val="bottom"/>
            <w:hideMark/>
          </w:tcPr>
          <w:p w14:paraId="56889F98"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0.02%</w:t>
            </w:r>
          </w:p>
        </w:tc>
        <w:tc>
          <w:tcPr>
            <w:tcW w:w="721" w:type="dxa"/>
            <w:tcBorders>
              <w:top w:val="single" w:sz="4" w:space="0" w:color="auto"/>
              <w:left w:val="nil"/>
              <w:bottom w:val="single" w:sz="4" w:space="0" w:color="auto"/>
              <w:right w:val="nil"/>
            </w:tcBorders>
            <w:shd w:val="clear" w:color="auto" w:fill="auto"/>
            <w:noWrap/>
            <w:vAlign w:val="bottom"/>
            <w:hideMark/>
          </w:tcPr>
          <w:p w14:paraId="525F6794"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0.01%</w:t>
            </w:r>
          </w:p>
        </w:tc>
        <w:tc>
          <w:tcPr>
            <w:tcW w:w="721" w:type="dxa"/>
            <w:tcBorders>
              <w:top w:val="single" w:sz="4" w:space="0" w:color="auto"/>
              <w:left w:val="nil"/>
              <w:bottom w:val="single" w:sz="4" w:space="0" w:color="auto"/>
              <w:right w:val="nil"/>
            </w:tcBorders>
            <w:shd w:val="clear" w:color="auto" w:fill="auto"/>
            <w:noWrap/>
            <w:vAlign w:val="bottom"/>
            <w:hideMark/>
          </w:tcPr>
          <w:p w14:paraId="31157F0B" w14:textId="77777777" w:rsidR="0008172F" w:rsidRPr="00D3265D" w:rsidRDefault="0008172F" w:rsidP="0008172F">
            <w:pPr>
              <w:jc w:val="center"/>
              <w:rPr>
                <w:rFonts w:ascii="Arial Narrow" w:hAnsi="Arial Narrow" w:cs="Arial"/>
                <w:sz w:val="20"/>
                <w:szCs w:val="20"/>
              </w:rPr>
            </w:pPr>
            <w:r w:rsidRPr="00D3265D">
              <w:rPr>
                <w:rFonts w:ascii="Arial Narrow" w:hAnsi="Arial Narrow" w:cs="Arial"/>
                <w:sz w:val="20"/>
                <w:szCs w:val="20"/>
              </w:rPr>
              <w:t>0.02%</w:t>
            </w:r>
          </w:p>
        </w:tc>
      </w:tr>
    </w:tbl>
    <w:p w14:paraId="0074A5B9" w14:textId="77777777" w:rsidR="007B42E2" w:rsidRPr="008B7EA0" w:rsidRDefault="007B42E2" w:rsidP="007B42E2">
      <w:pPr>
        <w:rPr>
          <w:i/>
          <w:sz w:val="22"/>
          <w:lang w:val="en-GB"/>
        </w:rPr>
      </w:pPr>
      <w:r w:rsidRPr="008B7EA0">
        <w:rPr>
          <w:i/>
          <w:sz w:val="22"/>
          <w:lang w:val="en-GB"/>
        </w:rPr>
        <w:t>Source: Mongolia Household Socio-Economic Surveys, 20</w:t>
      </w:r>
      <w:r>
        <w:rPr>
          <w:i/>
          <w:sz w:val="22"/>
          <w:lang w:val="en-GB"/>
        </w:rPr>
        <w:t>10</w:t>
      </w:r>
      <w:r w:rsidRPr="008B7EA0">
        <w:rPr>
          <w:i/>
          <w:sz w:val="22"/>
          <w:lang w:val="en-GB"/>
        </w:rPr>
        <w:t>-2012</w:t>
      </w:r>
    </w:p>
    <w:p w14:paraId="2DCE01D6" w14:textId="77777777" w:rsidR="00200375" w:rsidRDefault="00200375" w:rsidP="002C328D">
      <w:pPr>
        <w:rPr>
          <w:rFonts w:ascii="Arial" w:hAnsi="Arial" w:cs="Arial"/>
          <w:sz w:val="22"/>
          <w:szCs w:val="22"/>
        </w:rPr>
      </w:pPr>
    </w:p>
    <w:p w14:paraId="0F43DDDB" w14:textId="5797F0A8" w:rsidR="00200375" w:rsidRPr="0051793F" w:rsidRDefault="00D3265D" w:rsidP="009A68A8">
      <w:pPr>
        <w:jc w:val="both"/>
        <w:rPr>
          <w:rFonts w:ascii="Arial" w:hAnsi="Arial" w:cs="Arial"/>
          <w:szCs w:val="22"/>
        </w:rPr>
      </w:pPr>
      <w:r>
        <w:rPr>
          <w:rFonts w:ascii="Arial" w:hAnsi="Arial" w:cs="Arial"/>
          <w:szCs w:val="22"/>
        </w:rPr>
        <w:t xml:space="preserve">Except for </w:t>
      </w:r>
      <w:r w:rsidR="00200375" w:rsidRPr="0051793F">
        <w:rPr>
          <w:rFonts w:ascii="Arial" w:hAnsi="Arial" w:cs="Arial"/>
          <w:szCs w:val="22"/>
        </w:rPr>
        <w:t>western</w:t>
      </w:r>
      <w:r w:rsidR="0051793F">
        <w:rPr>
          <w:rFonts w:ascii="Arial" w:hAnsi="Arial" w:cs="Arial"/>
          <w:szCs w:val="22"/>
        </w:rPr>
        <w:t xml:space="preserve"> part of the country</w:t>
      </w:r>
      <w:r w:rsidR="00200375" w:rsidRPr="0051793F">
        <w:rPr>
          <w:rFonts w:ascii="Arial" w:hAnsi="Arial" w:cs="Arial"/>
          <w:szCs w:val="22"/>
        </w:rPr>
        <w:t xml:space="preserve">, </w:t>
      </w:r>
      <w:r w:rsidR="0051793F">
        <w:rPr>
          <w:rFonts w:ascii="Arial" w:hAnsi="Arial" w:cs="Arial"/>
          <w:szCs w:val="22"/>
        </w:rPr>
        <w:t xml:space="preserve">the </w:t>
      </w:r>
      <w:r w:rsidR="00200375" w:rsidRPr="0051793F">
        <w:rPr>
          <w:rFonts w:ascii="Arial" w:hAnsi="Arial" w:cs="Arial"/>
          <w:szCs w:val="22"/>
        </w:rPr>
        <w:t xml:space="preserve">number of households with catastrophic health payments </w:t>
      </w:r>
      <w:r w:rsidR="00820F00" w:rsidRPr="0051793F">
        <w:rPr>
          <w:rFonts w:ascii="Arial" w:hAnsi="Arial" w:cs="Arial"/>
          <w:szCs w:val="22"/>
        </w:rPr>
        <w:t xml:space="preserve">due to medicine decreased in all regions in Mongolia, 2010-2012. </w:t>
      </w:r>
      <w:r w:rsidR="00200375" w:rsidRPr="0051793F">
        <w:rPr>
          <w:rFonts w:ascii="Arial" w:hAnsi="Arial" w:cs="Arial"/>
          <w:szCs w:val="22"/>
        </w:rPr>
        <w:t xml:space="preserve"> </w:t>
      </w:r>
    </w:p>
    <w:p w14:paraId="39A2DC32" w14:textId="77777777" w:rsidR="00200375" w:rsidRDefault="00200375" w:rsidP="002C328D">
      <w:pPr>
        <w:rPr>
          <w:rFonts w:ascii="Arial" w:hAnsi="Arial" w:cs="Arial"/>
          <w:sz w:val="22"/>
          <w:szCs w:val="22"/>
        </w:rPr>
      </w:pPr>
    </w:p>
    <w:p w14:paraId="0BB5463A" w14:textId="10F74433" w:rsidR="007B42E2" w:rsidRPr="00BF7391" w:rsidRDefault="002C328D" w:rsidP="00BF7391">
      <w:pPr>
        <w:rPr>
          <w:rFonts w:ascii="Arial" w:hAnsi="Arial" w:cs="Arial"/>
          <w:sz w:val="22"/>
          <w:szCs w:val="22"/>
          <w:lang w:eastAsia="mn-MN"/>
        </w:rPr>
      </w:pPr>
      <w:bookmarkStart w:id="48" w:name="_Toc310170100"/>
      <w:r w:rsidRPr="007B42E2">
        <w:rPr>
          <w:rFonts w:ascii="Arial" w:hAnsi="Arial" w:cs="Arial"/>
          <w:sz w:val="22"/>
          <w:szCs w:val="22"/>
        </w:rPr>
        <w:t xml:space="preserve">Table </w:t>
      </w:r>
      <w:r w:rsidRPr="007B42E2">
        <w:rPr>
          <w:rFonts w:ascii="Arial" w:hAnsi="Arial" w:cs="Arial"/>
          <w:sz w:val="22"/>
          <w:szCs w:val="22"/>
        </w:rPr>
        <w:fldChar w:fldCharType="begin"/>
      </w:r>
      <w:r w:rsidRPr="007B42E2">
        <w:rPr>
          <w:rFonts w:ascii="Arial" w:hAnsi="Arial" w:cs="Arial"/>
          <w:sz w:val="22"/>
          <w:szCs w:val="22"/>
        </w:rPr>
        <w:instrText xml:space="preserve"> SEQ Table \* ARABIC </w:instrText>
      </w:r>
      <w:r w:rsidRPr="007B42E2">
        <w:rPr>
          <w:rFonts w:ascii="Arial" w:hAnsi="Arial" w:cs="Arial"/>
          <w:sz w:val="22"/>
          <w:szCs w:val="22"/>
        </w:rPr>
        <w:fldChar w:fldCharType="separate"/>
      </w:r>
      <w:r w:rsidR="00BF7391">
        <w:rPr>
          <w:rFonts w:ascii="Arial" w:hAnsi="Arial" w:cs="Arial"/>
          <w:noProof/>
          <w:sz w:val="22"/>
          <w:szCs w:val="22"/>
        </w:rPr>
        <w:t>17</w:t>
      </w:r>
      <w:r w:rsidRPr="007B42E2">
        <w:rPr>
          <w:rFonts w:ascii="Arial" w:hAnsi="Arial" w:cs="Arial"/>
          <w:sz w:val="22"/>
          <w:szCs w:val="22"/>
        </w:rPr>
        <w:fldChar w:fldCharType="end"/>
      </w:r>
      <w:r w:rsidRPr="007B42E2">
        <w:rPr>
          <w:rFonts w:ascii="Arial" w:hAnsi="Arial" w:cs="Arial"/>
          <w:sz w:val="22"/>
          <w:szCs w:val="22"/>
        </w:rPr>
        <w:t xml:space="preserve">: </w:t>
      </w:r>
      <w:r w:rsidRPr="007B42E2">
        <w:rPr>
          <w:rFonts w:ascii="Arial" w:hAnsi="Arial" w:cs="Arial"/>
          <w:sz w:val="22"/>
          <w:szCs w:val="22"/>
          <w:lang w:val="mn-MN" w:eastAsia="mn-MN"/>
        </w:rPr>
        <w:t>Catastrophic payments by types of health services</w:t>
      </w:r>
      <w:r w:rsidRPr="007B42E2">
        <w:rPr>
          <w:rFonts w:ascii="Arial" w:hAnsi="Arial" w:cs="Arial"/>
          <w:sz w:val="22"/>
          <w:szCs w:val="22"/>
          <w:lang w:eastAsia="mn-MN"/>
        </w:rPr>
        <w:t xml:space="preserve"> and </w:t>
      </w:r>
      <w:r>
        <w:rPr>
          <w:rFonts w:ascii="Arial" w:hAnsi="Arial" w:cs="Arial"/>
          <w:sz w:val="22"/>
          <w:szCs w:val="22"/>
          <w:lang w:eastAsia="mn-MN"/>
        </w:rPr>
        <w:t>geographic regions</w:t>
      </w:r>
      <w:r w:rsidRPr="007B42E2">
        <w:rPr>
          <w:rFonts w:ascii="Arial" w:hAnsi="Arial" w:cs="Arial"/>
          <w:sz w:val="22"/>
          <w:szCs w:val="22"/>
          <w:lang w:eastAsia="mn-MN"/>
        </w:rPr>
        <w:t>, 2010-2012</w:t>
      </w:r>
      <w:bookmarkEnd w:id="48"/>
    </w:p>
    <w:tbl>
      <w:tblPr>
        <w:tblW w:w="9398" w:type="dxa"/>
        <w:tblInd w:w="99" w:type="dxa"/>
        <w:tblLook w:val="04A0" w:firstRow="1" w:lastRow="0" w:firstColumn="1" w:lastColumn="0" w:noHBand="0" w:noVBand="1"/>
      </w:tblPr>
      <w:tblGrid>
        <w:gridCol w:w="1359"/>
        <w:gridCol w:w="627"/>
        <w:gridCol w:w="933"/>
        <w:gridCol w:w="628"/>
        <w:gridCol w:w="709"/>
        <w:gridCol w:w="628"/>
        <w:gridCol w:w="751"/>
        <w:gridCol w:w="628"/>
        <w:gridCol w:w="627"/>
        <w:gridCol w:w="627"/>
        <w:gridCol w:w="627"/>
        <w:gridCol w:w="627"/>
        <w:gridCol w:w="627"/>
      </w:tblGrid>
      <w:tr w:rsidR="00200375" w:rsidRPr="009A68A8" w14:paraId="67533FB0" w14:textId="77777777" w:rsidTr="00200375">
        <w:trPr>
          <w:trHeight w:val="330"/>
        </w:trPr>
        <w:tc>
          <w:tcPr>
            <w:tcW w:w="1359" w:type="dxa"/>
            <w:vMerge w:val="restart"/>
            <w:tcBorders>
              <w:top w:val="single" w:sz="4" w:space="0" w:color="auto"/>
              <w:left w:val="nil"/>
              <w:right w:val="nil"/>
            </w:tcBorders>
            <w:shd w:val="clear" w:color="auto" w:fill="auto"/>
            <w:noWrap/>
            <w:vAlign w:val="bottom"/>
            <w:hideMark/>
          </w:tcPr>
          <w:p w14:paraId="4453DAFA" w14:textId="74B7B6FD" w:rsidR="00200375" w:rsidRPr="009A68A8" w:rsidRDefault="00200375" w:rsidP="002C328D">
            <w:pPr>
              <w:rPr>
                <w:rFonts w:ascii="Arial Narrow" w:hAnsi="Arial Narrow"/>
                <w:color w:val="000000"/>
                <w:sz w:val="20"/>
                <w:szCs w:val="22"/>
                <w:lang w:eastAsia="mn-MN"/>
              </w:rPr>
            </w:pPr>
            <w:r w:rsidRPr="009A68A8">
              <w:rPr>
                <w:rFonts w:ascii="Arial Narrow" w:hAnsi="Arial Narrow"/>
                <w:color w:val="000000"/>
                <w:sz w:val="20"/>
                <w:szCs w:val="22"/>
                <w:lang w:val="mn-MN" w:eastAsia="mn-MN"/>
              </w:rPr>
              <w:t>Geographic r</w:t>
            </w:r>
            <w:proofErr w:type="spellStart"/>
            <w:r w:rsidRPr="009A68A8">
              <w:rPr>
                <w:rFonts w:ascii="Arial Narrow" w:hAnsi="Arial Narrow"/>
                <w:color w:val="000000"/>
                <w:sz w:val="20"/>
                <w:szCs w:val="22"/>
                <w:lang w:eastAsia="mn-MN"/>
              </w:rPr>
              <w:t>egion</w:t>
            </w:r>
            <w:proofErr w:type="spellEnd"/>
          </w:p>
        </w:tc>
        <w:tc>
          <w:tcPr>
            <w:tcW w:w="2188" w:type="dxa"/>
            <w:gridSpan w:val="3"/>
            <w:tcBorders>
              <w:top w:val="single" w:sz="4" w:space="0" w:color="auto"/>
              <w:left w:val="nil"/>
              <w:bottom w:val="single" w:sz="4" w:space="0" w:color="auto"/>
              <w:right w:val="nil"/>
            </w:tcBorders>
            <w:shd w:val="clear" w:color="auto" w:fill="auto"/>
            <w:noWrap/>
            <w:hideMark/>
          </w:tcPr>
          <w:p w14:paraId="600477FB" w14:textId="02AE9C61" w:rsidR="00200375" w:rsidRPr="009A68A8" w:rsidRDefault="00200375" w:rsidP="00200375">
            <w:pPr>
              <w:jc w:val="center"/>
              <w:rPr>
                <w:rFonts w:ascii="Arial Narrow" w:hAnsi="Arial Narrow"/>
                <w:b/>
                <w:color w:val="000000"/>
                <w:sz w:val="20"/>
                <w:szCs w:val="22"/>
                <w:lang w:val="mn-MN" w:eastAsia="mn-MN"/>
              </w:rPr>
            </w:pPr>
            <w:r w:rsidRPr="009A68A8">
              <w:rPr>
                <w:rFonts w:ascii="Arial Narrow" w:hAnsi="Arial Narrow"/>
                <w:b/>
                <w:color w:val="000000"/>
                <w:sz w:val="20"/>
                <w:szCs w:val="22"/>
                <w:lang w:val="mn-MN" w:eastAsia="mn-MN"/>
              </w:rPr>
              <w:t>Medicine</w:t>
            </w:r>
          </w:p>
        </w:tc>
        <w:tc>
          <w:tcPr>
            <w:tcW w:w="2088" w:type="dxa"/>
            <w:gridSpan w:val="3"/>
            <w:tcBorders>
              <w:top w:val="single" w:sz="4" w:space="0" w:color="auto"/>
              <w:left w:val="nil"/>
              <w:bottom w:val="single" w:sz="4" w:space="0" w:color="auto"/>
              <w:right w:val="nil"/>
            </w:tcBorders>
            <w:shd w:val="clear" w:color="auto" w:fill="auto"/>
            <w:noWrap/>
            <w:hideMark/>
          </w:tcPr>
          <w:p w14:paraId="267BC189" w14:textId="7FB1F034" w:rsidR="00200375" w:rsidRPr="009A68A8" w:rsidRDefault="00200375" w:rsidP="00200375">
            <w:pPr>
              <w:jc w:val="center"/>
              <w:rPr>
                <w:rFonts w:ascii="Arial Narrow" w:hAnsi="Arial Narrow"/>
                <w:b/>
                <w:color w:val="000000"/>
                <w:sz w:val="20"/>
                <w:szCs w:val="22"/>
                <w:lang w:val="mn-MN" w:eastAsia="mn-MN"/>
              </w:rPr>
            </w:pPr>
            <w:r w:rsidRPr="009A68A8">
              <w:rPr>
                <w:rFonts w:ascii="Arial Narrow" w:hAnsi="Arial Narrow"/>
                <w:b/>
                <w:color w:val="000000"/>
                <w:sz w:val="20"/>
                <w:szCs w:val="22"/>
                <w:lang w:val="mn-MN" w:eastAsia="mn-MN"/>
              </w:rPr>
              <w:t>Inpatient</w:t>
            </w:r>
          </w:p>
        </w:tc>
        <w:tc>
          <w:tcPr>
            <w:tcW w:w="1882" w:type="dxa"/>
            <w:gridSpan w:val="3"/>
            <w:tcBorders>
              <w:top w:val="single" w:sz="4" w:space="0" w:color="auto"/>
              <w:left w:val="nil"/>
              <w:bottom w:val="single" w:sz="4" w:space="0" w:color="auto"/>
              <w:right w:val="nil"/>
            </w:tcBorders>
            <w:shd w:val="clear" w:color="auto" w:fill="auto"/>
            <w:noWrap/>
            <w:hideMark/>
          </w:tcPr>
          <w:p w14:paraId="74BC6714" w14:textId="6858F938" w:rsidR="00200375" w:rsidRPr="009A68A8" w:rsidRDefault="00200375" w:rsidP="00200375">
            <w:pPr>
              <w:jc w:val="center"/>
              <w:rPr>
                <w:rFonts w:ascii="Arial Narrow" w:hAnsi="Arial Narrow"/>
                <w:b/>
                <w:color w:val="000000"/>
                <w:sz w:val="20"/>
                <w:szCs w:val="22"/>
                <w:lang w:val="mn-MN" w:eastAsia="mn-MN"/>
              </w:rPr>
            </w:pPr>
            <w:r w:rsidRPr="009A68A8">
              <w:rPr>
                <w:rFonts w:ascii="Arial Narrow" w:hAnsi="Arial Narrow"/>
                <w:b/>
                <w:color w:val="000000"/>
                <w:sz w:val="20"/>
                <w:szCs w:val="22"/>
                <w:lang w:val="mn-MN" w:eastAsia="mn-MN"/>
              </w:rPr>
              <w:t>Outpatient</w:t>
            </w:r>
          </w:p>
        </w:tc>
        <w:tc>
          <w:tcPr>
            <w:tcW w:w="1881" w:type="dxa"/>
            <w:gridSpan w:val="3"/>
            <w:tcBorders>
              <w:top w:val="single" w:sz="4" w:space="0" w:color="auto"/>
              <w:left w:val="nil"/>
              <w:bottom w:val="single" w:sz="4" w:space="0" w:color="auto"/>
              <w:right w:val="nil"/>
            </w:tcBorders>
            <w:shd w:val="clear" w:color="auto" w:fill="auto"/>
            <w:noWrap/>
            <w:hideMark/>
          </w:tcPr>
          <w:p w14:paraId="7ACB60F3" w14:textId="385DD3B4" w:rsidR="00200375" w:rsidRPr="009A68A8" w:rsidRDefault="00200375" w:rsidP="00200375">
            <w:pPr>
              <w:jc w:val="center"/>
              <w:rPr>
                <w:rFonts w:ascii="Arial Narrow" w:hAnsi="Arial Narrow"/>
                <w:b/>
                <w:color w:val="000000"/>
                <w:sz w:val="20"/>
                <w:szCs w:val="22"/>
                <w:lang w:val="mn-MN" w:eastAsia="mn-MN"/>
              </w:rPr>
            </w:pPr>
            <w:r w:rsidRPr="009A68A8">
              <w:rPr>
                <w:rFonts w:ascii="Arial Narrow" w:hAnsi="Arial Narrow"/>
                <w:b/>
                <w:color w:val="000000"/>
                <w:sz w:val="20"/>
                <w:szCs w:val="22"/>
                <w:lang w:val="mn-MN" w:eastAsia="mn-MN"/>
              </w:rPr>
              <w:t>Ancillary</w:t>
            </w:r>
          </w:p>
        </w:tc>
      </w:tr>
      <w:tr w:rsidR="00200375" w:rsidRPr="009A68A8" w14:paraId="40723FF2" w14:textId="77777777" w:rsidTr="00200375">
        <w:trPr>
          <w:trHeight w:val="330"/>
        </w:trPr>
        <w:tc>
          <w:tcPr>
            <w:tcW w:w="1359" w:type="dxa"/>
            <w:vMerge/>
            <w:tcBorders>
              <w:left w:val="nil"/>
              <w:bottom w:val="single" w:sz="4" w:space="0" w:color="auto"/>
              <w:right w:val="nil"/>
            </w:tcBorders>
            <w:shd w:val="clear" w:color="auto" w:fill="auto"/>
            <w:noWrap/>
            <w:vAlign w:val="bottom"/>
            <w:hideMark/>
          </w:tcPr>
          <w:p w14:paraId="7FBF350D" w14:textId="77777777" w:rsidR="00200375" w:rsidRPr="009A68A8" w:rsidRDefault="00200375" w:rsidP="002C328D">
            <w:pPr>
              <w:rPr>
                <w:rFonts w:ascii="Arial Narrow" w:hAnsi="Arial Narrow"/>
                <w:color w:val="000000"/>
                <w:sz w:val="20"/>
                <w:szCs w:val="22"/>
                <w:lang w:val="mn-MN" w:eastAsia="mn-MN"/>
              </w:rPr>
            </w:pPr>
          </w:p>
        </w:tc>
        <w:tc>
          <w:tcPr>
            <w:tcW w:w="627" w:type="dxa"/>
            <w:tcBorders>
              <w:top w:val="nil"/>
              <w:left w:val="nil"/>
              <w:bottom w:val="single" w:sz="4" w:space="0" w:color="auto"/>
              <w:right w:val="nil"/>
            </w:tcBorders>
            <w:shd w:val="clear" w:color="auto" w:fill="auto"/>
            <w:noWrap/>
            <w:vAlign w:val="bottom"/>
            <w:hideMark/>
          </w:tcPr>
          <w:p w14:paraId="65632610" w14:textId="77777777" w:rsidR="00200375" w:rsidRPr="009A68A8" w:rsidRDefault="00200375"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2010</w:t>
            </w:r>
          </w:p>
        </w:tc>
        <w:tc>
          <w:tcPr>
            <w:tcW w:w="933" w:type="dxa"/>
            <w:tcBorders>
              <w:top w:val="nil"/>
              <w:left w:val="nil"/>
              <w:bottom w:val="single" w:sz="4" w:space="0" w:color="auto"/>
              <w:right w:val="nil"/>
            </w:tcBorders>
            <w:shd w:val="clear" w:color="auto" w:fill="auto"/>
            <w:noWrap/>
            <w:vAlign w:val="bottom"/>
            <w:hideMark/>
          </w:tcPr>
          <w:p w14:paraId="27B814D9" w14:textId="77777777" w:rsidR="00200375" w:rsidRPr="009A68A8" w:rsidRDefault="00200375"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2011</w:t>
            </w:r>
          </w:p>
        </w:tc>
        <w:tc>
          <w:tcPr>
            <w:tcW w:w="628" w:type="dxa"/>
            <w:tcBorders>
              <w:top w:val="nil"/>
              <w:left w:val="nil"/>
              <w:bottom w:val="single" w:sz="4" w:space="0" w:color="auto"/>
              <w:right w:val="single" w:sz="4" w:space="0" w:color="auto"/>
            </w:tcBorders>
            <w:shd w:val="clear" w:color="auto" w:fill="auto"/>
            <w:noWrap/>
            <w:vAlign w:val="bottom"/>
            <w:hideMark/>
          </w:tcPr>
          <w:p w14:paraId="5C0484EC" w14:textId="77777777" w:rsidR="00200375" w:rsidRPr="009A68A8" w:rsidRDefault="00200375"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2012</w:t>
            </w:r>
          </w:p>
        </w:tc>
        <w:tc>
          <w:tcPr>
            <w:tcW w:w="709" w:type="dxa"/>
            <w:tcBorders>
              <w:top w:val="nil"/>
              <w:left w:val="nil"/>
              <w:bottom w:val="single" w:sz="4" w:space="0" w:color="auto"/>
              <w:right w:val="nil"/>
            </w:tcBorders>
            <w:shd w:val="clear" w:color="auto" w:fill="auto"/>
            <w:noWrap/>
            <w:vAlign w:val="bottom"/>
            <w:hideMark/>
          </w:tcPr>
          <w:p w14:paraId="346C4580" w14:textId="77777777" w:rsidR="00200375" w:rsidRPr="009A68A8" w:rsidRDefault="00200375"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2010</w:t>
            </w:r>
          </w:p>
        </w:tc>
        <w:tc>
          <w:tcPr>
            <w:tcW w:w="628" w:type="dxa"/>
            <w:tcBorders>
              <w:top w:val="nil"/>
              <w:left w:val="nil"/>
              <w:bottom w:val="single" w:sz="4" w:space="0" w:color="auto"/>
              <w:right w:val="nil"/>
            </w:tcBorders>
            <w:shd w:val="clear" w:color="auto" w:fill="auto"/>
            <w:noWrap/>
            <w:vAlign w:val="bottom"/>
            <w:hideMark/>
          </w:tcPr>
          <w:p w14:paraId="38B30B54" w14:textId="77777777" w:rsidR="00200375" w:rsidRPr="009A68A8" w:rsidRDefault="00200375"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2011</w:t>
            </w:r>
          </w:p>
        </w:tc>
        <w:tc>
          <w:tcPr>
            <w:tcW w:w="751" w:type="dxa"/>
            <w:tcBorders>
              <w:top w:val="nil"/>
              <w:left w:val="nil"/>
              <w:bottom w:val="single" w:sz="4" w:space="0" w:color="auto"/>
              <w:right w:val="single" w:sz="4" w:space="0" w:color="auto"/>
            </w:tcBorders>
            <w:shd w:val="clear" w:color="auto" w:fill="auto"/>
            <w:noWrap/>
            <w:vAlign w:val="bottom"/>
            <w:hideMark/>
          </w:tcPr>
          <w:p w14:paraId="47C66876" w14:textId="77777777" w:rsidR="00200375" w:rsidRPr="009A68A8" w:rsidRDefault="00200375"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2012</w:t>
            </w:r>
          </w:p>
        </w:tc>
        <w:tc>
          <w:tcPr>
            <w:tcW w:w="628" w:type="dxa"/>
            <w:tcBorders>
              <w:top w:val="nil"/>
              <w:left w:val="nil"/>
              <w:bottom w:val="single" w:sz="4" w:space="0" w:color="auto"/>
              <w:right w:val="nil"/>
            </w:tcBorders>
            <w:shd w:val="clear" w:color="auto" w:fill="auto"/>
            <w:noWrap/>
            <w:vAlign w:val="bottom"/>
            <w:hideMark/>
          </w:tcPr>
          <w:p w14:paraId="21A253A1" w14:textId="77777777" w:rsidR="00200375" w:rsidRPr="009A68A8" w:rsidRDefault="00200375"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2010</w:t>
            </w:r>
          </w:p>
        </w:tc>
        <w:tc>
          <w:tcPr>
            <w:tcW w:w="627" w:type="dxa"/>
            <w:tcBorders>
              <w:top w:val="nil"/>
              <w:left w:val="nil"/>
              <w:bottom w:val="single" w:sz="4" w:space="0" w:color="auto"/>
              <w:right w:val="nil"/>
            </w:tcBorders>
            <w:shd w:val="clear" w:color="auto" w:fill="auto"/>
            <w:noWrap/>
            <w:vAlign w:val="bottom"/>
            <w:hideMark/>
          </w:tcPr>
          <w:p w14:paraId="6B6F1C61" w14:textId="77777777" w:rsidR="00200375" w:rsidRPr="009A68A8" w:rsidRDefault="00200375"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2011</w:t>
            </w:r>
          </w:p>
        </w:tc>
        <w:tc>
          <w:tcPr>
            <w:tcW w:w="627" w:type="dxa"/>
            <w:tcBorders>
              <w:top w:val="nil"/>
              <w:left w:val="nil"/>
              <w:bottom w:val="single" w:sz="4" w:space="0" w:color="auto"/>
              <w:right w:val="single" w:sz="4" w:space="0" w:color="auto"/>
            </w:tcBorders>
            <w:shd w:val="clear" w:color="auto" w:fill="auto"/>
            <w:noWrap/>
            <w:vAlign w:val="bottom"/>
            <w:hideMark/>
          </w:tcPr>
          <w:p w14:paraId="20A0ADBA" w14:textId="77777777" w:rsidR="00200375" w:rsidRPr="009A68A8" w:rsidRDefault="00200375"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2012</w:t>
            </w:r>
          </w:p>
        </w:tc>
        <w:tc>
          <w:tcPr>
            <w:tcW w:w="627" w:type="dxa"/>
            <w:tcBorders>
              <w:top w:val="nil"/>
              <w:left w:val="nil"/>
              <w:bottom w:val="single" w:sz="4" w:space="0" w:color="auto"/>
              <w:right w:val="nil"/>
            </w:tcBorders>
            <w:shd w:val="clear" w:color="auto" w:fill="auto"/>
            <w:noWrap/>
            <w:vAlign w:val="bottom"/>
            <w:hideMark/>
          </w:tcPr>
          <w:p w14:paraId="4F356F0B" w14:textId="77777777" w:rsidR="00200375" w:rsidRPr="009A68A8" w:rsidRDefault="00200375"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2010</w:t>
            </w:r>
          </w:p>
        </w:tc>
        <w:tc>
          <w:tcPr>
            <w:tcW w:w="627" w:type="dxa"/>
            <w:tcBorders>
              <w:top w:val="nil"/>
              <w:left w:val="nil"/>
              <w:bottom w:val="single" w:sz="4" w:space="0" w:color="auto"/>
              <w:right w:val="nil"/>
            </w:tcBorders>
            <w:shd w:val="clear" w:color="auto" w:fill="auto"/>
            <w:noWrap/>
            <w:vAlign w:val="bottom"/>
            <w:hideMark/>
          </w:tcPr>
          <w:p w14:paraId="4FF1D4DC" w14:textId="77777777" w:rsidR="00200375" w:rsidRPr="009A68A8" w:rsidRDefault="00200375"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2011</w:t>
            </w:r>
          </w:p>
        </w:tc>
        <w:tc>
          <w:tcPr>
            <w:tcW w:w="627" w:type="dxa"/>
            <w:tcBorders>
              <w:top w:val="nil"/>
              <w:left w:val="nil"/>
              <w:bottom w:val="single" w:sz="4" w:space="0" w:color="auto"/>
              <w:right w:val="nil"/>
            </w:tcBorders>
            <w:shd w:val="clear" w:color="auto" w:fill="auto"/>
            <w:noWrap/>
            <w:vAlign w:val="bottom"/>
            <w:hideMark/>
          </w:tcPr>
          <w:p w14:paraId="0B7FC9ED" w14:textId="77777777" w:rsidR="00200375" w:rsidRPr="009A68A8" w:rsidRDefault="00200375"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2012</w:t>
            </w:r>
          </w:p>
        </w:tc>
      </w:tr>
      <w:tr w:rsidR="002C328D" w:rsidRPr="009A68A8" w14:paraId="081087B9" w14:textId="77777777" w:rsidTr="00200375">
        <w:trPr>
          <w:trHeight w:val="330"/>
        </w:trPr>
        <w:tc>
          <w:tcPr>
            <w:tcW w:w="1359" w:type="dxa"/>
            <w:tcBorders>
              <w:top w:val="single" w:sz="4" w:space="0" w:color="auto"/>
              <w:left w:val="nil"/>
              <w:bottom w:val="nil"/>
              <w:right w:val="nil"/>
            </w:tcBorders>
            <w:shd w:val="clear" w:color="auto" w:fill="auto"/>
            <w:noWrap/>
            <w:vAlign w:val="bottom"/>
            <w:hideMark/>
          </w:tcPr>
          <w:p w14:paraId="7A0BFF40" w14:textId="77777777" w:rsidR="002C328D" w:rsidRPr="009A68A8" w:rsidRDefault="002C328D" w:rsidP="002C328D">
            <w:pP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West</w:t>
            </w:r>
          </w:p>
        </w:tc>
        <w:tc>
          <w:tcPr>
            <w:tcW w:w="627" w:type="dxa"/>
            <w:tcBorders>
              <w:top w:val="single" w:sz="4" w:space="0" w:color="auto"/>
              <w:left w:val="nil"/>
              <w:bottom w:val="nil"/>
              <w:right w:val="nil"/>
            </w:tcBorders>
            <w:shd w:val="clear" w:color="auto" w:fill="auto"/>
            <w:noWrap/>
            <w:vAlign w:val="bottom"/>
            <w:hideMark/>
          </w:tcPr>
          <w:p w14:paraId="394C405F"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0.4%</w:t>
            </w:r>
          </w:p>
        </w:tc>
        <w:tc>
          <w:tcPr>
            <w:tcW w:w="933" w:type="dxa"/>
            <w:tcBorders>
              <w:top w:val="single" w:sz="4" w:space="0" w:color="auto"/>
              <w:left w:val="nil"/>
              <w:bottom w:val="nil"/>
              <w:right w:val="nil"/>
            </w:tcBorders>
            <w:shd w:val="clear" w:color="auto" w:fill="auto"/>
            <w:noWrap/>
            <w:vAlign w:val="bottom"/>
            <w:hideMark/>
          </w:tcPr>
          <w:p w14:paraId="3D4E5BBF"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0.3%</w:t>
            </w:r>
          </w:p>
        </w:tc>
        <w:tc>
          <w:tcPr>
            <w:tcW w:w="628" w:type="dxa"/>
            <w:tcBorders>
              <w:top w:val="single" w:sz="4" w:space="0" w:color="auto"/>
              <w:left w:val="nil"/>
              <w:bottom w:val="nil"/>
              <w:right w:val="single" w:sz="4" w:space="0" w:color="auto"/>
            </w:tcBorders>
            <w:shd w:val="clear" w:color="auto" w:fill="auto"/>
            <w:noWrap/>
            <w:vAlign w:val="bottom"/>
            <w:hideMark/>
          </w:tcPr>
          <w:p w14:paraId="0222830F"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0.4%</w:t>
            </w:r>
          </w:p>
        </w:tc>
        <w:tc>
          <w:tcPr>
            <w:tcW w:w="709" w:type="dxa"/>
            <w:tcBorders>
              <w:top w:val="single" w:sz="4" w:space="0" w:color="auto"/>
              <w:left w:val="nil"/>
              <w:bottom w:val="nil"/>
              <w:right w:val="nil"/>
            </w:tcBorders>
            <w:shd w:val="clear" w:color="auto" w:fill="auto"/>
            <w:noWrap/>
            <w:vAlign w:val="bottom"/>
            <w:hideMark/>
          </w:tcPr>
          <w:p w14:paraId="010A93AB"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0.4%</w:t>
            </w:r>
          </w:p>
        </w:tc>
        <w:tc>
          <w:tcPr>
            <w:tcW w:w="628" w:type="dxa"/>
            <w:tcBorders>
              <w:top w:val="single" w:sz="4" w:space="0" w:color="auto"/>
              <w:left w:val="nil"/>
              <w:bottom w:val="nil"/>
              <w:right w:val="nil"/>
            </w:tcBorders>
            <w:shd w:val="clear" w:color="auto" w:fill="auto"/>
            <w:noWrap/>
            <w:vAlign w:val="bottom"/>
            <w:hideMark/>
          </w:tcPr>
          <w:p w14:paraId="0DCFC9F6"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1.2%</w:t>
            </w:r>
          </w:p>
        </w:tc>
        <w:tc>
          <w:tcPr>
            <w:tcW w:w="751" w:type="dxa"/>
            <w:tcBorders>
              <w:top w:val="single" w:sz="4" w:space="0" w:color="auto"/>
              <w:left w:val="nil"/>
              <w:bottom w:val="nil"/>
              <w:right w:val="single" w:sz="4" w:space="0" w:color="auto"/>
            </w:tcBorders>
            <w:shd w:val="clear" w:color="auto" w:fill="auto"/>
            <w:noWrap/>
            <w:vAlign w:val="bottom"/>
            <w:hideMark/>
          </w:tcPr>
          <w:p w14:paraId="7783ADBC"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0.1%</w:t>
            </w:r>
          </w:p>
        </w:tc>
        <w:tc>
          <w:tcPr>
            <w:tcW w:w="628" w:type="dxa"/>
            <w:tcBorders>
              <w:top w:val="single" w:sz="4" w:space="0" w:color="auto"/>
              <w:left w:val="nil"/>
              <w:bottom w:val="nil"/>
              <w:right w:val="nil"/>
            </w:tcBorders>
            <w:shd w:val="clear" w:color="auto" w:fill="auto"/>
            <w:noWrap/>
            <w:vAlign w:val="bottom"/>
            <w:hideMark/>
          </w:tcPr>
          <w:p w14:paraId="11AD0E66"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0.1%</w:t>
            </w:r>
          </w:p>
        </w:tc>
        <w:tc>
          <w:tcPr>
            <w:tcW w:w="627" w:type="dxa"/>
            <w:tcBorders>
              <w:top w:val="single" w:sz="4" w:space="0" w:color="auto"/>
              <w:left w:val="nil"/>
              <w:bottom w:val="nil"/>
              <w:right w:val="nil"/>
            </w:tcBorders>
            <w:shd w:val="clear" w:color="auto" w:fill="auto"/>
            <w:noWrap/>
            <w:vAlign w:val="bottom"/>
            <w:hideMark/>
          </w:tcPr>
          <w:p w14:paraId="370E29E9" w14:textId="53002674"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p>
        </w:tc>
        <w:tc>
          <w:tcPr>
            <w:tcW w:w="627" w:type="dxa"/>
            <w:tcBorders>
              <w:top w:val="single" w:sz="4" w:space="0" w:color="auto"/>
              <w:left w:val="nil"/>
              <w:bottom w:val="nil"/>
              <w:right w:val="single" w:sz="4" w:space="0" w:color="auto"/>
            </w:tcBorders>
            <w:shd w:val="clear" w:color="auto" w:fill="auto"/>
            <w:noWrap/>
            <w:vAlign w:val="bottom"/>
            <w:hideMark/>
          </w:tcPr>
          <w:p w14:paraId="356A94BB" w14:textId="47D00615"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r w:rsidR="002C328D" w:rsidRPr="009A68A8">
              <w:rPr>
                <w:rFonts w:ascii="Arial Narrow" w:hAnsi="Arial Narrow"/>
                <w:color w:val="000000"/>
                <w:sz w:val="20"/>
                <w:szCs w:val="22"/>
                <w:lang w:val="mn-MN" w:eastAsia="mn-MN"/>
              </w:rPr>
              <w:t> </w:t>
            </w:r>
          </w:p>
        </w:tc>
        <w:tc>
          <w:tcPr>
            <w:tcW w:w="627" w:type="dxa"/>
            <w:tcBorders>
              <w:top w:val="single" w:sz="4" w:space="0" w:color="auto"/>
              <w:left w:val="nil"/>
              <w:bottom w:val="nil"/>
              <w:right w:val="nil"/>
            </w:tcBorders>
            <w:shd w:val="clear" w:color="auto" w:fill="auto"/>
            <w:noWrap/>
            <w:vAlign w:val="bottom"/>
            <w:hideMark/>
          </w:tcPr>
          <w:p w14:paraId="54D88F8B" w14:textId="3156DFAC"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p>
        </w:tc>
        <w:tc>
          <w:tcPr>
            <w:tcW w:w="627" w:type="dxa"/>
            <w:tcBorders>
              <w:top w:val="single" w:sz="4" w:space="0" w:color="auto"/>
              <w:left w:val="nil"/>
              <w:bottom w:val="nil"/>
              <w:right w:val="nil"/>
            </w:tcBorders>
            <w:shd w:val="clear" w:color="auto" w:fill="auto"/>
            <w:noWrap/>
            <w:vAlign w:val="bottom"/>
            <w:hideMark/>
          </w:tcPr>
          <w:p w14:paraId="13079786" w14:textId="6CCF887F"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p>
        </w:tc>
        <w:tc>
          <w:tcPr>
            <w:tcW w:w="627" w:type="dxa"/>
            <w:tcBorders>
              <w:top w:val="single" w:sz="4" w:space="0" w:color="auto"/>
              <w:left w:val="nil"/>
              <w:bottom w:val="nil"/>
              <w:right w:val="nil"/>
            </w:tcBorders>
            <w:shd w:val="clear" w:color="auto" w:fill="auto"/>
            <w:noWrap/>
            <w:vAlign w:val="bottom"/>
            <w:hideMark/>
          </w:tcPr>
          <w:p w14:paraId="254CA2DC" w14:textId="70B4671F"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p>
        </w:tc>
      </w:tr>
      <w:tr w:rsidR="002C328D" w:rsidRPr="009A68A8" w14:paraId="38B5029D" w14:textId="77777777" w:rsidTr="00200375">
        <w:trPr>
          <w:trHeight w:val="330"/>
        </w:trPr>
        <w:tc>
          <w:tcPr>
            <w:tcW w:w="1359" w:type="dxa"/>
            <w:tcBorders>
              <w:top w:val="nil"/>
              <w:left w:val="nil"/>
              <w:bottom w:val="nil"/>
              <w:right w:val="nil"/>
            </w:tcBorders>
            <w:shd w:val="clear" w:color="auto" w:fill="auto"/>
            <w:noWrap/>
            <w:vAlign w:val="bottom"/>
            <w:hideMark/>
          </w:tcPr>
          <w:p w14:paraId="7D3387B7" w14:textId="77777777" w:rsidR="002C328D" w:rsidRPr="009A68A8" w:rsidRDefault="002C328D" w:rsidP="002C328D">
            <w:pP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Highlands</w:t>
            </w:r>
          </w:p>
        </w:tc>
        <w:tc>
          <w:tcPr>
            <w:tcW w:w="627" w:type="dxa"/>
            <w:tcBorders>
              <w:top w:val="nil"/>
              <w:left w:val="nil"/>
              <w:bottom w:val="nil"/>
              <w:right w:val="nil"/>
            </w:tcBorders>
            <w:shd w:val="clear" w:color="auto" w:fill="auto"/>
            <w:noWrap/>
            <w:vAlign w:val="bottom"/>
            <w:hideMark/>
          </w:tcPr>
          <w:p w14:paraId="3CEA6A92"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1.1%</w:t>
            </w:r>
          </w:p>
        </w:tc>
        <w:tc>
          <w:tcPr>
            <w:tcW w:w="933" w:type="dxa"/>
            <w:tcBorders>
              <w:top w:val="nil"/>
              <w:left w:val="nil"/>
              <w:bottom w:val="nil"/>
              <w:right w:val="nil"/>
            </w:tcBorders>
            <w:shd w:val="clear" w:color="auto" w:fill="auto"/>
            <w:noWrap/>
            <w:vAlign w:val="bottom"/>
            <w:hideMark/>
          </w:tcPr>
          <w:p w14:paraId="08073CE2"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1.4%</w:t>
            </w:r>
          </w:p>
        </w:tc>
        <w:tc>
          <w:tcPr>
            <w:tcW w:w="628" w:type="dxa"/>
            <w:tcBorders>
              <w:top w:val="nil"/>
              <w:left w:val="nil"/>
              <w:bottom w:val="nil"/>
              <w:right w:val="single" w:sz="4" w:space="0" w:color="auto"/>
            </w:tcBorders>
            <w:shd w:val="clear" w:color="auto" w:fill="auto"/>
            <w:noWrap/>
            <w:vAlign w:val="bottom"/>
            <w:hideMark/>
          </w:tcPr>
          <w:p w14:paraId="18B7556A"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0.2%</w:t>
            </w:r>
          </w:p>
        </w:tc>
        <w:tc>
          <w:tcPr>
            <w:tcW w:w="709" w:type="dxa"/>
            <w:tcBorders>
              <w:top w:val="nil"/>
              <w:left w:val="nil"/>
              <w:bottom w:val="nil"/>
              <w:right w:val="nil"/>
            </w:tcBorders>
            <w:shd w:val="clear" w:color="auto" w:fill="auto"/>
            <w:noWrap/>
            <w:vAlign w:val="bottom"/>
            <w:hideMark/>
          </w:tcPr>
          <w:p w14:paraId="4C547689"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0.5%</w:t>
            </w:r>
          </w:p>
        </w:tc>
        <w:tc>
          <w:tcPr>
            <w:tcW w:w="628" w:type="dxa"/>
            <w:tcBorders>
              <w:top w:val="nil"/>
              <w:left w:val="nil"/>
              <w:bottom w:val="nil"/>
              <w:right w:val="nil"/>
            </w:tcBorders>
            <w:shd w:val="clear" w:color="auto" w:fill="auto"/>
            <w:noWrap/>
            <w:vAlign w:val="bottom"/>
            <w:hideMark/>
          </w:tcPr>
          <w:p w14:paraId="5F5433FE"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0.3%</w:t>
            </w:r>
          </w:p>
        </w:tc>
        <w:tc>
          <w:tcPr>
            <w:tcW w:w="751" w:type="dxa"/>
            <w:tcBorders>
              <w:top w:val="nil"/>
              <w:left w:val="nil"/>
              <w:bottom w:val="nil"/>
              <w:right w:val="single" w:sz="4" w:space="0" w:color="auto"/>
            </w:tcBorders>
            <w:shd w:val="clear" w:color="auto" w:fill="auto"/>
            <w:noWrap/>
            <w:vAlign w:val="bottom"/>
            <w:hideMark/>
          </w:tcPr>
          <w:p w14:paraId="3C5B8964"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0.3%</w:t>
            </w:r>
          </w:p>
        </w:tc>
        <w:tc>
          <w:tcPr>
            <w:tcW w:w="628" w:type="dxa"/>
            <w:tcBorders>
              <w:top w:val="nil"/>
              <w:left w:val="nil"/>
              <w:bottom w:val="nil"/>
              <w:right w:val="nil"/>
            </w:tcBorders>
            <w:shd w:val="clear" w:color="auto" w:fill="auto"/>
            <w:noWrap/>
            <w:vAlign w:val="bottom"/>
            <w:hideMark/>
          </w:tcPr>
          <w:p w14:paraId="1EB28D4F" w14:textId="12863A95"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p>
        </w:tc>
        <w:tc>
          <w:tcPr>
            <w:tcW w:w="627" w:type="dxa"/>
            <w:tcBorders>
              <w:top w:val="nil"/>
              <w:left w:val="nil"/>
              <w:bottom w:val="nil"/>
              <w:right w:val="nil"/>
            </w:tcBorders>
            <w:shd w:val="clear" w:color="auto" w:fill="auto"/>
            <w:noWrap/>
            <w:vAlign w:val="bottom"/>
            <w:hideMark/>
          </w:tcPr>
          <w:p w14:paraId="42E3CA38" w14:textId="42822FA2"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p>
        </w:tc>
        <w:tc>
          <w:tcPr>
            <w:tcW w:w="627" w:type="dxa"/>
            <w:tcBorders>
              <w:top w:val="nil"/>
              <w:left w:val="nil"/>
              <w:bottom w:val="nil"/>
              <w:right w:val="single" w:sz="4" w:space="0" w:color="auto"/>
            </w:tcBorders>
            <w:shd w:val="clear" w:color="auto" w:fill="auto"/>
            <w:noWrap/>
            <w:vAlign w:val="bottom"/>
            <w:hideMark/>
          </w:tcPr>
          <w:p w14:paraId="37D19ADD"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0.1%</w:t>
            </w:r>
          </w:p>
        </w:tc>
        <w:tc>
          <w:tcPr>
            <w:tcW w:w="627" w:type="dxa"/>
            <w:tcBorders>
              <w:top w:val="nil"/>
              <w:left w:val="nil"/>
              <w:bottom w:val="nil"/>
              <w:right w:val="nil"/>
            </w:tcBorders>
            <w:shd w:val="clear" w:color="auto" w:fill="auto"/>
            <w:noWrap/>
            <w:vAlign w:val="bottom"/>
            <w:hideMark/>
          </w:tcPr>
          <w:p w14:paraId="7F2EE5ED" w14:textId="12851BB5"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p>
        </w:tc>
        <w:tc>
          <w:tcPr>
            <w:tcW w:w="627" w:type="dxa"/>
            <w:tcBorders>
              <w:top w:val="nil"/>
              <w:left w:val="nil"/>
              <w:bottom w:val="nil"/>
              <w:right w:val="nil"/>
            </w:tcBorders>
            <w:shd w:val="clear" w:color="auto" w:fill="auto"/>
            <w:noWrap/>
            <w:vAlign w:val="bottom"/>
            <w:hideMark/>
          </w:tcPr>
          <w:p w14:paraId="4537A68A"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0.1%</w:t>
            </w:r>
          </w:p>
        </w:tc>
        <w:tc>
          <w:tcPr>
            <w:tcW w:w="627" w:type="dxa"/>
            <w:tcBorders>
              <w:top w:val="nil"/>
              <w:left w:val="nil"/>
              <w:bottom w:val="nil"/>
              <w:right w:val="nil"/>
            </w:tcBorders>
            <w:shd w:val="clear" w:color="auto" w:fill="auto"/>
            <w:noWrap/>
            <w:vAlign w:val="bottom"/>
            <w:hideMark/>
          </w:tcPr>
          <w:p w14:paraId="02FCD647" w14:textId="53E4FB2F"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p>
        </w:tc>
      </w:tr>
      <w:tr w:rsidR="002C328D" w:rsidRPr="009A68A8" w14:paraId="17F5ABD9" w14:textId="77777777" w:rsidTr="00200375">
        <w:trPr>
          <w:trHeight w:val="330"/>
        </w:trPr>
        <w:tc>
          <w:tcPr>
            <w:tcW w:w="1359" w:type="dxa"/>
            <w:tcBorders>
              <w:top w:val="nil"/>
              <w:left w:val="nil"/>
              <w:bottom w:val="nil"/>
              <w:right w:val="nil"/>
            </w:tcBorders>
            <w:shd w:val="clear" w:color="auto" w:fill="auto"/>
            <w:noWrap/>
            <w:vAlign w:val="bottom"/>
            <w:hideMark/>
          </w:tcPr>
          <w:p w14:paraId="133209F2" w14:textId="77777777" w:rsidR="002C328D" w:rsidRPr="009A68A8" w:rsidRDefault="002C328D" w:rsidP="002C328D">
            <w:pP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Central</w:t>
            </w:r>
          </w:p>
        </w:tc>
        <w:tc>
          <w:tcPr>
            <w:tcW w:w="627" w:type="dxa"/>
            <w:tcBorders>
              <w:top w:val="nil"/>
              <w:left w:val="nil"/>
              <w:bottom w:val="nil"/>
              <w:right w:val="nil"/>
            </w:tcBorders>
            <w:shd w:val="clear" w:color="auto" w:fill="auto"/>
            <w:noWrap/>
            <w:vAlign w:val="bottom"/>
            <w:hideMark/>
          </w:tcPr>
          <w:p w14:paraId="01B44948"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1.3%</w:t>
            </w:r>
          </w:p>
        </w:tc>
        <w:tc>
          <w:tcPr>
            <w:tcW w:w="933" w:type="dxa"/>
            <w:tcBorders>
              <w:top w:val="nil"/>
              <w:left w:val="nil"/>
              <w:bottom w:val="nil"/>
              <w:right w:val="nil"/>
            </w:tcBorders>
            <w:shd w:val="clear" w:color="auto" w:fill="auto"/>
            <w:noWrap/>
            <w:vAlign w:val="bottom"/>
            <w:hideMark/>
          </w:tcPr>
          <w:p w14:paraId="7C6C03C1"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1.0%</w:t>
            </w:r>
          </w:p>
        </w:tc>
        <w:tc>
          <w:tcPr>
            <w:tcW w:w="628" w:type="dxa"/>
            <w:tcBorders>
              <w:top w:val="nil"/>
              <w:left w:val="nil"/>
              <w:bottom w:val="nil"/>
              <w:right w:val="single" w:sz="4" w:space="0" w:color="auto"/>
            </w:tcBorders>
            <w:shd w:val="clear" w:color="auto" w:fill="auto"/>
            <w:noWrap/>
            <w:vAlign w:val="bottom"/>
            <w:hideMark/>
          </w:tcPr>
          <w:p w14:paraId="56D8F096"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0.5%</w:t>
            </w:r>
          </w:p>
        </w:tc>
        <w:tc>
          <w:tcPr>
            <w:tcW w:w="709" w:type="dxa"/>
            <w:tcBorders>
              <w:top w:val="nil"/>
              <w:left w:val="nil"/>
              <w:bottom w:val="nil"/>
              <w:right w:val="nil"/>
            </w:tcBorders>
            <w:shd w:val="clear" w:color="auto" w:fill="auto"/>
            <w:noWrap/>
            <w:vAlign w:val="bottom"/>
            <w:hideMark/>
          </w:tcPr>
          <w:p w14:paraId="5B92836E"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0.5%</w:t>
            </w:r>
          </w:p>
        </w:tc>
        <w:tc>
          <w:tcPr>
            <w:tcW w:w="628" w:type="dxa"/>
            <w:tcBorders>
              <w:top w:val="nil"/>
              <w:left w:val="nil"/>
              <w:bottom w:val="nil"/>
              <w:right w:val="nil"/>
            </w:tcBorders>
            <w:shd w:val="clear" w:color="auto" w:fill="auto"/>
            <w:noWrap/>
            <w:vAlign w:val="bottom"/>
            <w:hideMark/>
          </w:tcPr>
          <w:p w14:paraId="1EC9041B"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0.9%</w:t>
            </w:r>
          </w:p>
        </w:tc>
        <w:tc>
          <w:tcPr>
            <w:tcW w:w="751" w:type="dxa"/>
            <w:tcBorders>
              <w:top w:val="nil"/>
              <w:left w:val="nil"/>
              <w:bottom w:val="nil"/>
              <w:right w:val="single" w:sz="4" w:space="0" w:color="auto"/>
            </w:tcBorders>
            <w:shd w:val="clear" w:color="auto" w:fill="auto"/>
            <w:noWrap/>
            <w:vAlign w:val="bottom"/>
            <w:hideMark/>
          </w:tcPr>
          <w:p w14:paraId="20AF3DED"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0.2%</w:t>
            </w:r>
          </w:p>
        </w:tc>
        <w:tc>
          <w:tcPr>
            <w:tcW w:w="628" w:type="dxa"/>
            <w:tcBorders>
              <w:top w:val="nil"/>
              <w:left w:val="nil"/>
              <w:bottom w:val="nil"/>
              <w:right w:val="nil"/>
            </w:tcBorders>
            <w:shd w:val="clear" w:color="auto" w:fill="auto"/>
            <w:noWrap/>
            <w:vAlign w:val="bottom"/>
            <w:hideMark/>
          </w:tcPr>
          <w:p w14:paraId="7DE776D3" w14:textId="176A3AF6"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p>
        </w:tc>
        <w:tc>
          <w:tcPr>
            <w:tcW w:w="627" w:type="dxa"/>
            <w:tcBorders>
              <w:top w:val="nil"/>
              <w:left w:val="nil"/>
              <w:bottom w:val="nil"/>
              <w:right w:val="nil"/>
            </w:tcBorders>
            <w:shd w:val="clear" w:color="auto" w:fill="auto"/>
            <w:noWrap/>
            <w:vAlign w:val="bottom"/>
            <w:hideMark/>
          </w:tcPr>
          <w:p w14:paraId="33C672AA"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0.1%</w:t>
            </w:r>
          </w:p>
        </w:tc>
        <w:tc>
          <w:tcPr>
            <w:tcW w:w="627" w:type="dxa"/>
            <w:tcBorders>
              <w:top w:val="nil"/>
              <w:left w:val="nil"/>
              <w:bottom w:val="nil"/>
              <w:right w:val="single" w:sz="4" w:space="0" w:color="auto"/>
            </w:tcBorders>
            <w:shd w:val="clear" w:color="auto" w:fill="auto"/>
            <w:noWrap/>
            <w:vAlign w:val="bottom"/>
            <w:hideMark/>
          </w:tcPr>
          <w:p w14:paraId="5F29C0E4"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0.1%</w:t>
            </w:r>
          </w:p>
        </w:tc>
        <w:tc>
          <w:tcPr>
            <w:tcW w:w="627" w:type="dxa"/>
            <w:tcBorders>
              <w:top w:val="nil"/>
              <w:left w:val="nil"/>
              <w:bottom w:val="nil"/>
              <w:right w:val="nil"/>
            </w:tcBorders>
            <w:shd w:val="clear" w:color="auto" w:fill="auto"/>
            <w:noWrap/>
            <w:vAlign w:val="bottom"/>
            <w:hideMark/>
          </w:tcPr>
          <w:p w14:paraId="5FD9E290" w14:textId="1784BC3C"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p>
        </w:tc>
        <w:tc>
          <w:tcPr>
            <w:tcW w:w="627" w:type="dxa"/>
            <w:tcBorders>
              <w:top w:val="nil"/>
              <w:left w:val="nil"/>
              <w:bottom w:val="nil"/>
              <w:right w:val="nil"/>
            </w:tcBorders>
            <w:shd w:val="clear" w:color="auto" w:fill="auto"/>
            <w:noWrap/>
            <w:vAlign w:val="bottom"/>
            <w:hideMark/>
          </w:tcPr>
          <w:p w14:paraId="44D59231"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0.2%</w:t>
            </w:r>
          </w:p>
        </w:tc>
        <w:tc>
          <w:tcPr>
            <w:tcW w:w="627" w:type="dxa"/>
            <w:tcBorders>
              <w:top w:val="nil"/>
              <w:left w:val="nil"/>
              <w:bottom w:val="nil"/>
              <w:right w:val="nil"/>
            </w:tcBorders>
            <w:shd w:val="clear" w:color="auto" w:fill="auto"/>
            <w:noWrap/>
            <w:vAlign w:val="bottom"/>
            <w:hideMark/>
          </w:tcPr>
          <w:p w14:paraId="50564082" w14:textId="5A35F63A"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p>
        </w:tc>
      </w:tr>
      <w:tr w:rsidR="002C328D" w:rsidRPr="009A68A8" w14:paraId="506C0879" w14:textId="77777777" w:rsidTr="00200375">
        <w:trPr>
          <w:trHeight w:val="330"/>
        </w:trPr>
        <w:tc>
          <w:tcPr>
            <w:tcW w:w="1359" w:type="dxa"/>
            <w:tcBorders>
              <w:top w:val="nil"/>
              <w:left w:val="nil"/>
              <w:bottom w:val="nil"/>
              <w:right w:val="nil"/>
            </w:tcBorders>
            <w:shd w:val="clear" w:color="auto" w:fill="auto"/>
            <w:noWrap/>
            <w:vAlign w:val="bottom"/>
            <w:hideMark/>
          </w:tcPr>
          <w:p w14:paraId="46CE5788" w14:textId="77777777" w:rsidR="002C328D" w:rsidRPr="009A68A8" w:rsidRDefault="002C328D" w:rsidP="002C328D">
            <w:pP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East</w:t>
            </w:r>
          </w:p>
        </w:tc>
        <w:tc>
          <w:tcPr>
            <w:tcW w:w="627" w:type="dxa"/>
            <w:tcBorders>
              <w:top w:val="nil"/>
              <w:left w:val="nil"/>
              <w:bottom w:val="nil"/>
              <w:right w:val="nil"/>
            </w:tcBorders>
            <w:shd w:val="clear" w:color="auto" w:fill="auto"/>
            <w:noWrap/>
            <w:vAlign w:val="bottom"/>
            <w:hideMark/>
          </w:tcPr>
          <w:p w14:paraId="7500E2FB"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1.0%</w:t>
            </w:r>
          </w:p>
        </w:tc>
        <w:tc>
          <w:tcPr>
            <w:tcW w:w="933" w:type="dxa"/>
            <w:tcBorders>
              <w:top w:val="nil"/>
              <w:left w:val="nil"/>
              <w:bottom w:val="nil"/>
              <w:right w:val="nil"/>
            </w:tcBorders>
            <w:shd w:val="clear" w:color="auto" w:fill="auto"/>
            <w:noWrap/>
            <w:vAlign w:val="bottom"/>
            <w:hideMark/>
          </w:tcPr>
          <w:p w14:paraId="3E10AA93"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0.6%</w:t>
            </w:r>
          </w:p>
        </w:tc>
        <w:tc>
          <w:tcPr>
            <w:tcW w:w="628" w:type="dxa"/>
            <w:tcBorders>
              <w:top w:val="nil"/>
              <w:left w:val="nil"/>
              <w:bottom w:val="nil"/>
              <w:right w:val="single" w:sz="4" w:space="0" w:color="auto"/>
            </w:tcBorders>
            <w:shd w:val="clear" w:color="auto" w:fill="auto"/>
            <w:noWrap/>
            <w:vAlign w:val="bottom"/>
            <w:hideMark/>
          </w:tcPr>
          <w:p w14:paraId="206C98C1"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0.4%</w:t>
            </w:r>
          </w:p>
        </w:tc>
        <w:tc>
          <w:tcPr>
            <w:tcW w:w="709" w:type="dxa"/>
            <w:tcBorders>
              <w:top w:val="nil"/>
              <w:left w:val="nil"/>
              <w:bottom w:val="nil"/>
              <w:right w:val="nil"/>
            </w:tcBorders>
            <w:shd w:val="clear" w:color="auto" w:fill="auto"/>
            <w:noWrap/>
            <w:vAlign w:val="bottom"/>
            <w:hideMark/>
          </w:tcPr>
          <w:p w14:paraId="012CE54E"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0.4%</w:t>
            </w:r>
          </w:p>
        </w:tc>
        <w:tc>
          <w:tcPr>
            <w:tcW w:w="628" w:type="dxa"/>
            <w:tcBorders>
              <w:top w:val="nil"/>
              <w:left w:val="nil"/>
              <w:bottom w:val="nil"/>
              <w:right w:val="nil"/>
            </w:tcBorders>
            <w:shd w:val="clear" w:color="auto" w:fill="auto"/>
            <w:noWrap/>
            <w:vAlign w:val="bottom"/>
            <w:hideMark/>
          </w:tcPr>
          <w:p w14:paraId="326595DD"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0.3%</w:t>
            </w:r>
          </w:p>
        </w:tc>
        <w:tc>
          <w:tcPr>
            <w:tcW w:w="751" w:type="dxa"/>
            <w:tcBorders>
              <w:top w:val="nil"/>
              <w:left w:val="nil"/>
              <w:bottom w:val="nil"/>
              <w:right w:val="single" w:sz="4" w:space="0" w:color="auto"/>
            </w:tcBorders>
            <w:shd w:val="clear" w:color="auto" w:fill="auto"/>
            <w:noWrap/>
            <w:vAlign w:val="bottom"/>
            <w:hideMark/>
          </w:tcPr>
          <w:p w14:paraId="7E32FF6C"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0.7%</w:t>
            </w:r>
          </w:p>
        </w:tc>
        <w:tc>
          <w:tcPr>
            <w:tcW w:w="628" w:type="dxa"/>
            <w:tcBorders>
              <w:top w:val="nil"/>
              <w:left w:val="nil"/>
              <w:bottom w:val="nil"/>
              <w:right w:val="nil"/>
            </w:tcBorders>
            <w:shd w:val="clear" w:color="auto" w:fill="auto"/>
            <w:noWrap/>
            <w:vAlign w:val="bottom"/>
            <w:hideMark/>
          </w:tcPr>
          <w:p w14:paraId="057DCA29" w14:textId="6164B26D"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p>
        </w:tc>
        <w:tc>
          <w:tcPr>
            <w:tcW w:w="627" w:type="dxa"/>
            <w:tcBorders>
              <w:top w:val="nil"/>
              <w:left w:val="nil"/>
              <w:bottom w:val="nil"/>
              <w:right w:val="nil"/>
            </w:tcBorders>
            <w:shd w:val="clear" w:color="auto" w:fill="auto"/>
            <w:noWrap/>
            <w:vAlign w:val="bottom"/>
            <w:hideMark/>
          </w:tcPr>
          <w:p w14:paraId="45C142C3" w14:textId="6F1DEF3D"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p>
        </w:tc>
        <w:tc>
          <w:tcPr>
            <w:tcW w:w="627" w:type="dxa"/>
            <w:tcBorders>
              <w:top w:val="nil"/>
              <w:left w:val="nil"/>
              <w:bottom w:val="nil"/>
              <w:right w:val="single" w:sz="4" w:space="0" w:color="auto"/>
            </w:tcBorders>
            <w:shd w:val="clear" w:color="auto" w:fill="auto"/>
            <w:noWrap/>
            <w:vAlign w:val="bottom"/>
            <w:hideMark/>
          </w:tcPr>
          <w:p w14:paraId="222B11B4" w14:textId="6A6FE9B9"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r w:rsidR="002C328D" w:rsidRPr="009A68A8">
              <w:rPr>
                <w:rFonts w:ascii="Arial Narrow" w:hAnsi="Arial Narrow"/>
                <w:color w:val="000000"/>
                <w:sz w:val="20"/>
                <w:szCs w:val="22"/>
                <w:lang w:val="mn-MN" w:eastAsia="mn-MN"/>
              </w:rPr>
              <w:t> </w:t>
            </w:r>
          </w:p>
        </w:tc>
        <w:tc>
          <w:tcPr>
            <w:tcW w:w="627" w:type="dxa"/>
            <w:tcBorders>
              <w:top w:val="nil"/>
              <w:left w:val="nil"/>
              <w:bottom w:val="nil"/>
              <w:right w:val="nil"/>
            </w:tcBorders>
            <w:shd w:val="clear" w:color="auto" w:fill="auto"/>
            <w:noWrap/>
            <w:vAlign w:val="bottom"/>
            <w:hideMark/>
          </w:tcPr>
          <w:p w14:paraId="6952D837" w14:textId="63340442"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p>
        </w:tc>
        <w:tc>
          <w:tcPr>
            <w:tcW w:w="627" w:type="dxa"/>
            <w:tcBorders>
              <w:top w:val="nil"/>
              <w:left w:val="nil"/>
              <w:bottom w:val="nil"/>
              <w:right w:val="nil"/>
            </w:tcBorders>
            <w:shd w:val="clear" w:color="auto" w:fill="auto"/>
            <w:noWrap/>
            <w:vAlign w:val="bottom"/>
            <w:hideMark/>
          </w:tcPr>
          <w:p w14:paraId="2A3DAE2B"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0.1%</w:t>
            </w:r>
          </w:p>
        </w:tc>
        <w:tc>
          <w:tcPr>
            <w:tcW w:w="627" w:type="dxa"/>
            <w:tcBorders>
              <w:top w:val="nil"/>
              <w:left w:val="nil"/>
              <w:bottom w:val="nil"/>
              <w:right w:val="nil"/>
            </w:tcBorders>
            <w:shd w:val="clear" w:color="auto" w:fill="auto"/>
            <w:noWrap/>
            <w:vAlign w:val="bottom"/>
            <w:hideMark/>
          </w:tcPr>
          <w:p w14:paraId="1B4F6896"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0.1%</w:t>
            </w:r>
          </w:p>
        </w:tc>
      </w:tr>
      <w:tr w:rsidR="002C328D" w:rsidRPr="009A68A8" w14:paraId="66A7A468" w14:textId="77777777" w:rsidTr="00200375">
        <w:trPr>
          <w:trHeight w:val="330"/>
        </w:trPr>
        <w:tc>
          <w:tcPr>
            <w:tcW w:w="1359" w:type="dxa"/>
            <w:tcBorders>
              <w:top w:val="nil"/>
              <w:left w:val="nil"/>
              <w:bottom w:val="nil"/>
              <w:right w:val="nil"/>
            </w:tcBorders>
            <w:shd w:val="clear" w:color="auto" w:fill="auto"/>
            <w:noWrap/>
            <w:vAlign w:val="bottom"/>
            <w:hideMark/>
          </w:tcPr>
          <w:p w14:paraId="5B8DFCD2" w14:textId="77777777" w:rsidR="002C328D" w:rsidRPr="009A68A8" w:rsidRDefault="002C328D" w:rsidP="002C328D">
            <w:pP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Ulaanbaatar</w:t>
            </w:r>
          </w:p>
        </w:tc>
        <w:tc>
          <w:tcPr>
            <w:tcW w:w="627" w:type="dxa"/>
            <w:tcBorders>
              <w:top w:val="nil"/>
              <w:left w:val="nil"/>
              <w:bottom w:val="nil"/>
              <w:right w:val="nil"/>
            </w:tcBorders>
            <w:shd w:val="clear" w:color="auto" w:fill="auto"/>
            <w:noWrap/>
            <w:vAlign w:val="bottom"/>
            <w:hideMark/>
          </w:tcPr>
          <w:p w14:paraId="7128EF95"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0.4%</w:t>
            </w:r>
          </w:p>
        </w:tc>
        <w:tc>
          <w:tcPr>
            <w:tcW w:w="933" w:type="dxa"/>
            <w:tcBorders>
              <w:top w:val="nil"/>
              <w:left w:val="nil"/>
              <w:bottom w:val="nil"/>
              <w:right w:val="nil"/>
            </w:tcBorders>
            <w:shd w:val="clear" w:color="auto" w:fill="auto"/>
            <w:noWrap/>
            <w:vAlign w:val="bottom"/>
            <w:hideMark/>
          </w:tcPr>
          <w:p w14:paraId="4A7C2B87"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0.4%</w:t>
            </w:r>
          </w:p>
        </w:tc>
        <w:tc>
          <w:tcPr>
            <w:tcW w:w="628" w:type="dxa"/>
            <w:tcBorders>
              <w:top w:val="nil"/>
              <w:left w:val="nil"/>
              <w:bottom w:val="nil"/>
              <w:right w:val="single" w:sz="4" w:space="0" w:color="auto"/>
            </w:tcBorders>
            <w:shd w:val="clear" w:color="auto" w:fill="auto"/>
            <w:noWrap/>
            <w:vAlign w:val="bottom"/>
            <w:hideMark/>
          </w:tcPr>
          <w:p w14:paraId="189EB263"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0.2%</w:t>
            </w:r>
          </w:p>
        </w:tc>
        <w:tc>
          <w:tcPr>
            <w:tcW w:w="709" w:type="dxa"/>
            <w:tcBorders>
              <w:top w:val="nil"/>
              <w:left w:val="nil"/>
              <w:bottom w:val="nil"/>
              <w:right w:val="nil"/>
            </w:tcBorders>
            <w:shd w:val="clear" w:color="auto" w:fill="auto"/>
            <w:noWrap/>
            <w:vAlign w:val="bottom"/>
            <w:hideMark/>
          </w:tcPr>
          <w:p w14:paraId="1B2E395D"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0.3%</w:t>
            </w:r>
          </w:p>
        </w:tc>
        <w:tc>
          <w:tcPr>
            <w:tcW w:w="628" w:type="dxa"/>
            <w:tcBorders>
              <w:top w:val="nil"/>
              <w:left w:val="nil"/>
              <w:bottom w:val="nil"/>
              <w:right w:val="nil"/>
            </w:tcBorders>
            <w:shd w:val="clear" w:color="auto" w:fill="auto"/>
            <w:noWrap/>
            <w:vAlign w:val="bottom"/>
            <w:hideMark/>
          </w:tcPr>
          <w:p w14:paraId="575B5D81"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0.4%</w:t>
            </w:r>
          </w:p>
        </w:tc>
        <w:tc>
          <w:tcPr>
            <w:tcW w:w="751" w:type="dxa"/>
            <w:tcBorders>
              <w:top w:val="nil"/>
              <w:left w:val="nil"/>
              <w:bottom w:val="nil"/>
              <w:right w:val="single" w:sz="4" w:space="0" w:color="auto"/>
            </w:tcBorders>
            <w:shd w:val="clear" w:color="auto" w:fill="auto"/>
            <w:noWrap/>
            <w:vAlign w:val="bottom"/>
            <w:hideMark/>
          </w:tcPr>
          <w:p w14:paraId="671F0AF5"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0.2%</w:t>
            </w:r>
          </w:p>
        </w:tc>
        <w:tc>
          <w:tcPr>
            <w:tcW w:w="628" w:type="dxa"/>
            <w:tcBorders>
              <w:top w:val="nil"/>
              <w:left w:val="nil"/>
              <w:bottom w:val="nil"/>
              <w:right w:val="nil"/>
            </w:tcBorders>
            <w:shd w:val="clear" w:color="auto" w:fill="auto"/>
            <w:noWrap/>
            <w:vAlign w:val="bottom"/>
            <w:hideMark/>
          </w:tcPr>
          <w:p w14:paraId="2CF444D4" w14:textId="62665411"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p>
        </w:tc>
        <w:tc>
          <w:tcPr>
            <w:tcW w:w="627" w:type="dxa"/>
            <w:tcBorders>
              <w:top w:val="nil"/>
              <w:left w:val="nil"/>
              <w:bottom w:val="nil"/>
              <w:right w:val="nil"/>
            </w:tcBorders>
            <w:shd w:val="clear" w:color="auto" w:fill="auto"/>
            <w:noWrap/>
            <w:vAlign w:val="bottom"/>
            <w:hideMark/>
          </w:tcPr>
          <w:p w14:paraId="32013B1B" w14:textId="0AB405AB"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p>
        </w:tc>
        <w:tc>
          <w:tcPr>
            <w:tcW w:w="627" w:type="dxa"/>
            <w:tcBorders>
              <w:top w:val="nil"/>
              <w:left w:val="nil"/>
              <w:bottom w:val="nil"/>
              <w:right w:val="single" w:sz="4" w:space="0" w:color="auto"/>
            </w:tcBorders>
            <w:shd w:val="clear" w:color="auto" w:fill="auto"/>
            <w:noWrap/>
            <w:vAlign w:val="bottom"/>
            <w:hideMark/>
          </w:tcPr>
          <w:p w14:paraId="74453639" w14:textId="374A1D68"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r w:rsidR="002C328D" w:rsidRPr="009A68A8">
              <w:rPr>
                <w:rFonts w:ascii="Arial Narrow" w:hAnsi="Arial Narrow"/>
                <w:color w:val="000000"/>
                <w:sz w:val="20"/>
                <w:szCs w:val="22"/>
                <w:lang w:val="mn-MN" w:eastAsia="mn-MN"/>
              </w:rPr>
              <w:t> </w:t>
            </w:r>
          </w:p>
        </w:tc>
        <w:tc>
          <w:tcPr>
            <w:tcW w:w="627" w:type="dxa"/>
            <w:tcBorders>
              <w:top w:val="nil"/>
              <w:left w:val="nil"/>
              <w:bottom w:val="nil"/>
              <w:right w:val="nil"/>
            </w:tcBorders>
            <w:shd w:val="clear" w:color="auto" w:fill="auto"/>
            <w:noWrap/>
            <w:vAlign w:val="bottom"/>
            <w:hideMark/>
          </w:tcPr>
          <w:p w14:paraId="1E3E2A7C" w14:textId="5D94351C"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p>
        </w:tc>
        <w:tc>
          <w:tcPr>
            <w:tcW w:w="627" w:type="dxa"/>
            <w:tcBorders>
              <w:top w:val="nil"/>
              <w:left w:val="nil"/>
              <w:bottom w:val="nil"/>
              <w:right w:val="nil"/>
            </w:tcBorders>
            <w:shd w:val="clear" w:color="auto" w:fill="auto"/>
            <w:noWrap/>
            <w:vAlign w:val="bottom"/>
            <w:hideMark/>
          </w:tcPr>
          <w:p w14:paraId="51F0A19A"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0.1%</w:t>
            </w:r>
          </w:p>
        </w:tc>
        <w:tc>
          <w:tcPr>
            <w:tcW w:w="627" w:type="dxa"/>
            <w:tcBorders>
              <w:top w:val="nil"/>
              <w:left w:val="nil"/>
              <w:bottom w:val="nil"/>
              <w:right w:val="nil"/>
            </w:tcBorders>
            <w:shd w:val="clear" w:color="auto" w:fill="auto"/>
            <w:noWrap/>
            <w:vAlign w:val="bottom"/>
            <w:hideMark/>
          </w:tcPr>
          <w:p w14:paraId="17746086" w14:textId="19C66AE9" w:rsidR="002C328D" w:rsidRPr="009A68A8" w:rsidRDefault="00820F00"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w:t>
            </w:r>
          </w:p>
        </w:tc>
      </w:tr>
      <w:tr w:rsidR="002C328D" w:rsidRPr="009A68A8" w14:paraId="6072E0AE" w14:textId="77777777" w:rsidTr="00200375">
        <w:trPr>
          <w:trHeight w:val="330"/>
        </w:trPr>
        <w:tc>
          <w:tcPr>
            <w:tcW w:w="1359" w:type="dxa"/>
            <w:tcBorders>
              <w:top w:val="single" w:sz="4" w:space="0" w:color="auto"/>
              <w:left w:val="nil"/>
              <w:bottom w:val="single" w:sz="4" w:space="0" w:color="auto"/>
              <w:right w:val="nil"/>
            </w:tcBorders>
            <w:shd w:val="clear" w:color="auto" w:fill="auto"/>
            <w:noWrap/>
            <w:vAlign w:val="bottom"/>
            <w:hideMark/>
          </w:tcPr>
          <w:p w14:paraId="485B1EAB" w14:textId="77777777" w:rsidR="002C328D" w:rsidRPr="009A68A8" w:rsidRDefault="002C328D" w:rsidP="002C328D">
            <w:pP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Total</w:t>
            </w:r>
          </w:p>
        </w:tc>
        <w:tc>
          <w:tcPr>
            <w:tcW w:w="627" w:type="dxa"/>
            <w:tcBorders>
              <w:top w:val="single" w:sz="4" w:space="0" w:color="auto"/>
              <w:left w:val="nil"/>
              <w:bottom w:val="single" w:sz="4" w:space="0" w:color="auto"/>
              <w:right w:val="nil"/>
            </w:tcBorders>
            <w:shd w:val="clear" w:color="auto" w:fill="auto"/>
            <w:noWrap/>
            <w:vAlign w:val="bottom"/>
            <w:hideMark/>
          </w:tcPr>
          <w:p w14:paraId="6AB46DBF"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0.8%</w:t>
            </w:r>
          </w:p>
        </w:tc>
        <w:tc>
          <w:tcPr>
            <w:tcW w:w="933" w:type="dxa"/>
            <w:tcBorders>
              <w:top w:val="single" w:sz="4" w:space="0" w:color="auto"/>
              <w:left w:val="nil"/>
              <w:bottom w:val="single" w:sz="4" w:space="0" w:color="auto"/>
              <w:right w:val="nil"/>
            </w:tcBorders>
            <w:shd w:val="clear" w:color="auto" w:fill="auto"/>
            <w:noWrap/>
            <w:vAlign w:val="bottom"/>
            <w:hideMark/>
          </w:tcPr>
          <w:p w14:paraId="26E31A3F"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0.7%</w:t>
            </w:r>
          </w:p>
        </w:tc>
        <w:tc>
          <w:tcPr>
            <w:tcW w:w="628" w:type="dxa"/>
            <w:tcBorders>
              <w:top w:val="single" w:sz="4" w:space="0" w:color="auto"/>
              <w:left w:val="nil"/>
              <w:bottom w:val="single" w:sz="4" w:space="0" w:color="auto"/>
              <w:right w:val="single" w:sz="4" w:space="0" w:color="auto"/>
            </w:tcBorders>
            <w:shd w:val="clear" w:color="auto" w:fill="auto"/>
            <w:noWrap/>
            <w:vAlign w:val="bottom"/>
            <w:hideMark/>
          </w:tcPr>
          <w:p w14:paraId="71729EE7"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0.3%</w:t>
            </w:r>
          </w:p>
        </w:tc>
        <w:tc>
          <w:tcPr>
            <w:tcW w:w="709" w:type="dxa"/>
            <w:tcBorders>
              <w:top w:val="single" w:sz="4" w:space="0" w:color="auto"/>
              <w:left w:val="nil"/>
              <w:bottom w:val="single" w:sz="4" w:space="0" w:color="auto"/>
              <w:right w:val="nil"/>
            </w:tcBorders>
            <w:shd w:val="clear" w:color="auto" w:fill="auto"/>
            <w:noWrap/>
            <w:vAlign w:val="bottom"/>
            <w:hideMark/>
          </w:tcPr>
          <w:p w14:paraId="5546F0B6"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0.4%</w:t>
            </w:r>
          </w:p>
        </w:tc>
        <w:tc>
          <w:tcPr>
            <w:tcW w:w="628" w:type="dxa"/>
            <w:tcBorders>
              <w:top w:val="single" w:sz="4" w:space="0" w:color="auto"/>
              <w:left w:val="nil"/>
              <w:bottom w:val="single" w:sz="4" w:space="0" w:color="auto"/>
              <w:right w:val="nil"/>
            </w:tcBorders>
            <w:shd w:val="clear" w:color="auto" w:fill="auto"/>
            <w:noWrap/>
            <w:vAlign w:val="bottom"/>
            <w:hideMark/>
          </w:tcPr>
          <w:p w14:paraId="1D8D6C6E"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0.6%</w:t>
            </w:r>
          </w:p>
        </w:tc>
        <w:tc>
          <w:tcPr>
            <w:tcW w:w="751" w:type="dxa"/>
            <w:tcBorders>
              <w:top w:val="single" w:sz="4" w:space="0" w:color="auto"/>
              <w:left w:val="nil"/>
              <w:bottom w:val="single" w:sz="4" w:space="0" w:color="auto"/>
              <w:right w:val="single" w:sz="4" w:space="0" w:color="auto"/>
            </w:tcBorders>
            <w:shd w:val="clear" w:color="auto" w:fill="auto"/>
            <w:noWrap/>
            <w:vAlign w:val="bottom"/>
            <w:hideMark/>
          </w:tcPr>
          <w:p w14:paraId="55858A88"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0.2%</w:t>
            </w:r>
          </w:p>
        </w:tc>
        <w:tc>
          <w:tcPr>
            <w:tcW w:w="628" w:type="dxa"/>
            <w:tcBorders>
              <w:top w:val="single" w:sz="4" w:space="0" w:color="auto"/>
              <w:left w:val="nil"/>
              <w:bottom w:val="single" w:sz="4" w:space="0" w:color="auto"/>
              <w:right w:val="nil"/>
            </w:tcBorders>
            <w:shd w:val="clear" w:color="auto" w:fill="auto"/>
            <w:noWrap/>
            <w:vAlign w:val="bottom"/>
            <w:hideMark/>
          </w:tcPr>
          <w:p w14:paraId="7F2063B0"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0.0%</w:t>
            </w:r>
          </w:p>
        </w:tc>
        <w:tc>
          <w:tcPr>
            <w:tcW w:w="627" w:type="dxa"/>
            <w:tcBorders>
              <w:top w:val="single" w:sz="4" w:space="0" w:color="auto"/>
              <w:left w:val="nil"/>
              <w:bottom w:val="single" w:sz="4" w:space="0" w:color="auto"/>
              <w:right w:val="nil"/>
            </w:tcBorders>
            <w:shd w:val="clear" w:color="auto" w:fill="auto"/>
            <w:noWrap/>
            <w:vAlign w:val="bottom"/>
            <w:hideMark/>
          </w:tcPr>
          <w:p w14:paraId="189D4070"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0.0%</w:t>
            </w:r>
          </w:p>
        </w:tc>
        <w:tc>
          <w:tcPr>
            <w:tcW w:w="627" w:type="dxa"/>
            <w:tcBorders>
              <w:top w:val="single" w:sz="4" w:space="0" w:color="auto"/>
              <w:left w:val="nil"/>
              <w:bottom w:val="single" w:sz="4" w:space="0" w:color="auto"/>
              <w:right w:val="single" w:sz="4" w:space="0" w:color="auto"/>
            </w:tcBorders>
            <w:shd w:val="clear" w:color="auto" w:fill="auto"/>
            <w:noWrap/>
            <w:vAlign w:val="bottom"/>
            <w:hideMark/>
          </w:tcPr>
          <w:p w14:paraId="63BDD8EF"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0.0%</w:t>
            </w:r>
          </w:p>
        </w:tc>
        <w:tc>
          <w:tcPr>
            <w:tcW w:w="627" w:type="dxa"/>
            <w:tcBorders>
              <w:top w:val="single" w:sz="4" w:space="0" w:color="auto"/>
              <w:left w:val="nil"/>
              <w:bottom w:val="single" w:sz="4" w:space="0" w:color="auto"/>
              <w:right w:val="nil"/>
            </w:tcBorders>
            <w:shd w:val="clear" w:color="auto" w:fill="auto"/>
            <w:noWrap/>
            <w:vAlign w:val="bottom"/>
            <w:hideMark/>
          </w:tcPr>
          <w:p w14:paraId="05383746"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0.0%</w:t>
            </w:r>
          </w:p>
        </w:tc>
        <w:tc>
          <w:tcPr>
            <w:tcW w:w="627" w:type="dxa"/>
            <w:tcBorders>
              <w:top w:val="single" w:sz="4" w:space="0" w:color="auto"/>
              <w:left w:val="nil"/>
              <w:bottom w:val="single" w:sz="4" w:space="0" w:color="auto"/>
              <w:right w:val="nil"/>
            </w:tcBorders>
            <w:shd w:val="clear" w:color="auto" w:fill="auto"/>
            <w:noWrap/>
            <w:vAlign w:val="bottom"/>
            <w:hideMark/>
          </w:tcPr>
          <w:p w14:paraId="58AD21DD"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0.1%</w:t>
            </w:r>
          </w:p>
        </w:tc>
        <w:tc>
          <w:tcPr>
            <w:tcW w:w="627" w:type="dxa"/>
            <w:tcBorders>
              <w:top w:val="single" w:sz="4" w:space="0" w:color="auto"/>
              <w:left w:val="nil"/>
              <w:bottom w:val="single" w:sz="4" w:space="0" w:color="auto"/>
              <w:right w:val="nil"/>
            </w:tcBorders>
            <w:shd w:val="clear" w:color="auto" w:fill="auto"/>
            <w:noWrap/>
            <w:vAlign w:val="bottom"/>
            <w:hideMark/>
          </w:tcPr>
          <w:p w14:paraId="04F90649" w14:textId="77777777" w:rsidR="002C328D" w:rsidRPr="009A68A8" w:rsidRDefault="002C328D" w:rsidP="002C328D">
            <w:pPr>
              <w:jc w:val="center"/>
              <w:rPr>
                <w:rFonts w:ascii="Arial Narrow" w:hAnsi="Arial Narrow"/>
                <w:color w:val="000000"/>
                <w:sz w:val="20"/>
                <w:szCs w:val="22"/>
                <w:lang w:val="mn-MN" w:eastAsia="mn-MN"/>
              </w:rPr>
            </w:pPr>
            <w:r w:rsidRPr="009A68A8">
              <w:rPr>
                <w:rFonts w:ascii="Arial Narrow" w:hAnsi="Arial Narrow"/>
                <w:color w:val="000000"/>
                <w:sz w:val="20"/>
                <w:szCs w:val="22"/>
                <w:lang w:val="mn-MN" w:eastAsia="mn-MN"/>
              </w:rPr>
              <w:t>0.0%</w:t>
            </w:r>
          </w:p>
        </w:tc>
      </w:tr>
    </w:tbl>
    <w:p w14:paraId="6B2EC3A8" w14:textId="79000422" w:rsidR="002C328D" w:rsidRPr="00BF7391" w:rsidRDefault="00820F00" w:rsidP="00BF7391">
      <w:pPr>
        <w:rPr>
          <w:i/>
          <w:sz w:val="22"/>
          <w:lang w:val="en-GB"/>
        </w:rPr>
      </w:pPr>
      <w:r w:rsidRPr="008B7EA0">
        <w:rPr>
          <w:i/>
          <w:sz w:val="22"/>
          <w:lang w:val="en-GB"/>
        </w:rPr>
        <w:t>Source: Mongolia Household Socio-Economic Surveys, 20</w:t>
      </w:r>
      <w:r>
        <w:rPr>
          <w:i/>
          <w:sz w:val="22"/>
          <w:lang w:val="en-GB"/>
        </w:rPr>
        <w:t>10</w:t>
      </w:r>
      <w:r w:rsidRPr="008B7EA0">
        <w:rPr>
          <w:i/>
          <w:sz w:val="22"/>
          <w:lang w:val="en-GB"/>
        </w:rPr>
        <w:t>-2012</w:t>
      </w:r>
    </w:p>
    <w:p w14:paraId="7C14F552" w14:textId="2640ACF5" w:rsidR="007B42E2" w:rsidRPr="00E80A9C" w:rsidRDefault="008D0052" w:rsidP="007B42E2">
      <w:pPr>
        <w:jc w:val="both"/>
        <w:rPr>
          <w:rFonts w:ascii="Arial" w:hAnsi="Arial" w:cs="Arial"/>
          <w:szCs w:val="22"/>
        </w:rPr>
      </w:pPr>
      <w:r>
        <w:rPr>
          <w:rFonts w:ascii="Arial" w:hAnsi="Arial" w:cs="Arial"/>
          <w:szCs w:val="22"/>
        </w:rPr>
        <w:lastRenderedPageBreak/>
        <w:t>Evidently, t</w:t>
      </w:r>
      <w:r w:rsidR="007B42E2" w:rsidRPr="00E80A9C">
        <w:rPr>
          <w:rFonts w:ascii="Arial" w:hAnsi="Arial" w:cs="Arial"/>
          <w:szCs w:val="22"/>
        </w:rPr>
        <w:t>he majority of impoverishment was due to out of pocket payment of medicine and medical supplies</w:t>
      </w:r>
      <w:r w:rsidR="00AB1E98">
        <w:rPr>
          <w:rFonts w:ascii="Arial" w:hAnsi="Arial" w:cs="Arial"/>
          <w:szCs w:val="22"/>
        </w:rPr>
        <w:t xml:space="preserve"> (Figure 14</w:t>
      </w:r>
      <w:r w:rsidR="00820F00">
        <w:rPr>
          <w:rFonts w:ascii="Arial" w:hAnsi="Arial" w:cs="Arial"/>
          <w:szCs w:val="22"/>
        </w:rPr>
        <w:t>)</w:t>
      </w:r>
      <w:r w:rsidR="007B42E2" w:rsidRPr="00E80A9C">
        <w:rPr>
          <w:rFonts w:ascii="Arial" w:hAnsi="Arial" w:cs="Arial"/>
          <w:szCs w:val="22"/>
        </w:rPr>
        <w:t xml:space="preserve">. </w:t>
      </w:r>
    </w:p>
    <w:p w14:paraId="4B143D34" w14:textId="77777777" w:rsidR="007B42E2" w:rsidRDefault="007B42E2" w:rsidP="009C57F9">
      <w:pPr>
        <w:jc w:val="both"/>
        <w:rPr>
          <w:lang w:val="en-GB"/>
        </w:rPr>
      </w:pPr>
    </w:p>
    <w:p w14:paraId="627CDBD0" w14:textId="77777777" w:rsidR="007B42E2" w:rsidRPr="00E80A9C" w:rsidRDefault="007B42E2" w:rsidP="007B42E2">
      <w:pPr>
        <w:jc w:val="both"/>
        <w:rPr>
          <w:rFonts w:ascii="Arial" w:hAnsi="Arial" w:cs="Arial"/>
          <w:sz w:val="22"/>
          <w:szCs w:val="22"/>
          <w:lang w:val="en-GB"/>
        </w:rPr>
      </w:pPr>
      <w:bookmarkStart w:id="49" w:name="_Toc310170119"/>
      <w:r w:rsidRPr="00E80A9C">
        <w:rPr>
          <w:rFonts w:ascii="Arial" w:hAnsi="Arial" w:cs="Arial"/>
          <w:sz w:val="22"/>
          <w:szCs w:val="22"/>
        </w:rPr>
        <w:t xml:space="preserve">Figure </w:t>
      </w:r>
      <w:r w:rsidR="00CB191B" w:rsidRPr="00E80A9C">
        <w:rPr>
          <w:rFonts w:ascii="Arial" w:hAnsi="Arial" w:cs="Arial"/>
          <w:sz w:val="22"/>
          <w:szCs w:val="22"/>
        </w:rPr>
        <w:fldChar w:fldCharType="begin"/>
      </w:r>
      <w:r w:rsidRPr="00E80A9C">
        <w:rPr>
          <w:rFonts w:ascii="Arial" w:hAnsi="Arial" w:cs="Arial"/>
          <w:sz w:val="22"/>
          <w:szCs w:val="22"/>
        </w:rPr>
        <w:instrText xml:space="preserve"> SEQ Figure \* ARABIC </w:instrText>
      </w:r>
      <w:r w:rsidR="00CB191B" w:rsidRPr="00E80A9C">
        <w:rPr>
          <w:rFonts w:ascii="Arial" w:hAnsi="Arial" w:cs="Arial"/>
          <w:sz w:val="22"/>
          <w:szCs w:val="22"/>
        </w:rPr>
        <w:fldChar w:fldCharType="separate"/>
      </w:r>
      <w:r w:rsidR="00AB1E98">
        <w:rPr>
          <w:rFonts w:ascii="Arial" w:hAnsi="Arial" w:cs="Arial"/>
          <w:noProof/>
          <w:sz w:val="22"/>
          <w:szCs w:val="22"/>
        </w:rPr>
        <w:t>14</w:t>
      </w:r>
      <w:r w:rsidR="00CB191B" w:rsidRPr="00E80A9C">
        <w:rPr>
          <w:rFonts w:ascii="Arial" w:hAnsi="Arial" w:cs="Arial"/>
          <w:sz w:val="22"/>
          <w:szCs w:val="22"/>
        </w:rPr>
        <w:fldChar w:fldCharType="end"/>
      </w:r>
      <w:r w:rsidRPr="00E80A9C">
        <w:rPr>
          <w:rFonts w:ascii="Arial" w:hAnsi="Arial" w:cs="Arial"/>
          <w:sz w:val="22"/>
          <w:szCs w:val="22"/>
        </w:rPr>
        <w:t>:</w:t>
      </w:r>
      <w:r w:rsidRPr="00E80A9C">
        <w:rPr>
          <w:rFonts w:ascii="Arial" w:hAnsi="Arial" w:cs="Arial"/>
          <w:iCs/>
          <w:sz w:val="22"/>
          <w:szCs w:val="22"/>
        </w:rPr>
        <w:t xml:space="preserve"> </w:t>
      </w:r>
      <w:r w:rsidRPr="00E80A9C">
        <w:rPr>
          <w:rFonts w:ascii="Arial" w:hAnsi="Arial" w:cs="Arial"/>
          <w:sz w:val="22"/>
          <w:szCs w:val="22"/>
          <w:lang w:val="en-GB"/>
        </w:rPr>
        <w:t xml:space="preserve"> Estimates of impoverishment by </w:t>
      </w:r>
      <w:r>
        <w:rPr>
          <w:rFonts w:ascii="Arial" w:hAnsi="Arial" w:cs="Arial"/>
          <w:sz w:val="22"/>
          <w:szCs w:val="22"/>
          <w:lang w:val="en-GB"/>
        </w:rPr>
        <w:t xml:space="preserve">major </w:t>
      </w:r>
      <w:r w:rsidRPr="00E80A9C">
        <w:rPr>
          <w:rFonts w:ascii="Arial" w:hAnsi="Arial" w:cs="Arial"/>
          <w:sz w:val="22"/>
          <w:szCs w:val="22"/>
          <w:lang w:val="en-GB"/>
        </w:rPr>
        <w:t>component of out-of-pocket payment</w:t>
      </w:r>
      <w:r>
        <w:rPr>
          <w:rFonts w:ascii="Arial" w:hAnsi="Arial" w:cs="Arial"/>
          <w:sz w:val="22"/>
          <w:szCs w:val="22"/>
          <w:lang w:val="en-GB"/>
        </w:rPr>
        <w:t>s</w:t>
      </w:r>
      <w:bookmarkEnd w:id="49"/>
      <w:r w:rsidRPr="00E80A9C">
        <w:rPr>
          <w:rFonts w:ascii="Arial" w:hAnsi="Arial" w:cs="Arial"/>
          <w:sz w:val="22"/>
          <w:szCs w:val="22"/>
          <w:lang w:val="en-GB"/>
        </w:rPr>
        <w:t xml:space="preserve"> </w:t>
      </w:r>
    </w:p>
    <w:p w14:paraId="6EEFE724" w14:textId="5823ECFC" w:rsidR="007B42E2" w:rsidRDefault="00D3265D" w:rsidP="00D3265D">
      <w:pPr>
        <w:jc w:val="center"/>
        <w:rPr>
          <w:lang w:val="en-GB"/>
        </w:rPr>
      </w:pPr>
      <w:r w:rsidRPr="00D3265D">
        <w:rPr>
          <w:noProof/>
        </w:rPr>
        <w:drawing>
          <wp:inline distT="0" distB="0" distL="0" distR="0" wp14:anchorId="72CD4503" wp14:editId="067BD841">
            <wp:extent cx="5490210" cy="2515013"/>
            <wp:effectExtent l="0" t="0" r="0" b="0"/>
            <wp:docPr id="3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90210" cy="2515013"/>
                    </a:xfrm>
                    <a:prstGeom prst="rect">
                      <a:avLst/>
                    </a:prstGeom>
                    <a:noFill/>
                    <a:ln>
                      <a:noFill/>
                    </a:ln>
                  </pic:spPr>
                </pic:pic>
              </a:graphicData>
            </a:graphic>
          </wp:inline>
        </w:drawing>
      </w:r>
    </w:p>
    <w:p w14:paraId="04833E74" w14:textId="77777777" w:rsidR="007B42E2" w:rsidRPr="008B7EA0" w:rsidRDefault="007B42E2" w:rsidP="007B42E2">
      <w:pPr>
        <w:ind w:left="1440"/>
        <w:rPr>
          <w:i/>
          <w:sz w:val="22"/>
          <w:lang w:val="en-GB"/>
        </w:rPr>
      </w:pPr>
      <w:r w:rsidRPr="008B7EA0">
        <w:rPr>
          <w:i/>
          <w:sz w:val="22"/>
          <w:lang w:val="en-GB"/>
        </w:rPr>
        <w:t>Source: Mongolia Household Socio-Economic Surveys, 20</w:t>
      </w:r>
      <w:r>
        <w:rPr>
          <w:i/>
          <w:sz w:val="22"/>
          <w:lang w:val="en-GB"/>
        </w:rPr>
        <w:t>10</w:t>
      </w:r>
      <w:r w:rsidRPr="008B7EA0">
        <w:rPr>
          <w:i/>
          <w:sz w:val="22"/>
          <w:lang w:val="en-GB"/>
        </w:rPr>
        <w:t>-2012</w:t>
      </w:r>
    </w:p>
    <w:p w14:paraId="39FF8AAF" w14:textId="77777777" w:rsidR="007B42E2" w:rsidRDefault="007B42E2" w:rsidP="009C57F9">
      <w:pPr>
        <w:jc w:val="both"/>
        <w:rPr>
          <w:lang w:val="en-GB"/>
        </w:rPr>
      </w:pPr>
    </w:p>
    <w:p w14:paraId="5978AD70" w14:textId="5729364C" w:rsidR="00595881" w:rsidRPr="00002301" w:rsidRDefault="00595881" w:rsidP="009C57F9">
      <w:pPr>
        <w:jc w:val="both"/>
        <w:rPr>
          <w:rFonts w:ascii="Arial" w:hAnsi="Arial" w:cs="Arial"/>
          <w:lang w:val="en-GB"/>
        </w:rPr>
      </w:pPr>
      <w:r w:rsidRPr="00002301">
        <w:rPr>
          <w:rFonts w:ascii="Arial" w:hAnsi="Arial" w:cs="Arial"/>
          <w:lang w:val="en-GB"/>
        </w:rPr>
        <w:t xml:space="preserve">As estimated in the table below, the poor </w:t>
      </w:r>
      <w:r w:rsidR="00002301" w:rsidRPr="00002301">
        <w:rPr>
          <w:rFonts w:ascii="Arial" w:hAnsi="Arial" w:cs="Arial"/>
          <w:lang w:val="en-GB"/>
        </w:rPr>
        <w:t>people have</w:t>
      </w:r>
      <w:r w:rsidRPr="00002301">
        <w:rPr>
          <w:rFonts w:ascii="Arial" w:hAnsi="Arial" w:cs="Arial"/>
          <w:lang w:val="en-GB"/>
        </w:rPr>
        <w:t xml:space="preserve"> impoverished due to </w:t>
      </w:r>
      <w:r w:rsidR="00002301">
        <w:rPr>
          <w:rFonts w:ascii="Arial" w:hAnsi="Arial" w:cs="Arial"/>
          <w:lang w:val="en-GB"/>
        </w:rPr>
        <w:t xml:space="preserve">out of pocket </w:t>
      </w:r>
      <w:r w:rsidR="00002301" w:rsidRPr="00002301">
        <w:rPr>
          <w:rFonts w:ascii="Arial" w:hAnsi="Arial" w:cs="Arial"/>
          <w:lang w:val="en-GB"/>
        </w:rPr>
        <w:t xml:space="preserve">payments </w:t>
      </w:r>
      <w:r w:rsidR="00AB1E98">
        <w:rPr>
          <w:rFonts w:ascii="Arial" w:hAnsi="Arial" w:cs="Arial"/>
          <w:lang w:val="en-GB"/>
        </w:rPr>
        <w:t xml:space="preserve">on </w:t>
      </w:r>
      <w:r w:rsidR="00002301" w:rsidRPr="00002301">
        <w:rPr>
          <w:rFonts w:ascii="Arial" w:hAnsi="Arial" w:cs="Arial"/>
          <w:lang w:val="en-GB"/>
        </w:rPr>
        <w:t>medicine</w:t>
      </w:r>
      <w:r w:rsidR="00AB1E98">
        <w:rPr>
          <w:rFonts w:ascii="Arial" w:hAnsi="Arial" w:cs="Arial"/>
          <w:lang w:val="en-GB"/>
        </w:rPr>
        <w:t>s</w:t>
      </w:r>
      <w:r w:rsidR="00002301" w:rsidRPr="00002301">
        <w:rPr>
          <w:rFonts w:ascii="Arial" w:hAnsi="Arial" w:cs="Arial"/>
          <w:lang w:val="en-GB"/>
        </w:rPr>
        <w:t xml:space="preserve"> and inpatient care</w:t>
      </w:r>
      <w:r w:rsidR="00AB1E98">
        <w:rPr>
          <w:rFonts w:ascii="Arial" w:hAnsi="Arial" w:cs="Arial"/>
          <w:lang w:val="en-GB"/>
        </w:rPr>
        <w:t xml:space="preserve"> (Table 18</w:t>
      </w:r>
      <w:r w:rsidR="00002301">
        <w:rPr>
          <w:rFonts w:ascii="Arial" w:hAnsi="Arial" w:cs="Arial"/>
          <w:lang w:val="en-GB"/>
        </w:rPr>
        <w:t>)</w:t>
      </w:r>
      <w:r w:rsidR="00002301" w:rsidRPr="00002301">
        <w:rPr>
          <w:rFonts w:ascii="Arial" w:hAnsi="Arial" w:cs="Arial"/>
          <w:lang w:val="en-GB"/>
        </w:rPr>
        <w:t>.</w:t>
      </w:r>
    </w:p>
    <w:p w14:paraId="10F0A685" w14:textId="77777777" w:rsidR="00595881" w:rsidRDefault="00595881" w:rsidP="009C57F9">
      <w:pPr>
        <w:jc w:val="both"/>
        <w:rPr>
          <w:lang w:val="en-GB"/>
        </w:rPr>
      </w:pPr>
    </w:p>
    <w:p w14:paraId="1B782B4D" w14:textId="197FDE1D" w:rsidR="002C328D" w:rsidRDefault="00595881" w:rsidP="00595881">
      <w:pPr>
        <w:rPr>
          <w:rFonts w:ascii="Arial" w:hAnsi="Arial" w:cs="Arial"/>
          <w:sz w:val="22"/>
          <w:szCs w:val="22"/>
          <w:lang w:eastAsia="mn-MN"/>
        </w:rPr>
      </w:pPr>
      <w:bookmarkStart w:id="50" w:name="_Toc310170101"/>
      <w:r w:rsidRPr="007B42E2">
        <w:rPr>
          <w:rFonts w:ascii="Arial" w:hAnsi="Arial" w:cs="Arial"/>
          <w:sz w:val="22"/>
          <w:szCs w:val="22"/>
        </w:rPr>
        <w:t xml:space="preserve">Table </w:t>
      </w:r>
      <w:r w:rsidRPr="007B42E2">
        <w:rPr>
          <w:rFonts w:ascii="Arial" w:hAnsi="Arial" w:cs="Arial"/>
          <w:sz w:val="22"/>
          <w:szCs w:val="22"/>
        </w:rPr>
        <w:fldChar w:fldCharType="begin"/>
      </w:r>
      <w:r w:rsidRPr="007B42E2">
        <w:rPr>
          <w:rFonts w:ascii="Arial" w:hAnsi="Arial" w:cs="Arial"/>
          <w:sz w:val="22"/>
          <w:szCs w:val="22"/>
        </w:rPr>
        <w:instrText xml:space="preserve"> SEQ Table \* ARABIC </w:instrText>
      </w:r>
      <w:r w:rsidRPr="007B42E2">
        <w:rPr>
          <w:rFonts w:ascii="Arial" w:hAnsi="Arial" w:cs="Arial"/>
          <w:sz w:val="22"/>
          <w:szCs w:val="22"/>
        </w:rPr>
        <w:fldChar w:fldCharType="separate"/>
      </w:r>
      <w:r w:rsidR="00AB1E98">
        <w:rPr>
          <w:rFonts w:ascii="Arial" w:hAnsi="Arial" w:cs="Arial"/>
          <w:noProof/>
          <w:sz w:val="22"/>
          <w:szCs w:val="22"/>
        </w:rPr>
        <w:t>18</w:t>
      </w:r>
      <w:r w:rsidRPr="007B42E2">
        <w:rPr>
          <w:rFonts w:ascii="Arial" w:hAnsi="Arial" w:cs="Arial"/>
          <w:sz w:val="22"/>
          <w:szCs w:val="22"/>
        </w:rPr>
        <w:fldChar w:fldCharType="end"/>
      </w:r>
      <w:r w:rsidRPr="007B42E2">
        <w:rPr>
          <w:rFonts w:ascii="Arial" w:hAnsi="Arial" w:cs="Arial"/>
          <w:sz w:val="22"/>
          <w:szCs w:val="22"/>
        </w:rPr>
        <w:t xml:space="preserve">: </w:t>
      </w:r>
      <w:r w:rsidRPr="00E80A9C">
        <w:rPr>
          <w:rFonts w:ascii="Arial" w:hAnsi="Arial" w:cs="Arial"/>
          <w:sz w:val="22"/>
          <w:szCs w:val="22"/>
          <w:lang w:val="en-GB"/>
        </w:rPr>
        <w:t xml:space="preserve">Estimates of impoverishment by </w:t>
      </w:r>
      <w:r>
        <w:rPr>
          <w:rFonts w:ascii="Arial" w:hAnsi="Arial" w:cs="Arial"/>
          <w:sz w:val="22"/>
          <w:szCs w:val="22"/>
          <w:lang w:val="en-GB"/>
        </w:rPr>
        <w:t xml:space="preserve">major </w:t>
      </w:r>
      <w:r w:rsidRPr="00E80A9C">
        <w:rPr>
          <w:rFonts w:ascii="Arial" w:hAnsi="Arial" w:cs="Arial"/>
          <w:sz w:val="22"/>
          <w:szCs w:val="22"/>
          <w:lang w:val="en-GB"/>
        </w:rPr>
        <w:t>component of out-of-pocket payment</w:t>
      </w:r>
      <w:r>
        <w:rPr>
          <w:rFonts w:ascii="Arial" w:hAnsi="Arial" w:cs="Arial"/>
          <w:sz w:val="22"/>
          <w:szCs w:val="22"/>
          <w:lang w:val="en-GB"/>
        </w:rPr>
        <w:t>s and quintiles</w:t>
      </w:r>
      <w:r w:rsidRPr="007B42E2">
        <w:rPr>
          <w:rFonts w:ascii="Arial" w:hAnsi="Arial" w:cs="Arial"/>
          <w:sz w:val="22"/>
          <w:szCs w:val="22"/>
          <w:lang w:eastAsia="mn-MN"/>
        </w:rPr>
        <w:t>, 2010-2012</w:t>
      </w:r>
      <w:bookmarkEnd w:id="50"/>
    </w:p>
    <w:p w14:paraId="064B4708" w14:textId="77777777" w:rsidR="00595881" w:rsidRPr="00595881" w:rsidRDefault="00595881" w:rsidP="00595881">
      <w:pPr>
        <w:rPr>
          <w:rFonts w:ascii="Arial" w:hAnsi="Arial" w:cs="Arial"/>
          <w:sz w:val="22"/>
          <w:szCs w:val="22"/>
          <w:lang w:eastAsia="mn-MN"/>
        </w:rPr>
      </w:pPr>
    </w:p>
    <w:tbl>
      <w:tblPr>
        <w:tblW w:w="9440" w:type="dxa"/>
        <w:tblInd w:w="93" w:type="dxa"/>
        <w:tblLook w:val="04A0" w:firstRow="1" w:lastRow="0" w:firstColumn="1" w:lastColumn="0" w:noHBand="0" w:noVBand="1"/>
      </w:tblPr>
      <w:tblGrid>
        <w:gridCol w:w="1380"/>
        <w:gridCol w:w="1106"/>
        <w:gridCol w:w="1654"/>
        <w:gridCol w:w="1042"/>
        <w:gridCol w:w="1558"/>
        <w:gridCol w:w="1082"/>
        <w:gridCol w:w="1618"/>
      </w:tblGrid>
      <w:tr w:rsidR="00595881" w:rsidRPr="00595881" w14:paraId="27574C82" w14:textId="77777777" w:rsidTr="00595881">
        <w:trPr>
          <w:trHeight w:val="240"/>
        </w:trPr>
        <w:tc>
          <w:tcPr>
            <w:tcW w:w="1380" w:type="dxa"/>
            <w:vMerge w:val="restart"/>
            <w:tcBorders>
              <w:top w:val="single" w:sz="4" w:space="0" w:color="auto"/>
              <w:left w:val="nil"/>
              <w:bottom w:val="single" w:sz="4" w:space="0" w:color="000000"/>
              <w:right w:val="nil"/>
            </w:tcBorders>
            <w:shd w:val="clear" w:color="auto" w:fill="auto"/>
            <w:hideMark/>
          </w:tcPr>
          <w:p w14:paraId="1EEEFF6E" w14:textId="77777777" w:rsidR="00595881" w:rsidRPr="00595881" w:rsidRDefault="00595881" w:rsidP="00595881">
            <w:pPr>
              <w:rPr>
                <w:rFonts w:ascii="Arial Narrow" w:hAnsi="Arial Narrow" w:cs="Arial"/>
                <w:sz w:val="22"/>
                <w:szCs w:val="22"/>
              </w:rPr>
            </w:pPr>
            <w:r w:rsidRPr="00595881">
              <w:rPr>
                <w:rFonts w:ascii="Arial Narrow" w:hAnsi="Arial Narrow" w:cs="Arial"/>
                <w:sz w:val="22"/>
                <w:szCs w:val="22"/>
              </w:rPr>
              <w:t>Expenditure quintile</w:t>
            </w:r>
          </w:p>
        </w:tc>
        <w:tc>
          <w:tcPr>
            <w:tcW w:w="2760" w:type="dxa"/>
            <w:gridSpan w:val="2"/>
            <w:tcBorders>
              <w:top w:val="single" w:sz="4" w:space="0" w:color="auto"/>
              <w:left w:val="nil"/>
              <w:bottom w:val="single" w:sz="4" w:space="0" w:color="auto"/>
              <w:right w:val="single" w:sz="4" w:space="0" w:color="auto"/>
            </w:tcBorders>
            <w:shd w:val="clear" w:color="auto" w:fill="auto"/>
            <w:noWrap/>
            <w:vAlign w:val="bottom"/>
            <w:hideMark/>
          </w:tcPr>
          <w:p w14:paraId="51C9E5EB" w14:textId="77777777" w:rsidR="00595881" w:rsidRPr="009A68A8" w:rsidRDefault="00595881" w:rsidP="00595881">
            <w:pPr>
              <w:jc w:val="center"/>
              <w:rPr>
                <w:rFonts w:ascii="Arial Narrow" w:hAnsi="Arial Narrow" w:cs="Arial"/>
                <w:b/>
                <w:sz w:val="22"/>
                <w:szCs w:val="22"/>
              </w:rPr>
            </w:pPr>
            <w:r w:rsidRPr="009A68A8">
              <w:rPr>
                <w:rFonts w:ascii="Arial Narrow" w:hAnsi="Arial Narrow" w:cs="Arial"/>
                <w:b/>
                <w:sz w:val="22"/>
                <w:szCs w:val="22"/>
              </w:rPr>
              <w:t>2010</w:t>
            </w:r>
          </w:p>
        </w:tc>
        <w:tc>
          <w:tcPr>
            <w:tcW w:w="26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8642BC" w14:textId="77777777" w:rsidR="00595881" w:rsidRPr="009A68A8" w:rsidRDefault="00595881" w:rsidP="00595881">
            <w:pPr>
              <w:jc w:val="center"/>
              <w:rPr>
                <w:rFonts w:ascii="Arial Narrow" w:hAnsi="Arial Narrow" w:cs="Arial"/>
                <w:b/>
                <w:sz w:val="22"/>
                <w:szCs w:val="22"/>
              </w:rPr>
            </w:pPr>
            <w:r w:rsidRPr="009A68A8">
              <w:rPr>
                <w:rFonts w:ascii="Arial Narrow" w:hAnsi="Arial Narrow" w:cs="Arial"/>
                <w:b/>
                <w:sz w:val="22"/>
                <w:szCs w:val="22"/>
              </w:rPr>
              <w:t>2011</w:t>
            </w:r>
          </w:p>
        </w:tc>
        <w:tc>
          <w:tcPr>
            <w:tcW w:w="2700" w:type="dxa"/>
            <w:gridSpan w:val="2"/>
            <w:tcBorders>
              <w:top w:val="single" w:sz="4" w:space="0" w:color="auto"/>
              <w:left w:val="single" w:sz="4" w:space="0" w:color="auto"/>
              <w:bottom w:val="single" w:sz="4" w:space="0" w:color="auto"/>
              <w:right w:val="nil"/>
            </w:tcBorders>
            <w:shd w:val="clear" w:color="auto" w:fill="auto"/>
            <w:noWrap/>
            <w:vAlign w:val="bottom"/>
            <w:hideMark/>
          </w:tcPr>
          <w:p w14:paraId="3EBB0262" w14:textId="77777777" w:rsidR="00595881" w:rsidRPr="009A68A8" w:rsidRDefault="00595881" w:rsidP="00595881">
            <w:pPr>
              <w:jc w:val="center"/>
              <w:rPr>
                <w:rFonts w:ascii="Arial Narrow" w:hAnsi="Arial Narrow" w:cs="Arial"/>
                <w:b/>
                <w:sz w:val="22"/>
                <w:szCs w:val="22"/>
              </w:rPr>
            </w:pPr>
            <w:r w:rsidRPr="009A68A8">
              <w:rPr>
                <w:rFonts w:ascii="Arial Narrow" w:hAnsi="Arial Narrow" w:cs="Arial"/>
                <w:b/>
                <w:sz w:val="22"/>
                <w:szCs w:val="22"/>
              </w:rPr>
              <w:t>2012</w:t>
            </w:r>
          </w:p>
        </w:tc>
      </w:tr>
      <w:tr w:rsidR="00595881" w:rsidRPr="00595881" w14:paraId="72052406" w14:textId="77777777" w:rsidTr="00595881">
        <w:trPr>
          <w:trHeight w:val="240"/>
        </w:trPr>
        <w:tc>
          <w:tcPr>
            <w:tcW w:w="1380" w:type="dxa"/>
            <w:vMerge/>
            <w:tcBorders>
              <w:top w:val="single" w:sz="4" w:space="0" w:color="auto"/>
              <w:left w:val="nil"/>
              <w:bottom w:val="single" w:sz="4" w:space="0" w:color="000000"/>
              <w:right w:val="nil"/>
            </w:tcBorders>
            <w:vAlign w:val="center"/>
            <w:hideMark/>
          </w:tcPr>
          <w:p w14:paraId="5B1EE813" w14:textId="77777777" w:rsidR="00595881" w:rsidRPr="00595881" w:rsidRDefault="00595881" w:rsidP="00595881">
            <w:pPr>
              <w:rPr>
                <w:rFonts w:ascii="Arial Narrow" w:hAnsi="Arial Narrow" w:cs="Arial"/>
                <w:sz w:val="22"/>
                <w:szCs w:val="22"/>
              </w:rPr>
            </w:pPr>
          </w:p>
        </w:tc>
        <w:tc>
          <w:tcPr>
            <w:tcW w:w="1106" w:type="dxa"/>
            <w:tcBorders>
              <w:top w:val="single" w:sz="4" w:space="0" w:color="auto"/>
              <w:left w:val="nil"/>
              <w:bottom w:val="single" w:sz="4" w:space="0" w:color="auto"/>
              <w:right w:val="nil"/>
            </w:tcBorders>
            <w:shd w:val="clear" w:color="auto" w:fill="auto"/>
            <w:noWrap/>
            <w:vAlign w:val="bottom"/>
            <w:hideMark/>
          </w:tcPr>
          <w:p w14:paraId="4BB9FA5E" w14:textId="77777777" w:rsidR="00595881" w:rsidRPr="00595881" w:rsidRDefault="00595881" w:rsidP="00595881">
            <w:pPr>
              <w:rPr>
                <w:rFonts w:ascii="Arial Narrow" w:hAnsi="Arial Narrow" w:cs="Arial"/>
                <w:sz w:val="22"/>
                <w:szCs w:val="22"/>
              </w:rPr>
            </w:pPr>
            <w:r w:rsidRPr="00595881">
              <w:rPr>
                <w:rFonts w:ascii="Arial Narrow" w:hAnsi="Arial Narrow" w:cs="Arial"/>
                <w:sz w:val="22"/>
                <w:szCs w:val="22"/>
              </w:rPr>
              <w:t>Medicine</w:t>
            </w:r>
          </w:p>
        </w:tc>
        <w:tc>
          <w:tcPr>
            <w:tcW w:w="1654" w:type="dxa"/>
            <w:tcBorders>
              <w:top w:val="single" w:sz="4" w:space="0" w:color="auto"/>
              <w:left w:val="nil"/>
              <w:bottom w:val="single" w:sz="4" w:space="0" w:color="auto"/>
              <w:right w:val="single" w:sz="4" w:space="0" w:color="auto"/>
            </w:tcBorders>
            <w:shd w:val="clear" w:color="auto" w:fill="auto"/>
            <w:noWrap/>
            <w:vAlign w:val="bottom"/>
            <w:hideMark/>
          </w:tcPr>
          <w:p w14:paraId="38C6BD58" w14:textId="77777777" w:rsidR="00595881" w:rsidRPr="00595881" w:rsidRDefault="00595881" w:rsidP="00595881">
            <w:pPr>
              <w:rPr>
                <w:rFonts w:ascii="Arial Narrow" w:hAnsi="Arial Narrow" w:cs="Arial"/>
                <w:sz w:val="22"/>
                <w:szCs w:val="22"/>
              </w:rPr>
            </w:pPr>
            <w:r w:rsidRPr="00595881">
              <w:rPr>
                <w:rFonts w:ascii="Arial Narrow" w:hAnsi="Arial Narrow" w:cs="Arial"/>
                <w:sz w:val="22"/>
                <w:szCs w:val="22"/>
              </w:rPr>
              <w:t>Inpatient care</w:t>
            </w:r>
          </w:p>
        </w:tc>
        <w:tc>
          <w:tcPr>
            <w:tcW w:w="1042" w:type="dxa"/>
            <w:tcBorders>
              <w:top w:val="nil"/>
              <w:left w:val="single" w:sz="4" w:space="0" w:color="auto"/>
              <w:bottom w:val="single" w:sz="4" w:space="0" w:color="auto"/>
              <w:right w:val="nil"/>
            </w:tcBorders>
            <w:shd w:val="clear" w:color="auto" w:fill="auto"/>
            <w:noWrap/>
            <w:vAlign w:val="bottom"/>
            <w:hideMark/>
          </w:tcPr>
          <w:p w14:paraId="3B5AA09A" w14:textId="77777777" w:rsidR="00595881" w:rsidRPr="00595881" w:rsidRDefault="00595881" w:rsidP="00595881">
            <w:pPr>
              <w:rPr>
                <w:rFonts w:ascii="Arial Narrow" w:hAnsi="Arial Narrow" w:cs="Arial"/>
                <w:sz w:val="22"/>
                <w:szCs w:val="22"/>
              </w:rPr>
            </w:pPr>
            <w:r w:rsidRPr="00595881">
              <w:rPr>
                <w:rFonts w:ascii="Arial Narrow" w:hAnsi="Arial Narrow" w:cs="Arial"/>
                <w:sz w:val="22"/>
                <w:szCs w:val="22"/>
              </w:rPr>
              <w:t>Medicine</w:t>
            </w:r>
          </w:p>
        </w:tc>
        <w:tc>
          <w:tcPr>
            <w:tcW w:w="1558" w:type="dxa"/>
            <w:tcBorders>
              <w:top w:val="nil"/>
              <w:left w:val="nil"/>
              <w:bottom w:val="single" w:sz="4" w:space="0" w:color="auto"/>
              <w:right w:val="single" w:sz="4" w:space="0" w:color="auto"/>
            </w:tcBorders>
            <w:shd w:val="clear" w:color="auto" w:fill="auto"/>
            <w:noWrap/>
            <w:vAlign w:val="bottom"/>
            <w:hideMark/>
          </w:tcPr>
          <w:p w14:paraId="1ED0004D" w14:textId="77777777" w:rsidR="00595881" w:rsidRPr="00595881" w:rsidRDefault="00595881" w:rsidP="00595881">
            <w:pPr>
              <w:rPr>
                <w:rFonts w:ascii="Arial Narrow" w:hAnsi="Arial Narrow" w:cs="Arial"/>
                <w:sz w:val="22"/>
                <w:szCs w:val="22"/>
              </w:rPr>
            </w:pPr>
            <w:r w:rsidRPr="00595881">
              <w:rPr>
                <w:rFonts w:ascii="Arial Narrow" w:hAnsi="Arial Narrow" w:cs="Arial"/>
                <w:sz w:val="22"/>
                <w:szCs w:val="22"/>
              </w:rPr>
              <w:t>Inpatient care</w:t>
            </w:r>
          </w:p>
        </w:tc>
        <w:tc>
          <w:tcPr>
            <w:tcW w:w="1082" w:type="dxa"/>
            <w:tcBorders>
              <w:top w:val="nil"/>
              <w:left w:val="single" w:sz="4" w:space="0" w:color="auto"/>
              <w:bottom w:val="single" w:sz="4" w:space="0" w:color="auto"/>
              <w:right w:val="nil"/>
            </w:tcBorders>
            <w:shd w:val="clear" w:color="auto" w:fill="auto"/>
            <w:noWrap/>
            <w:vAlign w:val="bottom"/>
            <w:hideMark/>
          </w:tcPr>
          <w:p w14:paraId="2CA840F9" w14:textId="77777777" w:rsidR="00595881" w:rsidRPr="00595881" w:rsidRDefault="00595881" w:rsidP="00595881">
            <w:pPr>
              <w:rPr>
                <w:rFonts w:ascii="Arial Narrow" w:hAnsi="Arial Narrow" w:cs="Arial"/>
                <w:sz w:val="22"/>
                <w:szCs w:val="22"/>
              </w:rPr>
            </w:pPr>
            <w:r w:rsidRPr="00595881">
              <w:rPr>
                <w:rFonts w:ascii="Arial Narrow" w:hAnsi="Arial Narrow" w:cs="Arial"/>
                <w:sz w:val="22"/>
                <w:szCs w:val="22"/>
              </w:rPr>
              <w:t>Medicine</w:t>
            </w:r>
          </w:p>
        </w:tc>
        <w:tc>
          <w:tcPr>
            <w:tcW w:w="1618" w:type="dxa"/>
            <w:tcBorders>
              <w:top w:val="nil"/>
              <w:left w:val="nil"/>
              <w:bottom w:val="single" w:sz="4" w:space="0" w:color="auto"/>
              <w:right w:val="nil"/>
            </w:tcBorders>
            <w:shd w:val="clear" w:color="auto" w:fill="auto"/>
            <w:noWrap/>
            <w:vAlign w:val="bottom"/>
            <w:hideMark/>
          </w:tcPr>
          <w:p w14:paraId="4DD1505F" w14:textId="77777777" w:rsidR="00595881" w:rsidRPr="00595881" w:rsidRDefault="00595881" w:rsidP="00595881">
            <w:pPr>
              <w:rPr>
                <w:rFonts w:ascii="Arial Narrow" w:hAnsi="Arial Narrow" w:cs="Arial"/>
                <w:sz w:val="22"/>
                <w:szCs w:val="22"/>
              </w:rPr>
            </w:pPr>
            <w:r w:rsidRPr="00595881">
              <w:rPr>
                <w:rFonts w:ascii="Arial Narrow" w:hAnsi="Arial Narrow" w:cs="Arial"/>
                <w:sz w:val="22"/>
                <w:szCs w:val="22"/>
              </w:rPr>
              <w:t>Inpatient care</w:t>
            </w:r>
          </w:p>
        </w:tc>
      </w:tr>
      <w:tr w:rsidR="00595881" w:rsidRPr="00595881" w14:paraId="3EC2BF73" w14:textId="77777777" w:rsidTr="00595881">
        <w:trPr>
          <w:trHeight w:val="240"/>
        </w:trPr>
        <w:tc>
          <w:tcPr>
            <w:tcW w:w="1380" w:type="dxa"/>
            <w:tcBorders>
              <w:top w:val="nil"/>
              <w:left w:val="nil"/>
              <w:bottom w:val="nil"/>
              <w:right w:val="nil"/>
            </w:tcBorders>
            <w:shd w:val="clear" w:color="auto" w:fill="auto"/>
            <w:noWrap/>
            <w:vAlign w:val="bottom"/>
            <w:hideMark/>
          </w:tcPr>
          <w:p w14:paraId="4A440060"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1</w:t>
            </w:r>
          </w:p>
        </w:tc>
        <w:tc>
          <w:tcPr>
            <w:tcW w:w="1106" w:type="dxa"/>
            <w:tcBorders>
              <w:top w:val="nil"/>
              <w:left w:val="nil"/>
              <w:bottom w:val="nil"/>
              <w:right w:val="nil"/>
            </w:tcBorders>
            <w:shd w:val="clear" w:color="auto" w:fill="auto"/>
            <w:noWrap/>
            <w:vAlign w:val="bottom"/>
            <w:hideMark/>
          </w:tcPr>
          <w:p w14:paraId="2DCF4901"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3.35%</w:t>
            </w:r>
          </w:p>
        </w:tc>
        <w:tc>
          <w:tcPr>
            <w:tcW w:w="1654" w:type="dxa"/>
            <w:tcBorders>
              <w:top w:val="nil"/>
              <w:left w:val="nil"/>
              <w:bottom w:val="nil"/>
              <w:right w:val="single" w:sz="4" w:space="0" w:color="auto"/>
            </w:tcBorders>
            <w:shd w:val="clear" w:color="auto" w:fill="auto"/>
            <w:noWrap/>
            <w:vAlign w:val="bottom"/>
            <w:hideMark/>
          </w:tcPr>
          <w:p w14:paraId="043074F2"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0.63%</w:t>
            </w:r>
          </w:p>
        </w:tc>
        <w:tc>
          <w:tcPr>
            <w:tcW w:w="1042" w:type="dxa"/>
            <w:tcBorders>
              <w:top w:val="nil"/>
              <w:left w:val="single" w:sz="4" w:space="0" w:color="auto"/>
              <w:bottom w:val="nil"/>
              <w:right w:val="nil"/>
            </w:tcBorders>
            <w:shd w:val="clear" w:color="auto" w:fill="auto"/>
            <w:noWrap/>
            <w:vAlign w:val="bottom"/>
            <w:hideMark/>
          </w:tcPr>
          <w:p w14:paraId="520329A0"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2.95%</w:t>
            </w:r>
          </w:p>
        </w:tc>
        <w:tc>
          <w:tcPr>
            <w:tcW w:w="1558" w:type="dxa"/>
            <w:tcBorders>
              <w:top w:val="nil"/>
              <w:left w:val="nil"/>
              <w:bottom w:val="nil"/>
              <w:right w:val="single" w:sz="4" w:space="0" w:color="auto"/>
            </w:tcBorders>
            <w:shd w:val="clear" w:color="auto" w:fill="auto"/>
            <w:noWrap/>
            <w:vAlign w:val="bottom"/>
            <w:hideMark/>
          </w:tcPr>
          <w:p w14:paraId="5E60C46D"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1.0%</w:t>
            </w:r>
          </w:p>
        </w:tc>
        <w:tc>
          <w:tcPr>
            <w:tcW w:w="1082" w:type="dxa"/>
            <w:tcBorders>
              <w:top w:val="nil"/>
              <w:left w:val="single" w:sz="4" w:space="0" w:color="auto"/>
              <w:bottom w:val="nil"/>
              <w:right w:val="nil"/>
            </w:tcBorders>
            <w:shd w:val="clear" w:color="auto" w:fill="auto"/>
            <w:noWrap/>
            <w:vAlign w:val="bottom"/>
            <w:hideMark/>
          </w:tcPr>
          <w:p w14:paraId="415C799E"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2.1%</w:t>
            </w:r>
          </w:p>
        </w:tc>
        <w:tc>
          <w:tcPr>
            <w:tcW w:w="1618" w:type="dxa"/>
            <w:tcBorders>
              <w:top w:val="nil"/>
              <w:left w:val="nil"/>
              <w:bottom w:val="nil"/>
              <w:right w:val="nil"/>
            </w:tcBorders>
            <w:shd w:val="clear" w:color="auto" w:fill="auto"/>
            <w:noWrap/>
            <w:vAlign w:val="bottom"/>
            <w:hideMark/>
          </w:tcPr>
          <w:p w14:paraId="13B26B15"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0.4%</w:t>
            </w:r>
          </w:p>
        </w:tc>
      </w:tr>
      <w:tr w:rsidR="00595881" w:rsidRPr="00595881" w14:paraId="5C584C88" w14:textId="77777777" w:rsidTr="00595881">
        <w:trPr>
          <w:trHeight w:val="240"/>
        </w:trPr>
        <w:tc>
          <w:tcPr>
            <w:tcW w:w="1380" w:type="dxa"/>
            <w:tcBorders>
              <w:top w:val="nil"/>
              <w:left w:val="nil"/>
              <w:bottom w:val="nil"/>
              <w:right w:val="nil"/>
            </w:tcBorders>
            <w:shd w:val="clear" w:color="auto" w:fill="auto"/>
            <w:noWrap/>
            <w:vAlign w:val="bottom"/>
            <w:hideMark/>
          </w:tcPr>
          <w:p w14:paraId="503768CE"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2</w:t>
            </w:r>
          </w:p>
        </w:tc>
        <w:tc>
          <w:tcPr>
            <w:tcW w:w="1106" w:type="dxa"/>
            <w:tcBorders>
              <w:top w:val="nil"/>
              <w:left w:val="nil"/>
              <w:bottom w:val="nil"/>
              <w:right w:val="nil"/>
            </w:tcBorders>
            <w:shd w:val="clear" w:color="auto" w:fill="auto"/>
            <w:noWrap/>
            <w:vAlign w:val="bottom"/>
            <w:hideMark/>
          </w:tcPr>
          <w:p w14:paraId="78BC925B"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0.17%</w:t>
            </w:r>
          </w:p>
        </w:tc>
        <w:tc>
          <w:tcPr>
            <w:tcW w:w="1654" w:type="dxa"/>
            <w:tcBorders>
              <w:top w:val="nil"/>
              <w:left w:val="nil"/>
              <w:bottom w:val="nil"/>
              <w:right w:val="single" w:sz="4" w:space="0" w:color="auto"/>
            </w:tcBorders>
            <w:shd w:val="clear" w:color="auto" w:fill="auto"/>
            <w:noWrap/>
            <w:vAlign w:val="bottom"/>
            <w:hideMark/>
          </w:tcPr>
          <w:p w14:paraId="75479FFF"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0.04%</w:t>
            </w:r>
          </w:p>
        </w:tc>
        <w:tc>
          <w:tcPr>
            <w:tcW w:w="1042" w:type="dxa"/>
            <w:tcBorders>
              <w:top w:val="nil"/>
              <w:left w:val="single" w:sz="4" w:space="0" w:color="auto"/>
              <w:bottom w:val="nil"/>
              <w:right w:val="nil"/>
            </w:tcBorders>
            <w:shd w:val="clear" w:color="auto" w:fill="auto"/>
            <w:noWrap/>
            <w:vAlign w:val="bottom"/>
            <w:hideMark/>
          </w:tcPr>
          <w:p w14:paraId="57D1EC0D"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0.3%</w:t>
            </w:r>
          </w:p>
        </w:tc>
        <w:tc>
          <w:tcPr>
            <w:tcW w:w="1558" w:type="dxa"/>
            <w:tcBorders>
              <w:top w:val="nil"/>
              <w:left w:val="nil"/>
              <w:bottom w:val="nil"/>
              <w:right w:val="single" w:sz="4" w:space="0" w:color="auto"/>
            </w:tcBorders>
            <w:shd w:val="clear" w:color="auto" w:fill="auto"/>
            <w:noWrap/>
            <w:vAlign w:val="bottom"/>
            <w:hideMark/>
          </w:tcPr>
          <w:p w14:paraId="2B5996A6"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0.2%</w:t>
            </w:r>
          </w:p>
        </w:tc>
        <w:tc>
          <w:tcPr>
            <w:tcW w:w="1082" w:type="dxa"/>
            <w:tcBorders>
              <w:top w:val="nil"/>
              <w:left w:val="single" w:sz="4" w:space="0" w:color="auto"/>
              <w:bottom w:val="nil"/>
              <w:right w:val="nil"/>
            </w:tcBorders>
            <w:shd w:val="clear" w:color="auto" w:fill="auto"/>
            <w:noWrap/>
            <w:vAlign w:val="bottom"/>
            <w:hideMark/>
          </w:tcPr>
          <w:p w14:paraId="26F535AC"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0.1%</w:t>
            </w:r>
          </w:p>
        </w:tc>
        <w:tc>
          <w:tcPr>
            <w:tcW w:w="1618" w:type="dxa"/>
            <w:tcBorders>
              <w:top w:val="nil"/>
              <w:left w:val="nil"/>
              <w:bottom w:val="nil"/>
              <w:right w:val="nil"/>
            </w:tcBorders>
            <w:shd w:val="clear" w:color="auto" w:fill="auto"/>
            <w:noWrap/>
            <w:vAlign w:val="bottom"/>
            <w:hideMark/>
          </w:tcPr>
          <w:p w14:paraId="2818D962" w14:textId="6914B172" w:rsidR="00595881" w:rsidRPr="00595881" w:rsidRDefault="00595881" w:rsidP="00595881">
            <w:pPr>
              <w:jc w:val="center"/>
              <w:rPr>
                <w:rFonts w:ascii="Arial Narrow" w:hAnsi="Arial Narrow" w:cs="Arial"/>
                <w:sz w:val="22"/>
                <w:szCs w:val="22"/>
              </w:rPr>
            </w:pPr>
            <w:r>
              <w:rPr>
                <w:rFonts w:ascii="Arial Narrow" w:hAnsi="Arial Narrow" w:cs="Arial"/>
                <w:sz w:val="22"/>
                <w:szCs w:val="22"/>
              </w:rPr>
              <w:t>-</w:t>
            </w:r>
          </w:p>
        </w:tc>
      </w:tr>
      <w:tr w:rsidR="00595881" w:rsidRPr="00595881" w14:paraId="589533F5" w14:textId="77777777" w:rsidTr="00595881">
        <w:trPr>
          <w:trHeight w:val="240"/>
        </w:trPr>
        <w:tc>
          <w:tcPr>
            <w:tcW w:w="1380" w:type="dxa"/>
            <w:tcBorders>
              <w:top w:val="nil"/>
              <w:left w:val="nil"/>
              <w:bottom w:val="nil"/>
              <w:right w:val="nil"/>
            </w:tcBorders>
            <w:shd w:val="clear" w:color="auto" w:fill="auto"/>
            <w:noWrap/>
            <w:vAlign w:val="bottom"/>
            <w:hideMark/>
          </w:tcPr>
          <w:p w14:paraId="427CE5A2"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3</w:t>
            </w:r>
          </w:p>
        </w:tc>
        <w:tc>
          <w:tcPr>
            <w:tcW w:w="1106" w:type="dxa"/>
            <w:tcBorders>
              <w:top w:val="nil"/>
              <w:left w:val="nil"/>
              <w:bottom w:val="nil"/>
              <w:right w:val="nil"/>
            </w:tcBorders>
            <w:shd w:val="clear" w:color="auto" w:fill="auto"/>
            <w:noWrap/>
            <w:vAlign w:val="bottom"/>
            <w:hideMark/>
          </w:tcPr>
          <w:p w14:paraId="4C8244BA"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0.09%</w:t>
            </w:r>
          </w:p>
        </w:tc>
        <w:tc>
          <w:tcPr>
            <w:tcW w:w="1654" w:type="dxa"/>
            <w:tcBorders>
              <w:top w:val="nil"/>
              <w:left w:val="nil"/>
              <w:bottom w:val="nil"/>
              <w:right w:val="single" w:sz="4" w:space="0" w:color="auto"/>
            </w:tcBorders>
            <w:shd w:val="clear" w:color="auto" w:fill="auto"/>
            <w:noWrap/>
            <w:vAlign w:val="bottom"/>
            <w:hideMark/>
          </w:tcPr>
          <w:p w14:paraId="3C937B59"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0.05%</w:t>
            </w:r>
          </w:p>
        </w:tc>
        <w:tc>
          <w:tcPr>
            <w:tcW w:w="1042" w:type="dxa"/>
            <w:tcBorders>
              <w:top w:val="nil"/>
              <w:left w:val="single" w:sz="4" w:space="0" w:color="auto"/>
              <w:bottom w:val="nil"/>
              <w:right w:val="nil"/>
            </w:tcBorders>
            <w:shd w:val="clear" w:color="auto" w:fill="auto"/>
            <w:noWrap/>
            <w:vAlign w:val="bottom"/>
            <w:hideMark/>
          </w:tcPr>
          <w:p w14:paraId="00EFCEC4"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0.05%</w:t>
            </w:r>
          </w:p>
        </w:tc>
        <w:tc>
          <w:tcPr>
            <w:tcW w:w="1558" w:type="dxa"/>
            <w:tcBorders>
              <w:top w:val="nil"/>
              <w:left w:val="nil"/>
              <w:bottom w:val="nil"/>
              <w:right w:val="single" w:sz="4" w:space="0" w:color="auto"/>
            </w:tcBorders>
            <w:shd w:val="clear" w:color="auto" w:fill="auto"/>
            <w:noWrap/>
            <w:vAlign w:val="bottom"/>
            <w:hideMark/>
          </w:tcPr>
          <w:p w14:paraId="0ADBE8FB"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0.05%</w:t>
            </w:r>
          </w:p>
        </w:tc>
        <w:tc>
          <w:tcPr>
            <w:tcW w:w="1082" w:type="dxa"/>
            <w:tcBorders>
              <w:top w:val="nil"/>
              <w:left w:val="single" w:sz="4" w:space="0" w:color="auto"/>
              <w:bottom w:val="nil"/>
              <w:right w:val="nil"/>
            </w:tcBorders>
            <w:shd w:val="clear" w:color="auto" w:fill="auto"/>
            <w:noWrap/>
            <w:vAlign w:val="bottom"/>
            <w:hideMark/>
          </w:tcPr>
          <w:p w14:paraId="3185AC5E" w14:textId="30757782" w:rsidR="00595881" w:rsidRPr="00595881" w:rsidRDefault="00595881" w:rsidP="00595881">
            <w:pPr>
              <w:jc w:val="center"/>
              <w:rPr>
                <w:rFonts w:ascii="Arial Narrow" w:hAnsi="Arial Narrow" w:cs="Arial"/>
                <w:sz w:val="22"/>
                <w:szCs w:val="22"/>
              </w:rPr>
            </w:pPr>
            <w:r>
              <w:rPr>
                <w:rFonts w:ascii="Arial Narrow" w:hAnsi="Arial Narrow" w:cs="Arial"/>
                <w:sz w:val="22"/>
                <w:szCs w:val="22"/>
              </w:rPr>
              <w:t>-</w:t>
            </w:r>
          </w:p>
        </w:tc>
        <w:tc>
          <w:tcPr>
            <w:tcW w:w="1618" w:type="dxa"/>
            <w:tcBorders>
              <w:top w:val="nil"/>
              <w:left w:val="nil"/>
              <w:bottom w:val="nil"/>
              <w:right w:val="nil"/>
            </w:tcBorders>
            <w:shd w:val="clear" w:color="auto" w:fill="auto"/>
            <w:noWrap/>
            <w:vAlign w:val="bottom"/>
            <w:hideMark/>
          </w:tcPr>
          <w:p w14:paraId="7032668D" w14:textId="59E85E6B" w:rsidR="00595881" w:rsidRPr="00595881" w:rsidRDefault="00595881" w:rsidP="00595881">
            <w:pPr>
              <w:jc w:val="center"/>
              <w:rPr>
                <w:rFonts w:ascii="Arial Narrow" w:hAnsi="Arial Narrow" w:cs="Arial"/>
                <w:sz w:val="22"/>
                <w:szCs w:val="22"/>
              </w:rPr>
            </w:pPr>
            <w:r>
              <w:rPr>
                <w:rFonts w:ascii="Arial Narrow" w:hAnsi="Arial Narrow" w:cs="Arial"/>
                <w:sz w:val="22"/>
                <w:szCs w:val="22"/>
              </w:rPr>
              <w:t>-</w:t>
            </w:r>
          </w:p>
        </w:tc>
      </w:tr>
      <w:tr w:rsidR="00595881" w:rsidRPr="00595881" w14:paraId="5B42B534" w14:textId="77777777" w:rsidTr="00595881">
        <w:trPr>
          <w:trHeight w:val="240"/>
        </w:trPr>
        <w:tc>
          <w:tcPr>
            <w:tcW w:w="1380" w:type="dxa"/>
            <w:tcBorders>
              <w:top w:val="nil"/>
              <w:left w:val="nil"/>
              <w:bottom w:val="nil"/>
              <w:right w:val="nil"/>
            </w:tcBorders>
            <w:shd w:val="clear" w:color="auto" w:fill="auto"/>
            <w:noWrap/>
            <w:vAlign w:val="bottom"/>
            <w:hideMark/>
          </w:tcPr>
          <w:p w14:paraId="6EF7227B"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4</w:t>
            </w:r>
          </w:p>
        </w:tc>
        <w:tc>
          <w:tcPr>
            <w:tcW w:w="1106" w:type="dxa"/>
            <w:tcBorders>
              <w:top w:val="nil"/>
              <w:left w:val="nil"/>
              <w:bottom w:val="nil"/>
              <w:right w:val="nil"/>
            </w:tcBorders>
            <w:shd w:val="clear" w:color="auto" w:fill="auto"/>
            <w:noWrap/>
            <w:vAlign w:val="bottom"/>
            <w:hideMark/>
          </w:tcPr>
          <w:p w14:paraId="19F2B8C7" w14:textId="497A4CE6" w:rsidR="00595881" w:rsidRPr="00595881" w:rsidRDefault="00595881" w:rsidP="00595881">
            <w:pPr>
              <w:jc w:val="center"/>
              <w:rPr>
                <w:rFonts w:ascii="Arial Narrow" w:hAnsi="Arial Narrow" w:cs="Arial"/>
                <w:sz w:val="22"/>
                <w:szCs w:val="22"/>
              </w:rPr>
            </w:pPr>
            <w:r>
              <w:rPr>
                <w:rFonts w:ascii="Arial Narrow" w:hAnsi="Arial Narrow" w:cs="Arial"/>
                <w:sz w:val="22"/>
                <w:szCs w:val="22"/>
              </w:rPr>
              <w:t>-</w:t>
            </w:r>
          </w:p>
        </w:tc>
        <w:tc>
          <w:tcPr>
            <w:tcW w:w="1654" w:type="dxa"/>
            <w:tcBorders>
              <w:top w:val="nil"/>
              <w:left w:val="nil"/>
              <w:bottom w:val="nil"/>
              <w:right w:val="single" w:sz="4" w:space="0" w:color="auto"/>
            </w:tcBorders>
            <w:shd w:val="clear" w:color="auto" w:fill="auto"/>
            <w:noWrap/>
            <w:vAlign w:val="bottom"/>
            <w:hideMark/>
          </w:tcPr>
          <w:p w14:paraId="0FA779F2" w14:textId="310986A4" w:rsidR="00595881" w:rsidRPr="00595881" w:rsidRDefault="00595881" w:rsidP="00595881">
            <w:pPr>
              <w:jc w:val="center"/>
              <w:rPr>
                <w:rFonts w:ascii="Arial Narrow" w:hAnsi="Arial Narrow" w:cs="Arial"/>
                <w:sz w:val="22"/>
                <w:szCs w:val="22"/>
              </w:rPr>
            </w:pPr>
            <w:r>
              <w:rPr>
                <w:rFonts w:ascii="Arial Narrow" w:hAnsi="Arial Narrow" w:cs="Arial"/>
                <w:sz w:val="22"/>
                <w:szCs w:val="22"/>
              </w:rPr>
              <w:t>-</w:t>
            </w:r>
          </w:p>
        </w:tc>
        <w:tc>
          <w:tcPr>
            <w:tcW w:w="1042" w:type="dxa"/>
            <w:tcBorders>
              <w:top w:val="nil"/>
              <w:left w:val="single" w:sz="4" w:space="0" w:color="auto"/>
              <w:bottom w:val="nil"/>
              <w:right w:val="nil"/>
            </w:tcBorders>
            <w:shd w:val="clear" w:color="auto" w:fill="auto"/>
            <w:noWrap/>
            <w:vAlign w:val="bottom"/>
            <w:hideMark/>
          </w:tcPr>
          <w:p w14:paraId="26FDEF9D" w14:textId="04E1D0DD" w:rsidR="00595881" w:rsidRPr="00595881" w:rsidRDefault="00595881" w:rsidP="00595881">
            <w:pPr>
              <w:jc w:val="center"/>
              <w:rPr>
                <w:rFonts w:ascii="Arial Narrow" w:hAnsi="Arial Narrow" w:cs="Arial"/>
                <w:sz w:val="22"/>
                <w:szCs w:val="22"/>
              </w:rPr>
            </w:pPr>
            <w:r>
              <w:rPr>
                <w:rFonts w:ascii="Arial Narrow" w:hAnsi="Arial Narrow" w:cs="Arial"/>
                <w:sz w:val="22"/>
                <w:szCs w:val="22"/>
              </w:rPr>
              <w:t>-</w:t>
            </w:r>
          </w:p>
        </w:tc>
        <w:tc>
          <w:tcPr>
            <w:tcW w:w="1558" w:type="dxa"/>
            <w:tcBorders>
              <w:top w:val="nil"/>
              <w:left w:val="nil"/>
              <w:bottom w:val="nil"/>
              <w:right w:val="single" w:sz="4" w:space="0" w:color="auto"/>
            </w:tcBorders>
            <w:shd w:val="clear" w:color="auto" w:fill="auto"/>
            <w:noWrap/>
            <w:vAlign w:val="bottom"/>
            <w:hideMark/>
          </w:tcPr>
          <w:p w14:paraId="76DE2470" w14:textId="01A61F0E" w:rsidR="00595881" w:rsidRPr="00595881" w:rsidRDefault="00595881" w:rsidP="00595881">
            <w:pPr>
              <w:jc w:val="center"/>
              <w:rPr>
                <w:rFonts w:ascii="Arial Narrow" w:hAnsi="Arial Narrow" w:cs="Arial"/>
                <w:sz w:val="22"/>
                <w:szCs w:val="22"/>
              </w:rPr>
            </w:pPr>
            <w:r>
              <w:rPr>
                <w:rFonts w:ascii="Arial Narrow" w:hAnsi="Arial Narrow" w:cs="Arial"/>
                <w:sz w:val="22"/>
                <w:szCs w:val="22"/>
              </w:rPr>
              <w:t>-</w:t>
            </w:r>
          </w:p>
        </w:tc>
        <w:tc>
          <w:tcPr>
            <w:tcW w:w="1082" w:type="dxa"/>
            <w:tcBorders>
              <w:top w:val="nil"/>
              <w:left w:val="single" w:sz="4" w:space="0" w:color="auto"/>
              <w:bottom w:val="nil"/>
              <w:right w:val="nil"/>
            </w:tcBorders>
            <w:shd w:val="clear" w:color="auto" w:fill="auto"/>
            <w:noWrap/>
            <w:vAlign w:val="bottom"/>
            <w:hideMark/>
          </w:tcPr>
          <w:p w14:paraId="4328C4B0" w14:textId="25768235" w:rsidR="00595881" w:rsidRPr="00595881" w:rsidRDefault="00595881" w:rsidP="00595881">
            <w:pPr>
              <w:jc w:val="center"/>
              <w:rPr>
                <w:rFonts w:ascii="Arial Narrow" w:hAnsi="Arial Narrow" w:cs="Arial"/>
                <w:sz w:val="22"/>
                <w:szCs w:val="22"/>
              </w:rPr>
            </w:pPr>
            <w:r>
              <w:rPr>
                <w:rFonts w:ascii="Arial Narrow" w:hAnsi="Arial Narrow" w:cs="Arial"/>
                <w:sz w:val="22"/>
                <w:szCs w:val="22"/>
              </w:rPr>
              <w:t>-</w:t>
            </w:r>
          </w:p>
        </w:tc>
        <w:tc>
          <w:tcPr>
            <w:tcW w:w="1618" w:type="dxa"/>
            <w:tcBorders>
              <w:top w:val="nil"/>
              <w:left w:val="nil"/>
              <w:bottom w:val="nil"/>
              <w:right w:val="nil"/>
            </w:tcBorders>
            <w:shd w:val="clear" w:color="auto" w:fill="auto"/>
            <w:noWrap/>
            <w:vAlign w:val="bottom"/>
            <w:hideMark/>
          </w:tcPr>
          <w:p w14:paraId="0E0E7247" w14:textId="427B2050" w:rsidR="00595881" w:rsidRPr="00595881" w:rsidRDefault="00595881" w:rsidP="00595881">
            <w:pPr>
              <w:jc w:val="center"/>
              <w:rPr>
                <w:rFonts w:ascii="Arial Narrow" w:hAnsi="Arial Narrow" w:cs="Arial"/>
                <w:sz w:val="22"/>
                <w:szCs w:val="22"/>
              </w:rPr>
            </w:pPr>
            <w:r>
              <w:rPr>
                <w:rFonts w:ascii="Arial Narrow" w:hAnsi="Arial Narrow" w:cs="Arial"/>
                <w:sz w:val="22"/>
                <w:szCs w:val="22"/>
              </w:rPr>
              <w:t>-</w:t>
            </w:r>
          </w:p>
        </w:tc>
      </w:tr>
      <w:tr w:rsidR="00595881" w:rsidRPr="00595881" w14:paraId="6649DABC" w14:textId="77777777" w:rsidTr="00595881">
        <w:trPr>
          <w:trHeight w:val="240"/>
        </w:trPr>
        <w:tc>
          <w:tcPr>
            <w:tcW w:w="1380" w:type="dxa"/>
            <w:tcBorders>
              <w:top w:val="nil"/>
              <w:left w:val="nil"/>
              <w:bottom w:val="nil"/>
              <w:right w:val="nil"/>
            </w:tcBorders>
            <w:shd w:val="clear" w:color="auto" w:fill="auto"/>
            <w:noWrap/>
            <w:vAlign w:val="bottom"/>
            <w:hideMark/>
          </w:tcPr>
          <w:p w14:paraId="292E7A90"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5</w:t>
            </w:r>
          </w:p>
        </w:tc>
        <w:tc>
          <w:tcPr>
            <w:tcW w:w="1106" w:type="dxa"/>
            <w:tcBorders>
              <w:top w:val="nil"/>
              <w:left w:val="nil"/>
              <w:bottom w:val="nil"/>
              <w:right w:val="nil"/>
            </w:tcBorders>
            <w:shd w:val="clear" w:color="auto" w:fill="auto"/>
            <w:noWrap/>
            <w:vAlign w:val="bottom"/>
            <w:hideMark/>
          </w:tcPr>
          <w:p w14:paraId="7720A4A6" w14:textId="73E4F14A" w:rsidR="00595881" w:rsidRPr="00595881" w:rsidRDefault="00595881" w:rsidP="00595881">
            <w:pPr>
              <w:jc w:val="center"/>
              <w:rPr>
                <w:rFonts w:ascii="Arial Narrow" w:hAnsi="Arial Narrow" w:cs="Arial"/>
                <w:sz w:val="22"/>
                <w:szCs w:val="22"/>
              </w:rPr>
            </w:pPr>
            <w:r>
              <w:rPr>
                <w:rFonts w:ascii="Arial Narrow" w:hAnsi="Arial Narrow" w:cs="Arial"/>
                <w:sz w:val="22"/>
                <w:szCs w:val="22"/>
              </w:rPr>
              <w:t>-</w:t>
            </w:r>
          </w:p>
        </w:tc>
        <w:tc>
          <w:tcPr>
            <w:tcW w:w="1654" w:type="dxa"/>
            <w:tcBorders>
              <w:top w:val="nil"/>
              <w:left w:val="nil"/>
              <w:bottom w:val="nil"/>
              <w:right w:val="single" w:sz="4" w:space="0" w:color="auto"/>
            </w:tcBorders>
            <w:shd w:val="clear" w:color="auto" w:fill="auto"/>
            <w:noWrap/>
            <w:vAlign w:val="bottom"/>
            <w:hideMark/>
          </w:tcPr>
          <w:p w14:paraId="3A59794E" w14:textId="557F04A3" w:rsidR="00595881" w:rsidRPr="00595881" w:rsidRDefault="00595881" w:rsidP="00595881">
            <w:pPr>
              <w:jc w:val="center"/>
              <w:rPr>
                <w:rFonts w:ascii="Arial Narrow" w:hAnsi="Arial Narrow" w:cs="Arial"/>
                <w:sz w:val="22"/>
                <w:szCs w:val="22"/>
              </w:rPr>
            </w:pPr>
            <w:r>
              <w:rPr>
                <w:rFonts w:ascii="Arial Narrow" w:hAnsi="Arial Narrow" w:cs="Arial"/>
                <w:sz w:val="22"/>
                <w:szCs w:val="22"/>
              </w:rPr>
              <w:t>-</w:t>
            </w:r>
          </w:p>
        </w:tc>
        <w:tc>
          <w:tcPr>
            <w:tcW w:w="1042" w:type="dxa"/>
            <w:tcBorders>
              <w:top w:val="nil"/>
              <w:left w:val="single" w:sz="4" w:space="0" w:color="auto"/>
              <w:bottom w:val="nil"/>
              <w:right w:val="nil"/>
            </w:tcBorders>
            <w:shd w:val="clear" w:color="auto" w:fill="auto"/>
            <w:noWrap/>
            <w:vAlign w:val="bottom"/>
            <w:hideMark/>
          </w:tcPr>
          <w:p w14:paraId="158F68B3" w14:textId="6616541F" w:rsidR="00595881" w:rsidRPr="00595881" w:rsidRDefault="00595881" w:rsidP="00595881">
            <w:pPr>
              <w:jc w:val="center"/>
              <w:rPr>
                <w:rFonts w:ascii="Arial Narrow" w:hAnsi="Arial Narrow" w:cs="Arial"/>
                <w:sz w:val="22"/>
                <w:szCs w:val="22"/>
              </w:rPr>
            </w:pPr>
            <w:r>
              <w:rPr>
                <w:rFonts w:ascii="Arial Narrow" w:hAnsi="Arial Narrow" w:cs="Arial"/>
                <w:sz w:val="22"/>
                <w:szCs w:val="22"/>
              </w:rPr>
              <w:t>-</w:t>
            </w:r>
          </w:p>
        </w:tc>
        <w:tc>
          <w:tcPr>
            <w:tcW w:w="1558" w:type="dxa"/>
            <w:tcBorders>
              <w:top w:val="nil"/>
              <w:left w:val="nil"/>
              <w:bottom w:val="nil"/>
              <w:right w:val="single" w:sz="4" w:space="0" w:color="auto"/>
            </w:tcBorders>
            <w:shd w:val="clear" w:color="auto" w:fill="auto"/>
            <w:noWrap/>
            <w:vAlign w:val="bottom"/>
            <w:hideMark/>
          </w:tcPr>
          <w:p w14:paraId="39B059D1" w14:textId="5D01FDE1" w:rsidR="00595881" w:rsidRPr="00595881" w:rsidRDefault="00595881" w:rsidP="00595881">
            <w:pPr>
              <w:jc w:val="center"/>
              <w:rPr>
                <w:rFonts w:ascii="Arial Narrow" w:hAnsi="Arial Narrow" w:cs="Arial"/>
                <w:sz w:val="22"/>
                <w:szCs w:val="22"/>
              </w:rPr>
            </w:pPr>
            <w:r>
              <w:rPr>
                <w:rFonts w:ascii="Arial Narrow" w:hAnsi="Arial Narrow" w:cs="Arial"/>
                <w:sz w:val="22"/>
                <w:szCs w:val="22"/>
              </w:rPr>
              <w:t>-</w:t>
            </w:r>
          </w:p>
        </w:tc>
        <w:tc>
          <w:tcPr>
            <w:tcW w:w="1082" w:type="dxa"/>
            <w:tcBorders>
              <w:top w:val="nil"/>
              <w:left w:val="single" w:sz="4" w:space="0" w:color="auto"/>
              <w:bottom w:val="nil"/>
              <w:right w:val="nil"/>
            </w:tcBorders>
            <w:shd w:val="clear" w:color="auto" w:fill="auto"/>
            <w:noWrap/>
            <w:vAlign w:val="bottom"/>
            <w:hideMark/>
          </w:tcPr>
          <w:p w14:paraId="3D728902" w14:textId="4E6DE5C6" w:rsidR="00595881" w:rsidRPr="00595881" w:rsidRDefault="00595881" w:rsidP="00595881">
            <w:pPr>
              <w:jc w:val="center"/>
              <w:rPr>
                <w:rFonts w:ascii="Arial Narrow" w:hAnsi="Arial Narrow" w:cs="Arial"/>
                <w:sz w:val="22"/>
                <w:szCs w:val="22"/>
              </w:rPr>
            </w:pPr>
            <w:r>
              <w:rPr>
                <w:rFonts w:ascii="Arial Narrow" w:hAnsi="Arial Narrow" w:cs="Arial"/>
                <w:sz w:val="22"/>
                <w:szCs w:val="22"/>
              </w:rPr>
              <w:t>-</w:t>
            </w:r>
          </w:p>
        </w:tc>
        <w:tc>
          <w:tcPr>
            <w:tcW w:w="1618" w:type="dxa"/>
            <w:tcBorders>
              <w:top w:val="nil"/>
              <w:left w:val="nil"/>
              <w:bottom w:val="nil"/>
              <w:right w:val="nil"/>
            </w:tcBorders>
            <w:shd w:val="clear" w:color="auto" w:fill="auto"/>
            <w:noWrap/>
            <w:vAlign w:val="bottom"/>
            <w:hideMark/>
          </w:tcPr>
          <w:p w14:paraId="6DFEE2A6" w14:textId="0893770E" w:rsidR="00595881" w:rsidRPr="00595881" w:rsidRDefault="00595881" w:rsidP="00595881">
            <w:pPr>
              <w:jc w:val="center"/>
              <w:rPr>
                <w:rFonts w:ascii="Arial Narrow" w:hAnsi="Arial Narrow" w:cs="Arial"/>
                <w:sz w:val="22"/>
                <w:szCs w:val="22"/>
              </w:rPr>
            </w:pPr>
            <w:r>
              <w:rPr>
                <w:rFonts w:ascii="Arial Narrow" w:hAnsi="Arial Narrow" w:cs="Arial"/>
                <w:sz w:val="22"/>
                <w:szCs w:val="22"/>
              </w:rPr>
              <w:t>-</w:t>
            </w:r>
          </w:p>
        </w:tc>
      </w:tr>
      <w:tr w:rsidR="00595881" w:rsidRPr="00595881" w14:paraId="745412E6" w14:textId="77777777" w:rsidTr="00595881">
        <w:trPr>
          <w:trHeight w:val="240"/>
        </w:trPr>
        <w:tc>
          <w:tcPr>
            <w:tcW w:w="1380" w:type="dxa"/>
            <w:tcBorders>
              <w:top w:val="single" w:sz="4" w:space="0" w:color="auto"/>
              <w:left w:val="nil"/>
              <w:bottom w:val="single" w:sz="4" w:space="0" w:color="auto"/>
              <w:right w:val="nil"/>
            </w:tcBorders>
            <w:shd w:val="clear" w:color="auto" w:fill="auto"/>
            <w:noWrap/>
            <w:vAlign w:val="bottom"/>
            <w:hideMark/>
          </w:tcPr>
          <w:p w14:paraId="3A5955CF"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Total</w:t>
            </w:r>
          </w:p>
        </w:tc>
        <w:tc>
          <w:tcPr>
            <w:tcW w:w="1106" w:type="dxa"/>
            <w:tcBorders>
              <w:top w:val="single" w:sz="4" w:space="0" w:color="auto"/>
              <w:left w:val="nil"/>
              <w:bottom w:val="single" w:sz="4" w:space="0" w:color="auto"/>
              <w:right w:val="nil"/>
            </w:tcBorders>
            <w:shd w:val="clear" w:color="auto" w:fill="auto"/>
            <w:noWrap/>
            <w:vAlign w:val="bottom"/>
            <w:hideMark/>
          </w:tcPr>
          <w:p w14:paraId="103DB52D"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0.87%</w:t>
            </w:r>
          </w:p>
        </w:tc>
        <w:tc>
          <w:tcPr>
            <w:tcW w:w="1654" w:type="dxa"/>
            <w:tcBorders>
              <w:top w:val="single" w:sz="4" w:space="0" w:color="auto"/>
              <w:left w:val="nil"/>
              <w:bottom w:val="single" w:sz="4" w:space="0" w:color="auto"/>
              <w:right w:val="single" w:sz="4" w:space="0" w:color="auto"/>
            </w:tcBorders>
            <w:shd w:val="clear" w:color="auto" w:fill="auto"/>
            <w:noWrap/>
            <w:vAlign w:val="bottom"/>
            <w:hideMark/>
          </w:tcPr>
          <w:p w14:paraId="2A5C440F"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0.2%</w:t>
            </w:r>
          </w:p>
        </w:tc>
        <w:tc>
          <w:tcPr>
            <w:tcW w:w="1042" w:type="dxa"/>
            <w:tcBorders>
              <w:top w:val="single" w:sz="4" w:space="0" w:color="auto"/>
              <w:left w:val="single" w:sz="4" w:space="0" w:color="auto"/>
              <w:bottom w:val="single" w:sz="4" w:space="0" w:color="auto"/>
              <w:right w:val="nil"/>
            </w:tcBorders>
            <w:shd w:val="clear" w:color="auto" w:fill="auto"/>
            <w:noWrap/>
            <w:vAlign w:val="bottom"/>
            <w:hideMark/>
          </w:tcPr>
          <w:p w14:paraId="30ABBC95"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0.8%</w:t>
            </w:r>
          </w:p>
        </w:tc>
        <w:tc>
          <w:tcPr>
            <w:tcW w:w="1558" w:type="dxa"/>
            <w:tcBorders>
              <w:top w:val="single" w:sz="4" w:space="0" w:color="auto"/>
              <w:left w:val="nil"/>
              <w:bottom w:val="single" w:sz="4" w:space="0" w:color="auto"/>
              <w:right w:val="single" w:sz="4" w:space="0" w:color="auto"/>
            </w:tcBorders>
            <w:shd w:val="clear" w:color="auto" w:fill="auto"/>
            <w:noWrap/>
            <w:vAlign w:val="bottom"/>
            <w:hideMark/>
          </w:tcPr>
          <w:p w14:paraId="476E5E65"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0.3%</w:t>
            </w:r>
          </w:p>
        </w:tc>
        <w:tc>
          <w:tcPr>
            <w:tcW w:w="1082" w:type="dxa"/>
            <w:tcBorders>
              <w:top w:val="single" w:sz="4" w:space="0" w:color="auto"/>
              <w:left w:val="single" w:sz="4" w:space="0" w:color="auto"/>
              <w:bottom w:val="single" w:sz="4" w:space="0" w:color="auto"/>
              <w:right w:val="nil"/>
            </w:tcBorders>
            <w:shd w:val="clear" w:color="auto" w:fill="auto"/>
            <w:noWrap/>
            <w:vAlign w:val="bottom"/>
            <w:hideMark/>
          </w:tcPr>
          <w:p w14:paraId="7028205B"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0.5%</w:t>
            </w:r>
          </w:p>
        </w:tc>
        <w:tc>
          <w:tcPr>
            <w:tcW w:w="1618" w:type="dxa"/>
            <w:tcBorders>
              <w:top w:val="single" w:sz="4" w:space="0" w:color="auto"/>
              <w:left w:val="nil"/>
              <w:bottom w:val="single" w:sz="4" w:space="0" w:color="auto"/>
              <w:right w:val="nil"/>
            </w:tcBorders>
            <w:shd w:val="clear" w:color="auto" w:fill="auto"/>
            <w:noWrap/>
            <w:vAlign w:val="bottom"/>
            <w:hideMark/>
          </w:tcPr>
          <w:p w14:paraId="4E6E30D4" w14:textId="77777777" w:rsidR="00595881" w:rsidRPr="00595881" w:rsidRDefault="00595881" w:rsidP="00595881">
            <w:pPr>
              <w:jc w:val="center"/>
              <w:rPr>
                <w:rFonts w:ascii="Arial Narrow" w:hAnsi="Arial Narrow" w:cs="Arial"/>
                <w:sz w:val="22"/>
                <w:szCs w:val="22"/>
              </w:rPr>
            </w:pPr>
            <w:r w:rsidRPr="00595881">
              <w:rPr>
                <w:rFonts w:ascii="Arial Narrow" w:hAnsi="Arial Narrow" w:cs="Arial"/>
                <w:sz w:val="22"/>
                <w:szCs w:val="22"/>
              </w:rPr>
              <w:t>0.1%</w:t>
            </w:r>
          </w:p>
        </w:tc>
      </w:tr>
    </w:tbl>
    <w:p w14:paraId="36FC63AC" w14:textId="77777777" w:rsidR="00002301" w:rsidRPr="008B7EA0" w:rsidRDefault="00002301" w:rsidP="00002301">
      <w:pPr>
        <w:ind w:left="1440"/>
        <w:rPr>
          <w:i/>
          <w:sz w:val="22"/>
          <w:lang w:val="en-GB"/>
        </w:rPr>
      </w:pPr>
      <w:r w:rsidRPr="008B7EA0">
        <w:rPr>
          <w:i/>
          <w:sz w:val="22"/>
          <w:lang w:val="en-GB"/>
        </w:rPr>
        <w:t>Source: Mongolia Household Socio-Economic Surveys, 20</w:t>
      </w:r>
      <w:r>
        <w:rPr>
          <w:i/>
          <w:sz w:val="22"/>
          <w:lang w:val="en-GB"/>
        </w:rPr>
        <w:t>10</w:t>
      </w:r>
      <w:r w:rsidRPr="008B7EA0">
        <w:rPr>
          <w:i/>
          <w:sz w:val="22"/>
          <w:lang w:val="en-GB"/>
        </w:rPr>
        <w:t>-2012</w:t>
      </w:r>
    </w:p>
    <w:p w14:paraId="25141518" w14:textId="77777777" w:rsidR="00595881" w:rsidRDefault="00595881" w:rsidP="009C57F9">
      <w:pPr>
        <w:jc w:val="both"/>
        <w:rPr>
          <w:lang w:val="en-GB"/>
        </w:rPr>
      </w:pPr>
    </w:p>
    <w:p w14:paraId="0B888857" w14:textId="77777777" w:rsidR="00002301" w:rsidRDefault="00002301" w:rsidP="009C57F9">
      <w:pPr>
        <w:jc w:val="both"/>
        <w:rPr>
          <w:lang w:val="en-GB"/>
        </w:rPr>
      </w:pPr>
    </w:p>
    <w:p w14:paraId="6C21E6A3" w14:textId="77777777" w:rsidR="00580844" w:rsidRPr="00E80A9C" w:rsidRDefault="00580844" w:rsidP="00442E54">
      <w:pPr>
        <w:numPr>
          <w:ilvl w:val="0"/>
          <w:numId w:val="6"/>
        </w:numPr>
        <w:jc w:val="both"/>
        <w:rPr>
          <w:rFonts w:ascii="Arial" w:hAnsi="Arial" w:cs="Arial"/>
          <w:sz w:val="22"/>
          <w:lang w:val="en-GB"/>
        </w:rPr>
      </w:pPr>
      <w:r w:rsidRPr="00E80A9C">
        <w:rPr>
          <w:rFonts w:ascii="Arial" w:hAnsi="Arial" w:cs="Arial"/>
          <w:sz w:val="22"/>
          <w:lang w:val="en-GB"/>
        </w:rPr>
        <w:t xml:space="preserve">Determinants of catastrophic expenditure </w:t>
      </w:r>
    </w:p>
    <w:p w14:paraId="6B99E7DC" w14:textId="77777777" w:rsidR="00BE1FF8" w:rsidRDefault="00BE1FF8" w:rsidP="007A61D6">
      <w:pPr>
        <w:jc w:val="both"/>
        <w:rPr>
          <w:lang w:val="en-GB"/>
        </w:rPr>
      </w:pPr>
    </w:p>
    <w:p w14:paraId="0A60CB73" w14:textId="23FC78F6" w:rsidR="00736172" w:rsidRPr="0049498A" w:rsidRDefault="00736172" w:rsidP="00736172">
      <w:pPr>
        <w:jc w:val="both"/>
        <w:rPr>
          <w:rFonts w:ascii="Arial" w:hAnsi="Arial"/>
        </w:rPr>
      </w:pPr>
      <w:r>
        <w:rPr>
          <w:rFonts w:ascii="Arial" w:hAnsi="Arial"/>
        </w:rPr>
        <w:t>R</w:t>
      </w:r>
      <w:r w:rsidRPr="0049498A">
        <w:rPr>
          <w:rFonts w:ascii="Arial" w:hAnsi="Arial"/>
        </w:rPr>
        <w:t xml:space="preserve">esults </w:t>
      </w:r>
      <w:r>
        <w:rPr>
          <w:rFonts w:ascii="Arial" w:hAnsi="Arial"/>
        </w:rPr>
        <w:t>of l</w:t>
      </w:r>
      <w:r w:rsidRPr="0049498A">
        <w:rPr>
          <w:rFonts w:ascii="Arial" w:hAnsi="Arial"/>
        </w:rPr>
        <w:t xml:space="preserve">ogistic regression </w:t>
      </w:r>
      <w:r w:rsidR="00AD5F6B">
        <w:rPr>
          <w:rFonts w:ascii="Arial" w:hAnsi="Arial"/>
        </w:rPr>
        <w:t xml:space="preserve">model </w:t>
      </w:r>
      <w:r w:rsidRPr="0049498A">
        <w:rPr>
          <w:rFonts w:ascii="Arial" w:hAnsi="Arial"/>
        </w:rPr>
        <w:t xml:space="preserve">show factors that are significant to the likelihood of suffering from catastrophic health expenditures (Table </w:t>
      </w:r>
      <w:r w:rsidR="00AB1E98">
        <w:rPr>
          <w:rFonts w:ascii="Arial" w:hAnsi="Arial"/>
        </w:rPr>
        <w:t>19</w:t>
      </w:r>
      <w:r w:rsidRPr="0049498A">
        <w:rPr>
          <w:rFonts w:ascii="Arial" w:hAnsi="Arial"/>
        </w:rPr>
        <w:t xml:space="preserve">).  The odds </w:t>
      </w:r>
      <w:r>
        <w:rPr>
          <w:rFonts w:ascii="Arial" w:hAnsi="Arial"/>
        </w:rPr>
        <w:t xml:space="preserve">ratio </w:t>
      </w:r>
      <w:r w:rsidRPr="0049498A">
        <w:rPr>
          <w:rFonts w:ascii="Arial" w:hAnsi="Arial"/>
        </w:rPr>
        <w:t xml:space="preserve">of incurring catastrophic health </w:t>
      </w:r>
      <w:r w:rsidRPr="004F3953">
        <w:rPr>
          <w:rFonts w:ascii="Arial" w:hAnsi="Arial" w:cs="Arial"/>
        </w:rPr>
        <w:t>expenditures increased significantly as household e</w:t>
      </w:r>
      <w:r w:rsidR="004F3953" w:rsidRPr="004F3953">
        <w:rPr>
          <w:rFonts w:ascii="Arial" w:hAnsi="Arial" w:cs="Arial"/>
        </w:rPr>
        <w:t xml:space="preserve">xpenditure quintile increased indicating that households of higher expenditure quintiles experience a higher likelihood of catastrophic expenditure in Mongolia </w:t>
      </w:r>
      <w:r w:rsidR="00E10D7A" w:rsidRPr="004F3953">
        <w:rPr>
          <w:rFonts w:ascii="Arial" w:hAnsi="Arial" w:cs="Arial"/>
        </w:rPr>
        <w:t>In addition, factors including h</w:t>
      </w:r>
      <w:r w:rsidRPr="004F3953">
        <w:rPr>
          <w:rFonts w:ascii="Arial" w:hAnsi="Arial" w:cs="Arial"/>
        </w:rPr>
        <w:t>ou</w:t>
      </w:r>
      <w:r>
        <w:rPr>
          <w:rFonts w:ascii="Arial" w:hAnsi="Arial"/>
        </w:rPr>
        <w:t>sehold size, l</w:t>
      </w:r>
      <w:r w:rsidRPr="0049498A">
        <w:rPr>
          <w:rFonts w:ascii="Arial" w:hAnsi="Arial"/>
        </w:rPr>
        <w:t>iving in an urban area</w:t>
      </w:r>
      <w:r>
        <w:rPr>
          <w:rFonts w:ascii="Arial" w:hAnsi="Arial"/>
        </w:rPr>
        <w:t>,</w:t>
      </w:r>
      <w:r w:rsidRPr="0049498A">
        <w:rPr>
          <w:rFonts w:ascii="Arial" w:hAnsi="Arial"/>
        </w:rPr>
        <w:t xml:space="preserve"> and having a household member over the age of 60 also significantly increased the odds </w:t>
      </w:r>
      <w:r>
        <w:rPr>
          <w:rFonts w:ascii="Arial" w:hAnsi="Arial"/>
        </w:rPr>
        <w:t xml:space="preserve">ratio </w:t>
      </w:r>
      <w:r w:rsidRPr="0049498A">
        <w:rPr>
          <w:rFonts w:ascii="Arial" w:hAnsi="Arial"/>
        </w:rPr>
        <w:t>of cat</w:t>
      </w:r>
      <w:r>
        <w:rPr>
          <w:rFonts w:ascii="Arial" w:hAnsi="Arial"/>
        </w:rPr>
        <w:t xml:space="preserve">astrophic health expenditures. </w:t>
      </w:r>
      <w:r w:rsidRPr="0049498A">
        <w:rPr>
          <w:rFonts w:ascii="Arial" w:hAnsi="Arial"/>
        </w:rPr>
        <w:t xml:space="preserve">Having a household member </w:t>
      </w:r>
      <w:r w:rsidRPr="0049498A">
        <w:rPr>
          <w:rFonts w:ascii="Arial" w:hAnsi="Arial"/>
        </w:rPr>
        <w:lastRenderedPageBreak/>
        <w:t xml:space="preserve">under the age of five and a male household head significantly decreased the odds </w:t>
      </w:r>
      <w:r>
        <w:rPr>
          <w:rFonts w:ascii="Arial" w:hAnsi="Arial"/>
        </w:rPr>
        <w:t xml:space="preserve">ratio </w:t>
      </w:r>
      <w:r w:rsidRPr="0049498A">
        <w:rPr>
          <w:rFonts w:ascii="Arial" w:hAnsi="Arial"/>
        </w:rPr>
        <w:t>of catastrophic health payments.</w:t>
      </w:r>
    </w:p>
    <w:p w14:paraId="3E69BD3D" w14:textId="77777777" w:rsidR="0049498A" w:rsidRDefault="0049498A" w:rsidP="007A61D6">
      <w:pPr>
        <w:jc w:val="both"/>
      </w:pPr>
    </w:p>
    <w:p w14:paraId="798DAB6B" w14:textId="77777777" w:rsidR="00183FCB" w:rsidRDefault="0049498A" w:rsidP="007A61D6">
      <w:pPr>
        <w:jc w:val="both"/>
        <w:rPr>
          <w:rFonts w:ascii="Arial" w:hAnsi="Arial" w:cs="Arial"/>
          <w:iCs/>
          <w:sz w:val="22"/>
          <w:szCs w:val="22"/>
        </w:rPr>
      </w:pPr>
      <w:bookmarkStart w:id="51" w:name="_Toc310170102"/>
      <w:r w:rsidRPr="00F63B52">
        <w:rPr>
          <w:rFonts w:ascii="Arial" w:hAnsi="Arial" w:cs="Arial"/>
          <w:iCs/>
          <w:sz w:val="22"/>
          <w:szCs w:val="22"/>
        </w:rPr>
        <w:t xml:space="preserve">Table </w:t>
      </w:r>
      <w:r w:rsidR="00CB191B" w:rsidRPr="00F63B52">
        <w:rPr>
          <w:rFonts w:ascii="Arial" w:hAnsi="Arial" w:cs="Arial"/>
          <w:iCs/>
          <w:sz w:val="22"/>
          <w:szCs w:val="22"/>
        </w:rPr>
        <w:fldChar w:fldCharType="begin"/>
      </w:r>
      <w:r w:rsidRPr="00F63B52">
        <w:rPr>
          <w:rFonts w:ascii="Arial" w:hAnsi="Arial" w:cs="Arial"/>
          <w:iCs/>
          <w:sz w:val="22"/>
          <w:szCs w:val="22"/>
        </w:rPr>
        <w:instrText xml:space="preserve"> SEQ Table \* ARABIC </w:instrText>
      </w:r>
      <w:r w:rsidR="00CB191B" w:rsidRPr="00F63B52">
        <w:rPr>
          <w:rFonts w:ascii="Arial" w:hAnsi="Arial" w:cs="Arial"/>
          <w:iCs/>
          <w:sz w:val="22"/>
          <w:szCs w:val="22"/>
        </w:rPr>
        <w:fldChar w:fldCharType="separate"/>
      </w:r>
      <w:r w:rsidR="00327F97">
        <w:rPr>
          <w:rFonts w:ascii="Arial" w:hAnsi="Arial" w:cs="Arial"/>
          <w:iCs/>
          <w:noProof/>
          <w:sz w:val="22"/>
          <w:szCs w:val="22"/>
        </w:rPr>
        <w:t>19</w:t>
      </w:r>
      <w:r w:rsidR="00CB191B" w:rsidRPr="00F63B52">
        <w:rPr>
          <w:rFonts w:ascii="Arial" w:hAnsi="Arial" w:cs="Arial"/>
          <w:iCs/>
          <w:sz w:val="22"/>
          <w:szCs w:val="22"/>
        </w:rPr>
        <w:fldChar w:fldCharType="end"/>
      </w:r>
      <w:r w:rsidRPr="00F63B52">
        <w:rPr>
          <w:rFonts w:ascii="Arial" w:hAnsi="Arial" w:cs="Arial"/>
          <w:iCs/>
          <w:sz w:val="22"/>
          <w:szCs w:val="22"/>
        </w:rPr>
        <w:t>:</w:t>
      </w:r>
      <w:r>
        <w:rPr>
          <w:rFonts w:ascii="Arial" w:hAnsi="Arial" w:cs="Arial"/>
          <w:iCs/>
          <w:sz w:val="22"/>
          <w:szCs w:val="22"/>
        </w:rPr>
        <w:t xml:space="preserve"> Determinants of catastrophic health payments</w:t>
      </w:r>
      <w:bookmarkEnd w:id="51"/>
    </w:p>
    <w:p w14:paraId="4AF6150B" w14:textId="77777777" w:rsidR="0049498A" w:rsidRPr="0049498A" w:rsidRDefault="0049498A" w:rsidP="007A61D6">
      <w:pPr>
        <w:jc w:val="both"/>
        <w:rPr>
          <w:sz w:val="20"/>
          <w:szCs w:val="20"/>
        </w:rPr>
      </w:pPr>
    </w:p>
    <w:tbl>
      <w:tblPr>
        <w:tblW w:w="10045" w:type="dxa"/>
        <w:tblInd w:w="93" w:type="dxa"/>
        <w:tblLayout w:type="fixed"/>
        <w:tblLook w:val="04A0" w:firstRow="1" w:lastRow="0" w:firstColumn="1" w:lastColumn="0" w:noHBand="0" w:noVBand="1"/>
      </w:tblPr>
      <w:tblGrid>
        <w:gridCol w:w="2175"/>
        <w:gridCol w:w="945"/>
        <w:gridCol w:w="765"/>
        <w:gridCol w:w="810"/>
        <w:gridCol w:w="1080"/>
        <w:gridCol w:w="720"/>
        <w:gridCol w:w="990"/>
        <w:gridCol w:w="900"/>
        <w:gridCol w:w="810"/>
        <w:gridCol w:w="850"/>
      </w:tblGrid>
      <w:tr w:rsidR="0049498A" w:rsidRPr="0049498A" w14:paraId="49C177BA" w14:textId="77777777" w:rsidTr="00336474">
        <w:trPr>
          <w:trHeight w:val="240"/>
        </w:trPr>
        <w:tc>
          <w:tcPr>
            <w:tcW w:w="2175" w:type="dxa"/>
            <w:tcBorders>
              <w:top w:val="single" w:sz="4" w:space="0" w:color="auto"/>
              <w:left w:val="nil"/>
              <w:right w:val="nil"/>
            </w:tcBorders>
            <w:shd w:val="clear" w:color="auto" w:fill="auto"/>
            <w:noWrap/>
            <w:vAlign w:val="bottom"/>
            <w:hideMark/>
          </w:tcPr>
          <w:p w14:paraId="5D92137F" w14:textId="77777777" w:rsidR="0049498A" w:rsidRPr="00B91D8E" w:rsidRDefault="0049498A" w:rsidP="0049498A">
            <w:pPr>
              <w:rPr>
                <w:rFonts w:ascii="Arial" w:hAnsi="Arial"/>
                <w:sz w:val="20"/>
                <w:szCs w:val="20"/>
              </w:rPr>
            </w:pPr>
          </w:p>
        </w:tc>
        <w:tc>
          <w:tcPr>
            <w:tcW w:w="2520" w:type="dxa"/>
            <w:gridSpan w:val="3"/>
            <w:tcBorders>
              <w:top w:val="single" w:sz="4" w:space="0" w:color="auto"/>
              <w:left w:val="nil"/>
              <w:bottom w:val="single" w:sz="4" w:space="0" w:color="auto"/>
              <w:right w:val="nil"/>
            </w:tcBorders>
            <w:shd w:val="clear" w:color="auto" w:fill="auto"/>
            <w:noWrap/>
            <w:vAlign w:val="bottom"/>
            <w:hideMark/>
          </w:tcPr>
          <w:p w14:paraId="4802DA6F" w14:textId="77777777" w:rsidR="0049498A" w:rsidRPr="009A68A8" w:rsidRDefault="0049498A" w:rsidP="0049498A">
            <w:pPr>
              <w:jc w:val="center"/>
              <w:rPr>
                <w:rFonts w:ascii="Arial" w:hAnsi="Arial"/>
                <w:b/>
                <w:sz w:val="20"/>
                <w:szCs w:val="20"/>
              </w:rPr>
            </w:pPr>
            <w:r w:rsidRPr="009A68A8">
              <w:rPr>
                <w:rFonts w:ascii="Arial" w:hAnsi="Arial"/>
                <w:b/>
                <w:sz w:val="20"/>
                <w:szCs w:val="20"/>
              </w:rPr>
              <w:t>2010</w:t>
            </w:r>
          </w:p>
        </w:tc>
        <w:tc>
          <w:tcPr>
            <w:tcW w:w="2790" w:type="dxa"/>
            <w:gridSpan w:val="3"/>
            <w:tcBorders>
              <w:top w:val="single" w:sz="4" w:space="0" w:color="auto"/>
              <w:left w:val="nil"/>
              <w:bottom w:val="single" w:sz="4" w:space="0" w:color="auto"/>
              <w:right w:val="nil"/>
            </w:tcBorders>
            <w:shd w:val="clear" w:color="auto" w:fill="auto"/>
            <w:noWrap/>
            <w:vAlign w:val="bottom"/>
            <w:hideMark/>
          </w:tcPr>
          <w:p w14:paraId="3082B25C" w14:textId="77777777" w:rsidR="0049498A" w:rsidRPr="009A68A8" w:rsidRDefault="0049498A" w:rsidP="0049498A">
            <w:pPr>
              <w:jc w:val="center"/>
              <w:rPr>
                <w:rFonts w:ascii="Arial" w:hAnsi="Arial"/>
                <w:b/>
                <w:sz w:val="20"/>
                <w:szCs w:val="20"/>
              </w:rPr>
            </w:pPr>
            <w:r w:rsidRPr="009A68A8">
              <w:rPr>
                <w:rFonts w:ascii="Arial" w:hAnsi="Arial"/>
                <w:b/>
                <w:sz w:val="20"/>
                <w:szCs w:val="20"/>
              </w:rPr>
              <w:t>2011</w:t>
            </w:r>
          </w:p>
        </w:tc>
        <w:tc>
          <w:tcPr>
            <w:tcW w:w="2560" w:type="dxa"/>
            <w:gridSpan w:val="3"/>
            <w:tcBorders>
              <w:top w:val="single" w:sz="4" w:space="0" w:color="auto"/>
              <w:left w:val="nil"/>
              <w:bottom w:val="single" w:sz="4" w:space="0" w:color="auto"/>
              <w:right w:val="nil"/>
            </w:tcBorders>
            <w:shd w:val="clear" w:color="auto" w:fill="auto"/>
            <w:noWrap/>
            <w:vAlign w:val="bottom"/>
            <w:hideMark/>
          </w:tcPr>
          <w:p w14:paraId="21014BB1" w14:textId="77777777" w:rsidR="0049498A" w:rsidRPr="009A68A8" w:rsidRDefault="0049498A" w:rsidP="0049498A">
            <w:pPr>
              <w:jc w:val="center"/>
              <w:rPr>
                <w:rFonts w:ascii="Arial" w:hAnsi="Arial"/>
                <w:b/>
                <w:sz w:val="20"/>
                <w:szCs w:val="20"/>
              </w:rPr>
            </w:pPr>
            <w:r w:rsidRPr="009A68A8">
              <w:rPr>
                <w:rFonts w:ascii="Arial" w:hAnsi="Arial"/>
                <w:b/>
                <w:sz w:val="20"/>
                <w:szCs w:val="20"/>
              </w:rPr>
              <w:t>2012</w:t>
            </w:r>
          </w:p>
        </w:tc>
      </w:tr>
      <w:tr w:rsidR="0049498A" w:rsidRPr="0049498A" w14:paraId="1D1BAAAC" w14:textId="77777777" w:rsidTr="00336474">
        <w:trPr>
          <w:trHeight w:val="240"/>
        </w:trPr>
        <w:tc>
          <w:tcPr>
            <w:tcW w:w="2175" w:type="dxa"/>
            <w:tcBorders>
              <w:left w:val="nil"/>
              <w:bottom w:val="single" w:sz="4" w:space="0" w:color="auto"/>
              <w:right w:val="nil"/>
            </w:tcBorders>
            <w:shd w:val="clear" w:color="auto" w:fill="auto"/>
            <w:noWrap/>
            <w:vAlign w:val="bottom"/>
            <w:hideMark/>
          </w:tcPr>
          <w:p w14:paraId="1E1AFDC7" w14:textId="77777777" w:rsidR="0049498A" w:rsidRPr="00B91D8E" w:rsidRDefault="0049498A" w:rsidP="0049498A">
            <w:pPr>
              <w:rPr>
                <w:rFonts w:ascii="Arial" w:hAnsi="Arial"/>
                <w:sz w:val="20"/>
                <w:szCs w:val="20"/>
              </w:rPr>
            </w:pPr>
            <w:r w:rsidRPr="00B91D8E">
              <w:rPr>
                <w:rFonts w:ascii="Arial" w:hAnsi="Arial"/>
                <w:sz w:val="20"/>
                <w:szCs w:val="20"/>
              </w:rPr>
              <w:t xml:space="preserve">Dependent variable: </w:t>
            </w:r>
            <w:r w:rsidRPr="00E80A9C">
              <w:rPr>
                <w:rFonts w:ascii="Arial" w:hAnsi="Arial"/>
                <w:sz w:val="18"/>
                <w:szCs w:val="20"/>
              </w:rPr>
              <w:t>Household catastrophic health expenditure</w:t>
            </w:r>
          </w:p>
        </w:tc>
        <w:tc>
          <w:tcPr>
            <w:tcW w:w="945" w:type="dxa"/>
            <w:tcBorders>
              <w:top w:val="single" w:sz="4" w:space="0" w:color="auto"/>
              <w:left w:val="nil"/>
              <w:bottom w:val="single" w:sz="4" w:space="0" w:color="auto"/>
              <w:right w:val="nil"/>
            </w:tcBorders>
            <w:shd w:val="clear" w:color="auto" w:fill="auto"/>
            <w:noWrap/>
            <w:vAlign w:val="bottom"/>
            <w:hideMark/>
          </w:tcPr>
          <w:p w14:paraId="0C8681A7" w14:textId="77777777" w:rsidR="0049498A" w:rsidRPr="00B91D8E" w:rsidRDefault="0049498A" w:rsidP="0049498A">
            <w:pPr>
              <w:jc w:val="center"/>
              <w:rPr>
                <w:rFonts w:ascii="Arial" w:hAnsi="Arial"/>
                <w:sz w:val="20"/>
                <w:szCs w:val="20"/>
              </w:rPr>
            </w:pPr>
            <w:r w:rsidRPr="00B91D8E">
              <w:rPr>
                <w:rFonts w:ascii="Arial" w:hAnsi="Arial"/>
                <w:sz w:val="20"/>
                <w:szCs w:val="20"/>
              </w:rPr>
              <w:t>Odds Ratio</w:t>
            </w:r>
          </w:p>
        </w:tc>
        <w:tc>
          <w:tcPr>
            <w:tcW w:w="765" w:type="dxa"/>
            <w:tcBorders>
              <w:top w:val="single" w:sz="4" w:space="0" w:color="auto"/>
              <w:left w:val="nil"/>
              <w:bottom w:val="single" w:sz="4" w:space="0" w:color="auto"/>
              <w:right w:val="nil"/>
            </w:tcBorders>
            <w:shd w:val="clear" w:color="auto" w:fill="auto"/>
            <w:noWrap/>
            <w:vAlign w:val="bottom"/>
            <w:hideMark/>
          </w:tcPr>
          <w:p w14:paraId="1F28ACA7" w14:textId="77777777" w:rsidR="0049498A" w:rsidRPr="00B91D8E" w:rsidRDefault="0049498A" w:rsidP="0049498A">
            <w:pPr>
              <w:jc w:val="center"/>
              <w:rPr>
                <w:rFonts w:ascii="Arial" w:hAnsi="Arial"/>
                <w:sz w:val="20"/>
                <w:szCs w:val="20"/>
              </w:rPr>
            </w:pPr>
            <w:r w:rsidRPr="00B91D8E">
              <w:rPr>
                <w:rFonts w:ascii="Arial" w:hAnsi="Arial"/>
                <w:sz w:val="20"/>
                <w:szCs w:val="20"/>
              </w:rPr>
              <w:t>P&gt;z</w:t>
            </w:r>
          </w:p>
        </w:tc>
        <w:tc>
          <w:tcPr>
            <w:tcW w:w="810" w:type="dxa"/>
            <w:tcBorders>
              <w:top w:val="single" w:sz="4" w:space="0" w:color="auto"/>
              <w:left w:val="nil"/>
              <w:bottom w:val="single" w:sz="4" w:space="0" w:color="auto"/>
              <w:right w:val="nil"/>
            </w:tcBorders>
            <w:shd w:val="clear" w:color="auto" w:fill="auto"/>
            <w:noWrap/>
            <w:vAlign w:val="bottom"/>
            <w:hideMark/>
          </w:tcPr>
          <w:p w14:paraId="767432FE" w14:textId="77777777" w:rsidR="0049498A" w:rsidRPr="00B91D8E" w:rsidRDefault="0049498A" w:rsidP="0049498A">
            <w:pPr>
              <w:jc w:val="center"/>
              <w:rPr>
                <w:rFonts w:ascii="Arial" w:hAnsi="Arial"/>
                <w:sz w:val="20"/>
                <w:szCs w:val="20"/>
              </w:rPr>
            </w:pPr>
            <w:r w:rsidRPr="00B91D8E">
              <w:rPr>
                <w:rFonts w:ascii="Arial" w:hAnsi="Arial"/>
                <w:sz w:val="20"/>
                <w:szCs w:val="20"/>
              </w:rPr>
              <w:t>[95% Conf.</w:t>
            </w:r>
          </w:p>
        </w:tc>
        <w:tc>
          <w:tcPr>
            <w:tcW w:w="1080" w:type="dxa"/>
            <w:tcBorders>
              <w:top w:val="single" w:sz="4" w:space="0" w:color="auto"/>
              <w:left w:val="nil"/>
              <w:bottom w:val="single" w:sz="4" w:space="0" w:color="auto"/>
              <w:right w:val="nil"/>
            </w:tcBorders>
            <w:shd w:val="clear" w:color="auto" w:fill="auto"/>
            <w:noWrap/>
            <w:vAlign w:val="bottom"/>
            <w:hideMark/>
          </w:tcPr>
          <w:p w14:paraId="62D5408B" w14:textId="77777777" w:rsidR="0049498A" w:rsidRPr="00B91D8E" w:rsidRDefault="0049498A" w:rsidP="0049498A">
            <w:pPr>
              <w:jc w:val="center"/>
              <w:rPr>
                <w:rFonts w:ascii="Arial" w:hAnsi="Arial"/>
                <w:sz w:val="20"/>
                <w:szCs w:val="20"/>
              </w:rPr>
            </w:pPr>
            <w:r w:rsidRPr="00B91D8E">
              <w:rPr>
                <w:rFonts w:ascii="Arial" w:hAnsi="Arial"/>
                <w:sz w:val="20"/>
                <w:szCs w:val="20"/>
              </w:rPr>
              <w:t>Odds Ratio</w:t>
            </w:r>
          </w:p>
        </w:tc>
        <w:tc>
          <w:tcPr>
            <w:tcW w:w="720" w:type="dxa"/>
            <w:tcBorders>
              <w:top w:val="single" w:sz="4" w:space="0" w:color="auto"/>
              <w:left w:val="nil"/>
              <w:bottom w:val="single" w:sz="4" w:space="0" w:color="auto"/>
              <w:right w:val="nil"/>
            </w:tcBorders>
            <w:shd w:val="clear" w:color="auto" w:fill="auto"/>
            <w:noWrap/>
            <w:vAlign w:val="bottom"/>
            <w:hideMark/>
          </w:tcPr>
          <w:p w14:paraId="2A1A0185" w14:textId="77777777" w:rsidR="0049498A" w:rsidRPr="00B91D8E" w:rsidRDefault="0049498A" w:rsidP="0049498A">
            <w:pPr>
              <w:jc w:val="center"/>
              <w:rPr>
                <w:rFonts w:ascii="Arial" w:hAnsi="Arial"/>
                <w:sz w:val="20"/>
                <w:szCs w:val="20"/>
              </w:rPr>
            </w:pPr>
            <w:r w:rsidRPr="00B91D8E">
              <w:rPr>
                <w:rFonts w:ascii="Arial" w:hAnsi="Arial"/>
                <w:sz w:val="20"/>
                <w:szCs w:val="20"/>
              </w:rPr>
              <w:t>P&gt;z</w:t>
            </w:r>
          </w:p>
        </w:tc>
        <w:tc>
          <w:tcPr>
            <w:tcW w:w="990" w:type="dxa"/>
            <w:tcBorders>
              <w:top w:val="single" w:sz="4" w:space="0" w:color="auto"/>
              <w:left w:val="nil"/>
              <w:bottom w:val="single" w:sz="4" w:space="0" w:color="auto"/>
              <w:right w:val="nil"/>
            </w:tcBorders>
            <w:shd w:val="clear" w:color="auto" w:fill="auto"/>
            <w:noWrap/>
            <w:vAlign w:val="bottom"/>
            <w:hideMark/>
          </w:tcPr>
          <w:p w14:paraId="42B909CF" w14:textId="77777777" w:rsidR="0049498A" w:rsidRPr="00B91D8E" w:rsidRDefault="0049498A" w:rsidP="0049498A">
            <w:pPr>
              <w:jc w:val="center"/>
              <w:rPr>
                <w:rFonts w:ascii="Arial" w:hAnsi="Arial"/>
                <w:sz w:val="20"/>
                <w:szCs w:val="20"/>
              </w:rPr>
            </w:pPr>
            <w:r w:rsidRPr="00B91D8E">
              <w:rPr>
                <w:rFonts w:ascii="Arial" w:hAnsi="Arial"/>
                <w:sz w:val="20"/>
                <w:szCs w:val="20"/>
              </w:rPr>
              <w:t>[95% Conf.</w:t>
            </w:r>
          </w:p>
        </w:tc>
        <w:tc>
          <w:tcPr>
            <w:tcW w:w="900" w:type="dxa"/>
            <w:tcBorders>
              <w:top w:val="single" w:sz="4" w:space="0" w:color="auto"/>
              <w:left w:val="nil"/>
              <w:bottom w:val="single" w:sz="4" w:space="0" w:color="auto"/>
              <w:right w:val="nil"/>
            </w:tcBorders>
            <w:shd w:val="clear" w:color="auto" w:fill="auto"/>
            <w:noWrap/>
            <w:vAlign w:val="bottom"/>
            <w:hideMark/>
          </w:tcPr>
          <w:p w14:paraId="4FBA1068" w14:textId="77777777" w:rsidR="0049498A" w:rsidRPr="00B91D8E" w:rsidRDefault="0049498A" w:rsidP="0049498A">
            <w:pPr>
              <w:jc w:val="center"/>
              <w:rPr>
                <w:rFonts w:ascii="Arial" w:hAnsi="Arial"/>
                <w:sz w:val="20"/>
                <w:szCs w:val="20"/>
              </w:rPr>
            </w:pPr>
            <w:r w:rsidRPr="00B91D8E">
              <w:rPr>
                <w:rFonts w:ascii="Arial" w:hAnsi="Arial"/>
                <w:sz w:val="20"/>
                <w:szCs w:val="20"/>
              </w:rPr>
              <w:t>Odds Ratio</w:t>
            </w:r>
          </w:p>
        </w:tc>
        <w:tc>
          <w:tcPr>
            <w:tcW w:w="810" w:type="dxa"/>
            <w:tcBorders>
              <w:top w:val="single" w:sz="4" w:space="0" w:color="auto"/>
              <w:left w:val="nil"/>
              <w:bottom w:val="single" w:sz="4" w:space="0" w:color="auto"/>
              <w:right w:val="nil"/>
            </w:tcBorders>
            <w:shd w:val="clear" w:color="auto" w:fill="auto"/>
            <w:noWrap/>
            <w:vAlign w:val="bottom"/>
            <w:hideMark/>
          </w:tcPr>
          <w:p w14:paraId="30144730" w14:textId="77777777" w:rsidR="0049498A" w:rsidRPr="00B91D8E" w:rsidRDefault="0049498A" w:rsidP="0049498A">
            <w:pPr>
              <w:jc w:val="center"/>
              <w:rPr>
                <w:rFonts w:ascii="Arial" w:hAnsi="Arial"/>
                <w:sz w:val="20"/>
                <w:szCs w:val="20"/>
              </w:rPr>
            </w:pPr>
            <w:r w:rsidRPr="00B91D8E">
              <w:rPr>
                <w:rFonts w:ascii="Arial" w:hAnsi="Arial"/>
                <w:sz w:val="20"/>
                <w:szCs w:val="20"/>
              </w:rPr>
              <w:t>P&gt;z</w:t>
            </w:r>
          </w:p>
        </w:tc>
        <w:tc>
          <w:tcPr>
            <w:tcW w:w="850" w:type="dxa"/>
            <w:tcBorders>
              <w:top w:val="single" w:sz="4" w:space="0" w:color="auto"/>
              <w:left w:val="nil"/>
              <w:bottom w:val="single" w:sz="4" w:space="0" w:color="auto"/>
              <w:right w:val="nil"/>
            </w:tcBorders>
            <w:shd w:val="clear" w:color="auto" w:fill="auto"/>
            <w:noWrap/>
            <w:vAlign w:val="bottom"/>
            <w:hideMark/>
          </w:tcPr>
          <w:p w14:paraId="14FBDB60" w14:textId="77777777" w:rsidR="0049498A" w:rsidRPr="00B91D8E" w:rsidRDefault="0049498A" w:rsidP="0049498A">
            <w:pPr>
              <w:jc w:val="center"/>
              <w:rPr>
                <w:rFonts w:ascii="Arial" w:hAnsi="Arial"/>
                <w:sz w:val="20"/>
                <w:szCs w:val="20"/>
              </w:rPr>
            </w:pPr>
            <w:r w:rsidRPr="00B91D8E">
              <w:rPr>
                <w:rFonts w:ascii="Arial" w:hAnsi="Arial"/>
                <w:sz w:val="20"/>
                <w:szCs w:val="20"/>
              </w:rPr>
              <w:t>[95% Conf.</w:t>
            </w:r>
          </w:p>
        </w:tc>
      </w:tr>
      <w:tr w:rsidR="0049498A" w:rsidRPr="0049498A" w14:paraId="20DC43EF" w14:textId="77777777" w:rsidTr="0049498A">
        <w:trPr>
          <w:trHeight w:val="240"/>
        </w:trPr>
        <w:tc>
          <w:tcPr>
            <w:tcW w:w="2175" w:type="dxa"/>
            <w:tcBorders>
              <w:top w:val="single" w:sz="4" w:space="0" w:color="auto"/>
              <w:left w:val="nil"/>
              <w:bottom w:val="nil"/>
              <w:right w:val="nil"/>
            </w:tcBorders>
            <w:shd w:val="clear" w:color="auto" w:fill="auto"/>
            <w:noWrap/>
            <w:vAlign w:val="bottom"/>
            <w:hideMark/>
          </w:tcPr>
          <w:p w14:paraId="496F562F" w14:textId="77777777" w:rsidR="0049498A" w:rsidRPr="00B91D8E" w:rsidRDefault="0049498A" w:rsidP="0049498A">
            <w:pPr>
              <w:rPr>
                <w:rFonts w:ascii="Arial" w:hAnsi="Arial"/>
                <w:sz w:val="20"/>
                <w:szCs w:val="20"/>
              </w:rPr>
            </w:pPr>
            <w:r w:rsidRPr="00B91D8E">
              <w:rPr>
                <w:rFonts w:ascii="Arial" w:hAnsi="Arial"/>
                <w:sz w:val="20"/>
                <w:szCs w:val="20"/>
              </w:rPr>
              <w:t>Household size</w:t>
            </w:r>
          </w:p>
        </w:tc>
        <w:tc>
          <w:tcPr>
            <w:tcW w:w="945" w:type="dxa"/>
            <w:tcBorders>
              <w:top w:val="single" w:sz="4" w:space="0" w:color="auto"/>
              <w:left w:val="nil"/>
              <w:bottom w:val="nil"/>
              <w:right w:val="nil"/>
            </w:tcBorders>
            <w:shd w:val="clear" w:color="auto" w:fill="auto"/>
            <w:noWrap/>
            <w:vAlign w:val="bottom"/>
            <w:hideMark/>
          </w:tcPr>
          <w:p w14:paraId="4F4A30C6" w14:textId="77777777" w:rsidR="0049498A" w:rsidRPr="00A14AF8" w:rsidRDefault="0049498A" w:rsidP="0049498A">
            <w:pPr>
              <w:jc w:val="center"/>
              <w:rPr>
                <w:rFonts w:ascii="Arial" w:hAnsi="Arial"/>
                <w:sz w:val="20"/>
                <w:szCs w:val="20"/>
              </w:rPr>
            </w:pPr>
            <w:r w:rsidRPr="00A14AF8">
              <w:rPr>
                <w:rFonts w:ascii="Arial" w:hAnsi="Arial"/>
                <w:sz w:val="20"/>
                <w:szCs w:val="20"/>
              </w:rPr>
              <w:t>1.838</w:t>
            </w:r>
          </w:p>
        </w:tc>
        <w:tc>
          <w:tcPr>
            <w:tcW w:w="765" w:type="dxa"/>
            <w:tcBorders>
              <w:top w:val="single" w:sz="4" w:space="0" w:color="auto"/>
              <w:left w:val="nil"/>
              <w:bottom w:val="nil"/>
              <w:right w:val="nil"/>
            </w:tcBorders>
            <w:shd w:val="clear" w:color="auto" w:fill="auto"/>
            <w:noWrap/>
            <w:vAlign w:val="bottom"/>
            <w:hideMark/>
          </w:tcPr>
          <w:p w14:paraId="6C3E04C1" w14:textId="77777777" w:rsidR="0049498A" w:rsidRPr="00A14AF8" w:rsidRDefault="0049498A" w:rsidP="0049498A">
            <w:pPr>
              <w:jc w:val="center"/>
              <w:rPr>
                <w:rFonts w:ascii="Arial" w:hAnsi="Arial"/>
                <w:sz w:val="20"/>
                <w:szCs w:val="20"/>
              </w:rPr>
            </w:pPr>
            <w:r w:rsidRPr="00A14AF8">
              <w:rPr>
                <w:rFonts w:ascii="Arial" w:hAnsi="Arial"/>
                <w:sz w:val="20"/>
                <w:szCs w:val="20"/>
              </w:rPr>
              <w:t>0.000</w:t>
            </w:r>
          </w:p>
        </w:tc>
        <w:tc>
          <w:tcPr>
            <w:tcW w:w="810" w:type="dxa"/>
            <w:tcBorders>
              <w:top w:val="single" w:sz="4" w:space="0" w:color="auto"/>
              <w:left w:val="nil"/>
              <w:bottom w:val="nil"/>
              <w:right w:val="nil"/>
            </w:tcBorders>
            <w:shd w:val="clear" w:color="auto" w:fill="auto"/>
            <w:noWrap/>
            <w:vAlign w:val="bottom"/>
            <w:hideMark/>
          </w:tcPr>
          <w:p w14:paraId="22493E60" w14:textId="77777777" w:rsidR="0049498A" w:rsidRPr="00A14AF8" w:rsidRDefault="0049498A" w:rsidP="0049498A">
            <w:pPr>
              <w:jc w:val="center"/>
              <w:rPr>
                <w:rFonts w:ascii="Arial" w:hAnsi="Arial"/>
                <w:sz w:val="20"/>
                <w:szCs w:val="20"/>
              </w:rPr>
            </w:pPr>
            <w:r w:rsidRPr="00A14AF8">
              <w:rPr>
                <w:rFonts w:ascii="Arial" w:hAnsi="Arial"/>
                <w:sz w:val="20"/>
                <w:szCs w:val="20"/>
              </w:rPr>
              <w:t>1.425</w:t>
            </w:r>
          </w:p>
        </w:tc>
        <w:tc>
          <w:tcPr>
            <w:tcW w:w="1080" w:type="dxa"/>
            <w:tcBorders>
              <w:top w:val="single" w:sz="4" w:space="0" w:color="auto"/>
              <w:left w:val="nil"/>
              <w:bottom w:val="nil"/>
              <w:right w:val="nil"/>
            </w:tcBorders>
            <w:shd w:val="clear" w:color="auto" w:fill="auto"/>
            <w:noWrap/>
            <w:vAlign w:val="bottom"/>
            <w:hideMark/>
          </w:tcPr>
          <w:p w14:paraId="6EEAAFD4" w14:textId="77777777" w:rsidR="0049498A" w:rsidRPr="00A14AF8" w:rsidRDefault="0049498A" w:rsidP="0049498A">
            <w:pPr>
              <w:jc w:val="center"/>
              <w:rPr>
                <w:rFonts w:ascii="Arial" w:hAnsi="Arial"/>
                <w:sz w:val="20"/>
                <w:szCs w:val="20"/>
              </w:rPr>
            </w:pPr>
            <w:r w:rsidRPr="00A14AF8">
              <w:rPr>
                <w:rFonts w:ascii="Arial" w:hAnsi="Arial"/>
                <w:sz w:val="20"/>
                <w:szCs w:val="20"/>
              </w:rPr>
              <w:t>1.420</w:t>
            </w:r>
          </w:p>
        </w:tc>
        <w:tc>
          <w:tcPr>
            <w:tcW w:w="720" w:type="dxa"/>
            <w:tcBorders>
              <w:top w:val="single" w:sz="4" w:space="0" w:color="auto"/>
              <w:left w:val="nil"/>
              <w:bottom w:val="nil"/>
              <w:right w:val="nil"/>
            </w:tcBorders>
            <w:shd w:val="clear" w:color="auto" w:fill="auto"/>
            <w:noWrap/>
            <w:vAlign w:val="bottom"/>
            <w:hideMark/>
          </w:tcPr>
          <w:p w14:paraId="3C6858BE" w14:textId="77777777" w:rsidR="0049498A" w:rsidRPr="00A14AF8" w:rsidRDefault="0049498A" w:rsidP="0049498A">
            <w:pPr>
              <w:jc w:val="center"/>
              <w:rPr>
                <w:rFonts w:ascii="Arial" w:hAnsi="Arial"/>
                <w:sz w:val="20"/>
                <w:szCs w:val="20"/>
              </w:rPr>
            </w:pPr>
            <w:r w:rsidRPr="00A14AF8">
              <w:rPr>
                <w:rFonts w:ascii="Arial" w:hAnsi="Arial"/>
                <w:sz w:val="20"/>
                <w:szCs w:val="20"/>
              </w:rPr>
              <w:t>0.002</w:t>
            </w:r>
          </w:p>
        </w:tc>
        <w:tc>
          <w:tcPr>
            <w:tcW w:w="990" w:type="dxa"/>
            <w:tcBorders>
              <w:top w:val="single" w:sz="4" w:space="0" w:color="auto"/>
              <w:left w:val="nil"/>
              <w:bottom w:val="nil"/>
              <w:right w:val="nil"/>
            </w:tcBorders>
            <w:shd w:val="clear" w:color="auto" w:fill="auto"/>
            <w:noWrap/>
            <w:vAlign w:val="bottom"/>
            <w:hideMark/>
          </w:tcPr>
          <w:p w14:paraId="0A214D44" w14:textId="77777777" w:rsidR="0049498A" w:rsidRPr="00A14AF8" w:rsidRDefault="0049498A" w:rsidP="0049498A">
            <w:pPr>
              <w:jc w:val="center"/>
              <w:rPr>
                <w:rFonts w:ascii="Arial" w:hAnsi="Arial"/>
                <w:sz w:val="20"/>
                <w:szCs w:val="20"/>
              </w:rPr>
            </w:pPr>
            <w:r w:rsidRPr="00A14AF8">
              <w:rPr>
                <w:rFonts w:ascii="Arial" w:hAnsi="Arial"/>
                <w:sz w:val="20"/>
                <w:szCs w:val="20"/>
              </w:rPr>
              <w:t>1.132</w:t>
            </w:r>
          </w:p>
        </w:tc>
        <w:tc>
          <w:tcPr>
            <w:tcW w:w="900" w:type="dxa"/>
            <w:tcBorders>
              <w:top w:val="single" w:sz="4" w:space="0" w:color="auto"/>
              <w:left w:val="nil"/>
              <w:bottom w:val="nil"/>
              <w:right w:val="nil"/>
            </w:tcBorders>
            <w:shd w:val="clear" w:color="auto" w:fill="auto"/>
            <w:noWrap/>
            <w:vAlign w:val="bottom"/>
            <w:hideMark/>
          </w:tcPr>
          <w:p w14:paraId="3A9DCDD2" w14:textId="77777777" w:rsidR="0049498A" w:rsidRPr="00A14AF8" w:rsidRDefault="0049498A" w:rsidP="0049498A">
            <w:pPr>
              <w:jc w:val="center"/>
              <w:rPr>
                <w:rFonts w:ascii="Arial" w:hAnsi="Arial"/>
                <w:sz w:val="20"/>
                <w:szCs w:val="20"/>
              </w:rPr>
            </w:pPr>
            <w:r w:rsidRPr="00A14AF8">
              <w:rPr>
                <w:rFonts w:ascii="Arial" w:hAnsi="Arial"/>
                <w:sz w:val="20"/>
                <w:szCs w:val="20"/>
              </w:rPr>
              <w:t>1.845</w:t>
            </w:r>
          </w:p>
        </w:tc>
        <w:tc>
          <w:tcPr>
            <w:tcW w:w="810" w:type="dxa"/>
            <w:tcBorders>
              <w:top w:val="single" w:sz="4" w:space="0" w:color="auto"/>
              <w:left w:val="nil"/>
              <w:bottom w:val="nil"/>
              <w:right w:val="nil"/>
            </w:tcBorders>
            <w:shd w:val="clear" w:color="auto" w:fill="auto"/>
            <w:noWrap/>
            <w:vAlign w:val="bottom"/>
            <w:hideMark/>
          </w:tcPr>
          <w:p w14:paraId="52EDB9E5" w14:textId="77777777" w:rsidR="0049498A" w:rsidRPr="00A14AF8" w:rsidRDefault="0049498A" w:rsidP="0049498A">
            <w:pPr>
              <w:jc w:val="center"/>
              <w:rPr>
                <w:rFonts w:ascii="Arial" w:hAnsi="Arial"/>
                <w:sz w:val="20"/>
                <w:szCs w:val="20"/>
              </w:rPr>
            </w:pPr>
            <w:r w:rsidRPr="00A14AF8">
              <w:rPr>
                <w:rFonts w:ascii="Arial" w:hAnsi="Arial"/>
                <w:sz w:val="20"/>
                <w:szCs w:val="20"/>
              </w:rPr>
              <w:t>0.000</w:t>
            </w:r>
          </w:p>
        </w:tc>
        <w:tc>
          <w:tcPr>
            <w:tcW w:w="850" w:type="dxa"/>
            <w:tcBorders>
              <w:top w:val="single" w:sz="4" w:space="0" w:color="auto"/>
              <w:left w:val="nil"/>
              <w:bottom w:val="nil"/>
              <w:right w:val="nil"/>
            </w:tcBorders>
            <w:shd w:val="clear" w:color="auto" w:fill="auto"/>
            <w:noWrap/>
            <w:vAlign w:val="bottom"/>
            <w:hideMark/>
          </w:tcPr>
          <w:p w14:paraId="05016069" w14:textId="77777777" w:rsidR="0049498A" w:rsidRPr="00B91D8E" w:rsidRDefault="0049498A" w:rsidP="0049498A">
            <w:pPr>
              <w:jc w:val="center"/>
              <w:rPr>
                <w:rFonts w:ascii="Arial" w:hAnsi="Arial"/>
                <w:sz w:val="20"/>
                <w:szCs w:val="20"/>
              </w:rPr>
            </w:pPr>
            <w:r w:rsidRPr="00B91D8E">
              <w:rPr>
                <w:rFonts w:ascii="Arial" w:hAnsi="Arial"/>
                <w:sz w:val="20"/>
                <w:szCs w:val="20"/>
              </w:rPr>
              <w:t>1.355</w:t>
            </w:r>
          </w:p>
        </w:tc>
      </w:tr>
      <w:tr w:rsidR="0049498A" w:rsidRPr="0049498A" w14:paraId="7DB7CC68" w14:textId="77777777" w:rsidTr="0049498A">
        <w:trPr>
          <w:trHeight w:val="240"/>
        </w:trPr>
        <w:tc>
          <w:tcPr>
            <w:tcW w:w="2175" w:type="dxa"/>
            <w:tcBorders>
              <w:top w:val="nil"/>
              <w:left w:val="nil"/>
              <w:bottom w:val="nil"/>
              <w:right w:val="nil"/>
            </w:tcBorders>
            <w:shd w:val="clear" w:color="auto" w:fill="auto"/>
            <w:noWrap/>
            <w:vAlign w:val="bottom"/>
            <w:hideMark/>
          </w:tcPr>
          <w:p w14:paraId="3D26EC9C" w14:textId="77777777" w:rsidR="0049498A" w:rsidRPr="00B91D8E" w:rsidRDefault="0049498A" w:rsidP="0049498A">
            <w:pPr>
              <w:rPr>
                <w:rFonts w:ascii="Arial" w:hAnsi="Arial"/>
                <w:sz w:val="20"/>
                <w:szCs w:val="20"/>
              </w:rPr>
            </w:pPr>
            <w:r w:rsidRPr="00B91D8E">
              <w:rPr>
                <w:rFonts w:ascii="Arial" w:hAnsi="Arial"/>
                <w:sz w:val="20"/>
                <w:szCs w:val="20"/>
              </w:rPr>
              <w:t>Urban</w:t>
            </w:r>
          </w:p>
        </w:tc>
        <w:tc>
          <w:tcPr>
            <w:tcW w:w="945" w:type="dxa"/>
            <w:tcBorders>
              <w:top w:val="nil"/>
              <w:left w:val="nil"/>
              <w:bottom w:val="nil"/>
              <w:right w:val="nil"/>
            </w:tcBorders>
            <w:shd w:val="clear" w:color="auto" w:fill="auto"/>
            <w:noWrap/>
            <w:vAlign w:val="bottom"/>
            <w:hideMark/>
          </w:tcPr>
          <w:p w14:paraId="194FECC6" w14:textId="77777777" w:rsidR="0049498A" w:rsidRPr="00A14AF8" w:rsidRDefault="0049498A" w:rsidP="0049498A">
            <w:pPr>
              <w:jc w:val="center"/>
              <w:rPr>
                <w:rFonts w:ascii="Arial" w:hAnsi="Arial"/>
                <w:sz w:val="20"/>
                <w:szCs w:val="20"/>
              </w:rPr>
            </w:pPr>
            <w:r w:rsidRPr="00A14AF8">
              <w:rPr>
                <w:rFonts w:ascii="Arial" w:hAnsi="Arial"/>
                <w:sz w:val="20"/>
                <w:szCs w:val="20"/>
              </w:rPr>
              <w:t>3.261</w:t>
            </w:r>
          </w:p>
        </w:tc>
        <w:tc>
          <w:tcPr>
            <w:tcW w:w="765" w:type="dxa"/>
            <w:tcBorders>
              <w:top w:val="nil"/>
              <w:left w:val="nil"/>
              <w:bottom w:val="nil"/>
              <w:right w:val="nil"/>
            </w:tcBorders>
            <w:shd w:val="clear" w:color="auto" w:fill="auto"/>
            <w:noWrap/>
            <w:vAlign w:val="bottom"/>
            <w:hideMark/>
          </w:tcPr>
          <w:p w14:paraId="2A3B2213" w14:textId="77777777" w:rsidR="0049498A" w:rsidRPr="00A14AF8" w:rsidRDefault="0049498A" w:rsidP="0049498A">
            <w:pPr>
              <w:jc w:val="center"/>
              <w:rPr>
                <w:rFonts w:ascii="Arial" w:hAnsi="Arial"/>
                <w:sz w:val="20"/>
                <w:szCs w:val="20"/>
              </w:rPr>
            </w:pPr>
            <w:r w:rsidRPr="00A14AF8">
              <w:rPr>
                <w:rFonts w:ascii="Arial" w:hAnsi="Arial"/>
                <w:sz w:val="20"/>
                <w:szCs w:val="20"/>
              </w:rPr>
              <w:t>0.000</w:t>
            </w:r>
          </w:p>
        </w:tc>
        <w:tc>
          <w:tcPr>
            <w:tcW w:w="810" w:type="dxa"/>
            <w:tcBorders>
              <w:top w:val="nil"/>
              <w:left w:val="nil"/>
              <w:bottom w:val="nil"/>
              <w:right w:val="nil"/>
            </w:tcBorders>
            <w:shd w:val="clear" w:color="auto" w:fill="auto"/>
            <w:noWrap/>
            <w:vAlign w:val="bottom"/>
            <w:hideMark/>
          </w:tcPr>
          <w:p w14:paraId="39970AF2" w14:textId="77777777" w:rsidR="0049498A" w:rsidRPr="00A14AF8" w:rsidRDefault="0049498A" w:rsidP="0049498A">
            <w:pPr>
              <w:jc w:val="center"/>
              <w:rPr>
                <w:rFonts w:ascii="Arial" w:hAnsi="Arial"/>
                <w:sz w:val="20"/>
                <w:szCs w:val="20"/>
              </w:rPr>
            </w:pPr>
            <w:r w:rsidRPr="00A14AF8">
              <w:rPr>
                <w:rFonts w:ascii="Arial" w:hAnsi="Arial"/>
                <w:sz w:val="20"/>
                <w:szCs w:val="20"/>
              </w:rPr>
              <w:t>2.331</w:t>
            </w:r>
          </w:p>
        </w:tc>
        <w:tc>
          <w:tcPr>
            <w:tcW w:w="1080" w:type="dxa"/>
            <w:tcBorders>
              <w:top w:val="nil"/>
              <w:left w:val="nil"/>
              <w:bottom w:val="nil"/>
              <w:right w:val="nil"/>
            </w:tcBorders>
            <w:shd w:val="clear" w:color="auto" w:fill="auto"/>
            <w:noWrap/>
            <w:vAlign w:val="bottom"/>
            <w:hideMark/>
          </w:tcPr>
          <w:p w14:paraId="728BA9CC" w14:textId="77777777" w:rsidR="0049498A" w:rsidRPr="00A14AF8" w:rsidRDefault="0049498A" w:rsidP="0049498A">
            <w:pPr>
              <w:jc w:val="center"/>
              <w:rPr>
                <w:rFonts w:ascii="Arial" w:hAnsi="Arial"/>
                <w:sz w:val="20"/>
                <w:szCs w:val="20"/>
              </w:rPr>
            </w:pPr>
            <w:r w:rsidRPr="00A14AF8">
              <w:rPr>
                <w:rFonts w:ascii="Arial" w:hAnsi="Arial"/>
                <w:sz w:val="20"/>
                <w:szCs w:val="20"/>
              </w:rPr>
              <w:t>1.974</w:t>
            </w:r>
          </w:p>
        </w:tc>
        <w:tc>
          <w:tcPr>
            <w:tcW w:w="720" w:type="dxa"/>
            <w:tcBorders>
              <w:top w:val="nil"/>
              <w:left w:val="nil"/>
              <w:bottom w:val="nil"/>
              <w:right w:val="nil"/>
            </w:tcBorders>
            <w:shd w:val="clear" w:color="auto" w:fill="auto"/>
            <w:noWrap/>
            <w:vAlign w:val="bottom"/>
            <w:hideMark/>
          </w:tcPr>
          <w:p w14:paraId="72FDE6AD" w14:textId="77777777" w:rsidR="0049498A" w:rsidRPr="00A14AF8" w:rsidRDefault="0049498A" w:rsidP="0049498A">
            <w:pPr>
              <w:jc w:val="center"/>
              <w:rPr>
                <w:rFonts w:ascii="Arial" w:hAnsi="Arial"/>
                <w:sz w:val="20"/>
                <w:szCs w:val="20"/>
              </w:rPr>
            </w:pPr>
            <w:r w:rsidRPr="00A14AF8">
              <w:rPr>
                <w:rFonts w:ascii="Arial" w:hAnsi="Arial"/>
                <w:sz w:val="20"/>
                <w:szCs w:val="20"/>
              </w:rPr>
              <w:t>0.000</w:t>
            </w:r>
          </w:p>
        </w:tc>
        <w:tc>
          <w:tcPr>
            <w:tcW w:w="990" w:type="dxa"/>
            <w:tcBorders>
              <w:top w:val="nil"/>
              <w:left w:val="nil"/>
              <w:bottom w:val="nil"/>
              <w:right w:val="nil"/>
            </w:tcBorders>
            <w:shd w:val="clear" w:color="auto" w:fill="auto"/>
            <w:noWrap/>
            <w:vAlign w:val="bottom"/>
            <w:hideMark/>
          </w:tcPr>
          <w:p w14:paraId="11876686" w14:textId="77777777" w:rsidR="0049498A" w:rsidRPr="00A14AF8" w:rsidRDefault="0049498A" w:rsidP="0049498A">
            <w:pPr>
              <w:jc w:val="center"/>
              <w:rPr>
                <w:rFonts w:ascii="Arial" w:hAnsi="Arial"/>
                <w:sz w:val="20"/>
                <w:szCs w:val="20"/>
              </w:rPr>
            </w:pPr>
            <w:r w:rsidRPr="00A14AF8">
              <w:rPr>
                <w:rFonts w:ascii="Arial" w:hAnsi="Arial"/>
                <w:sz w:val="20"/>
                <w:szCs w:val="20"/>
              </w:rPr>
              <w:t>1.453</w:t>
            </w:r>
          </w:p>
        </w:tc>
        <w:tc>
          <w:tcPr>
            <w:tcW w:w="900" w:type="dxa"/>
            <w:tcBorders>
              <w:top w:val="nil"/>
              <w:left w:val="nil"/>
              <w:bottom w:val="nil"/>
              <w:right w:val="nil"/>
            </w:tcBorders>
            <w:shd w:val="clear" w:color="auto" w:fill="auto"/>
            <w:noWrap/>
            <w:vAlign w:val="bottom"/>
            <w:hideMark/>
          </w:tcPr>
          <w:p w14:paraId="1274D6E8" w14:textId="77777777" w:rsidR="0049498A" w:rsidRPr="00A14AF8" w:rsidRDefault="0049498A" w:rsidP="0049498A">
            <w:pPr>
              <w:jc w:val="center"/>
              <w:rPr>
                <w:rFonts w:ascii="Arial" w:hAnsi="Arial"/>
                <w:sz w:val="20"/>
                <w:szCs w:val="20"/>
              </w:rPr>
            </w:pPr>
            <w:r w:rsidRPr="00A14AF8">
              <w:rPr>
                <w:rFonts w:ascii="Arial" w:hAnsi="Arial"/>
                <w:sz w:val="20"/>
                <w:szCs w:val="20"/>
              </w:rPr>
              <w:t>2.517</w:t>
            </w:r>
          </w:p>
        </w:tc>
        <w:tc>
          <w:tcPr>
            <w:tcW w:w="810" w:type="dxa"/>
            <w:tcBorders>
              <w:top w:val="nil"/>
              <w:left w:val="nil"/>
              <w:bottom w:val="nil"/>
              <w:right w:val="nil"/>
            </w:tcBorders>
            <w:shd w:val="clear" w:color="auto" w:fill="auto"/>
            <w:noWrap/>
            <w:vAlign w:val="bottom"/>
            <w:hideMark/>
          </w:tcPr>
          <w:p w14:paraId="27654CE9" w14:textId="77777777" w:rsidR="0049498A" w:rsidRPr="00A14AF8" w:rsidRDefault="0049498A" w:rsidP="0049498A">
            <w:pPr>
              <w:jc w:val="center"/>
              <w:rPr>
                <w:rFonts w:ascii="Arial" w:hAnsi="Arial"/>
                <w:sz w:val="20"/>
                <w:szCs w:val="20"/>
              </w:rPr>
            </w:pPr>
            <w:r w:rsidRPr="00A14AF8">
              <w:rPr>
                <w:rFonts w:ascii="Arial" w:hAnsi="Arial"/>
                <w:sz w:val="20"/>
                <w:szCs w:val="20"/>
              </w:rPr>
              <w:t>0.000</w:t>
            </w:r>
          </w:p>
        </w:tc>
        <w:tc>
          <w:tcPr>
            <w:tcW w:w="850" w:type="dxa"/>
            <w:tcBorders>
              <w:top w:val="nil"/>
              <w:left w:val="nil"/>
              <w:bottom w:val="nil"/>
              <w:right w:val="nil"/>
            </w:tcBorders>
            <w:shd w:val="clear" w:color="auto" w:fill="auto"/>
            <w:noWrap/>
            <w:vAlign w:val="bottom"/>
            <w:hideMark/>
          </w:tcPr>
          <w:p w14:paraId="74445D2F" w14:textId="77777777" w:rsidR="0049498A" w:rsidRPr="00B91D8E" w:rsidRDefault="0049498A" w:rsidP="0049498A">
            <w:pPr>
              <w:jc w:val="center"/>
              <w:rPr>
                <w:rFonts w:ascii="Arial" w:hAnsi="Arial"/>
                <w:sz w:val="20"/>
                <w:szCs w:val="20"/>
              </w:rPr>
            </w:pPr>
            <w:r w:rsidRPr="00B91D8E">
              <w:rPr>
                <w:rFonts w:ascii="Arial" w:hAnsi="Arial"/>
                <w:sz w:val="20"/>
                <w:szCs w:val="20"/>
              </w:rPr>
              <w:t>1.744</w:t>
            </w:r>
          </w:p>
        </w:tc>
      </w:tr>
      <w:tr w:rsidR="0049498A" w:rsidRPr="0049498A" w14:paraId="17EA1229" w14:textId="77777777" w:rsidTr="0049498A">
        <w:trPr>
          <w:trHeight w:val="240"/>
        </w:trPr>
        <w:tc>
          <w:tcPr>
            <w:tcW w:w="2175" w:type="dxa"/>
            <w:tcBorders>
              <w:top w:val="nil"/>
              <w:left w:val="nil"/>
              <w:bottom w:val="nil"/>
              <w:right w:val="nil"/>
            </w:tcBorders>
            <w:shd w:val="clear" w:color="auto" w:fill="auto"/>
            <w:noWrap/>
            <w:vAlign w:val="bottom"/>
            <w:hideMark/>
          </w:tcPr>
          <w:p w14:paraId="0F29A732" w14:textId="77777777" w:rsidR="0049498A" w:rsidRPr="00B91D8E" w:rsidRDefault="0049498A" w:rsidP="0049498A">
            <w:pPr>
              <w:rPr>
                <w:rFonts w:ascii="Arial" w:hAnsi="Arial"/>
                <w:sz w:val="20"/>
                <w:szCs w:val="20"/>
              </w:rPr>
            </w:pPr>
            <w:r w:rsidRPr="00B91D8E">
              <w:rPr>
                <w:rFonts w:ascii="Arial" w:hAnsi="Arial"/>
                <w:sz w:val="20"/>
                <w:szCs w:val="20"/>
              </w:rPr>
              <w:t>Children</w:t>
            </w:r>
          </w:p>
        </w:tc>
        <w:tc>
          <w:tcPr>
            <w:tcW w:w="945" w:type="dxa"/>
            <w:tcBorders>
              <w:top w:val="nil"/>
              <w:left w:val="nil"/>
              <w:bottom w:val="nil"/>
              <w:right w:val="nil"/>
            </w:tcBorders>
            <w:shd w:val="clear" w:color="auto" w:fill="auto"/>
            <w:noWrap/>
            <w:vAlign w:val="bottom"/>
            <w:hideMark/>
          </w:tcPr>
          <w:p w14:paraId="4BFFF4EB" w14:textId="77777777" w:rsidR="0049498A" w:rsidRPr="00A14AF8" w:rsidRDefault="0049498A" w:rsidP="0049498A">
            <w:pPr>
              <w:jc w:val="center"/>
              <w:rPr>
                <w:rFonts w:ascii="Arial" w:hAnsi="Arial"/>
                <w:sz w:val="20"/>
                <w:szCs w:val="20"/>
              </w:rPr>
            </w:pPr>
            <w:r w:rsidRPr="00A14AF8">
              <w:rPr>
                <w:rFonts w:ascii="Arial" w:hAnsi="Arial"/>
                <w:sz w:val="20"/>
                <w:szCs w:val="20"/>
              </w:rPr>
              <w:t>1.237</w:t>
            </w:r>
          </w:p>
        </w:tc>
        <w:tc>
          <w:tcPr>
            <w:tcW w:w="765" w:type="dxa"/>
            <w:tcBorders>
              <w:top w:val="nil"/>
              <w:left w:val="nil"/>
              <w:bottom w:val="nil"/>
              <w:right w:val="nil"/>
            </w:tcBorders>
            <w:shd w:val="clear" w:color="auto" w:fill="auto"/>
            <w:noWrap/>
            <w:vAlign w:val="bottom"/>
            <w:hideMark/>
          </w:tcPr>
          <w:p w14:paraId="3563A759" w14:textId="77777777" w:rsidR="0049498A" w:rsidRPr="00A14AF8" w:rsidRDefault="0049498A" w:rsidP="0049498A">
            <w:pPr>
              <w:jc w:val="center"/>
              <w:rPr>
                <w:rFonts w:ascii="Arial" w:hAnsi="Arial"/>
                <w:sz w:val="20"/>
                <w:szCs w:val="20"/>
              </w:rPr>
            </w:pPr>
            <w:r w:rsidRPr="00A14AF8">
              <w:rPr>
                <w:rFonts w:ascii="Arial" w:hAnsi="Arial"/>
                <w:sz w:val="20"/>
                <w:szCs w:val="20"/>
              </w:rPr>
              <w:t>0.197</w:t>
            </w:r>
          </w:p>
        </w:tc>
        <w:tc>
          <w:tcPr>
            <w:tcW w:w="810" w:type="dxa"/>
            <w:tcBorders>
              <w:top w:val="nil"/>
              <w:left w:val="nil"/>
              <w:bottom w:val="nil"/>
              <w:right w:val="nil"/>
            </w:tcBorders>
            <w:shd w:val="clear" w:color="auto" w:fill="auto"/>
            <w:noWrap/>
            <w:vAlign w:val="bottom"/>
            <w:hideMark/>
          </w:tcPr>
          <w:p w14:paraId="4B17E237" w14:textId="77777777" w:rsidR="0049498A" w:rsidRPr="00A14AF8" w:rsidRDefault="0049498A" w:rsidP="0049498A">
            <w:pPr>
              <w:jc w:val="center"/>
              <w:rPr>
                <w:rFonts w:ascii="Arial" w:hAnsi="Arial"/>
                <w:sz w:val="20"/>
                <w:szCs w:val="20"/>
              </w:rPr>
            </w:pPr>
            <w:r w:rsidRPr="00A14AF8">
              <w:rPr>
                <w:rFonts w:ascii="Arial" w:hAnsi="Arial"/>
                <w:sz w:val="20"/>
                <w:szCs w:val="20"/>
              </w:rPr>
              <w:t>0.896</w:t>
            </w:r>
          </w:p>
        </w:tc>
        <w:tc>
          <w:tcPr>
            <w:tcW w:w="1080" w:type="dxa"/>
            <w:tcBorders>
              <w:top w:val="nil"/>
              <w:left w:val="nil"/>
              <w:bottom w:val="nil"/>
              <w:right w:val="nil"/>
            </w:tcBorders>
            <w:shd w:val="clear" w:color="auto" w:fill="auto"/>
            <w:noWrap/>
            <w:vAlign w:val="bottom"/>
            <w:hideMark/>
          </w:tcPr>
          <w:p w14:paraId="6E4E2C7F" w14:textId="77777777" w:rsidR="0049498A" w:rsidRPr="00A14AF8" w:rsidRDefault="0049498A" w:rsidP="0049498A">
            <w:pPr>
              <w:jc w:val="center"/>
              <w:rPr>
                <w:rFonts w:ascii="Arial" w:hAnsi="Arial"/>
                <w:sz w:val="20"/>
                <w:szCs w:val="20"/>
              </w:rPr>
            </w:pPr>
            <w:r w:rsidRPr="00A14AF8">
              <w:rPr>
                <w:rFonts w:ascii="Arial" w:hAnsi="Arial"/>
                <w:sz w:val="20"/>
                <w:szCs w:val="20"/>
              </w:rPr>
              <w:t>0.655</w:t>
            </w:r>
          </w:p>
        </w:tc>
        <w:tc>
          <w:tcPr>
            <w:tcW w:w="720" w:type="dxa"/>
            <w:tcBorders>
              <w:top w:val="nil"/>
              <w:left w:val="nil"/>
              <w:bottom w:val="nil"/>
              <w:right w:val="nil"/>
            </w:tcBorders>
            <w:shd w:val="clear" w:color="auto" w:fill="auto"/>
            <w:noWrap/>
            <w:vAlign w:val="bottom"/>
            <w:hideMark/>
          </w:tcPr>
          <w:p w14:paraId="480E0025" w14:textId="77777777" w:rsidR="0049498A" w:rsidRPr="00A14AF8" w:rsidRDefault="0049498A" w:rsidP="0049498A">
            <w:pPr>
              <w:jc w:val="center"/>
              <w:rPr>
                <w:rFonts w:ascii="Arial" w:hAnsi="Arial"/>
                <w:sz w:val="20"/>
                <w:szCs w:val="20"/>
              </w:rPr>
            </w:pPr>
            <w:r w:rsidRPr="00A14AF8">
              <w:rPr>
                <w:rFonts w:ascii="Arial" w:hAnsi="Arial"/>
                <w:sz w:val="20"/>
                <w:szCs w:val="20"/>
              </w:rPr>
              <w:t>0.026</w:t>
            </w:r>
          </w:p>
        </w:tc>
        <w:tc>
          <w:tcPr>
            <w:tcW w:w="990" w:type="dxa"/>
            <w:tcBorders>
              <w:top w:val="nil"/>
              <w:left w:val="nil"/>
              <w:bottom w:val="nil"/>
              <w:right w:val="nil"/>
            </w:tcBorders>
            <w:shd w:val="clear" w:color="auto" w:fill="auto"/>
            <w:noWrap/>
            <w:vAlign w:val="bottom"/>
            <w:hideMark/>
          </w:tcPr>
          <w:p w14:paraId="5C285698" w14:textId="77777777" w:rsidR="0049498A" w:rsidRPr="00A14AF8" w:rsidRDefault="0049498A" w:rsidP="0049498A">
            <w:pPr>
              <w:jc w:val="center"/>
              <w:rPr>
                <w:rFonts w:ascii="Arial" w:hAnsi="Arial"/>
                <w:sz w:val="20"/>
                <w:szCs w:val="20"/>
              </w:rPr>
            </w:pPr>
            <w:r w:rsidRPr="00A14AF8">
              <w:rPr>
                <w:rFonts w:ascii="Arial" w:hAnsi="Arial"/>
                <w:sz w:val="20"/>
                <w:szCs w:val="20"/>
              </w:rPr>
              <w:t>0.451</w:t>
            </w:r>
          </w:p>
        </w:tc>
        <w:tc>
          <w:tcPr>
            <w:tcW w:w="900" w:type="dxa"/>
            <w:tcBorders>
              <w:top w:val="nil"/>
              <w:left w:val="nil"/>
              <w:bottom w:val="nil"/>
              <w:right w:val="nil"/>
            </w:tcBorders>
            <w:shd w:val="clear" w:color="auto" w:fill="auto"/>
            <w:noWrap/>
            <w:vAlign w:val="bottom"/>
            <w:hideMark/>
          </w:tcPr>
          <w:p w14:paraId="128EE62E" w14:textId="77777777" w:rsidR="0049498A" w:rsidRPr="00A14AF8" w:rsidRDefault="0049498A" w:rsidP="0049498A">
            <w:pPr>
              <w:jc w:val="center"/>
              <w:rPr>
                <w:rFonts w:ascii="Arial" w:hAnsi="Arial"/>
                <w:sz w:val="20"/>
                <w:szCs w:val="20"/>
              </w:rPr>
            </w:pPr>
            <w:r w:rsidRPr="00A14AF8">
              <w:rPr>
                <w:rFonts w:ascii="Arial" w:hAnsi="Arial"/>
                <w:sz w:val="20"/>
                <w:szCs w:val="20"/>
              </w:rPr>
              <w:t>0.564</w:t>
            </w:r>
          </w:p>
        </w:tc>
        <w:tc>
          <w:tcPr>
            <w:tcW w:w="810" w:type="dxa"/>
            <w:tcBorders>
              <w:top w:val="nil"/>
              <w:left w:val="nil"/>
              <w:bottom w:val="nil"/>
              <w:right w:val="nil"/>
            </w:tcBorders>
            <w:shd w:val="clear" w:color="auto" w:fill="auto"/>
            <w:noWrap/>
            <w:vAlign w:val="bottom"/>
            <w:hideMark/>
          </w:tcPr>
          <w:p w14:paraId="0F2127D7" w14:textId="77777777" w:rsidR="0049498A" w:rsidRPr="00A14AF8" w:rsidRDefault="0049498A" w:rsidP="0049498A">
            <w:pPr>
              <w:jc w:val="center"/>
              <w:rPr>
                <w:rFonts w:ascii="Arial" w:hAnsi="Arial"/>
                <w:sz w:val="20"/>
                <w:szCs w:val="20"/>
              </w:rPr>
            </w:pPr>
            <w:r w:rsidRPr="00A14AF8">
              <w:rPr>
                <w:rFonts w:ascii="Arial" w:hAnsi="Arial"/>
                <w:sz w:val="20"/>
                <w:szCs w:val="20"/>
              </w:rPr>
              <w:t>0.013</w:t>
            </w:r>
          </w:p>
        </w:tc>
        <w:tc>
          <w:tcPr>
            <w:tcW w:w="850" w:type="dxa"/>
            <w:tcBorders>
              <w:top w:val="nil"/>
              <w:left w:val="nil"/>
              <w:bottom w:val="nil"/>
              <w:right w:val="nil"/>
            </w:tcBorders>
            <w:shd w:val="clear" w:color="auto" w:fill="auto"/>
            <w:noWrap/>
            <w:vAlign w:val="bottom"/>
            <w:hideMark/>
          </w:tcPr>
          <w:p w14:paraId="06020E45" w14:textId="77777777" w:rsidR="0049498A" w:rsidRPr="00B91D8E" w:rsidRDefault="0049498A" w:rsidP="0049498A">
            <w:pPr>
              <w:jc w:val="center"/>
              <w:rPr>
                <w:rFonts w:ascii="Arial" w:hAnsi="Arial"/>
                <w:sz w:val="20"/>
                <w:szCs w:val="20"/>
              </w:rPr>
            </w:pPr>
            <w:r w:rsidRPr="00B91D8E">
              <w:rPr>
                <w:rFonts w:ascii="Arial" w:hAnsi="Arial"/>
                <w:sz w:val="20"/>
                <w:szCs w:val="20"/>
              </w:rPr>
              <w:t>0.360</w:t>
            </w:r>
          </w:p>
        </w:tc>
      </w:tr>
      <w:tr w:rsidR="0049498A" w:rsidRPr="0049498A" w14:paraId="0F2C2B87" w14:textId="77777777" w:rsidTr="0049498A">
        <w:trPr>
          <w:trHeight w:val="240"/>
        </w:trPr>
        <w:tc>
          <w:tcPr>
            <w:tcW w:w="2175" w:type="dxa"/>
            <w:tcBorders>
              <w:top w:val="nil"/>
              <w:left w:val="nil"/>
              <w:bottom w:val="nil"/>
              <w:right w:val="nil"/>
            </w:tcBorders>
            <w:shd w:val="clear" w:color="auto" w:fill="auto"/>
            <w:noWrap/>
            <w:vAlign w:val="bottom"/>
            <w:hideMark/>
          </w:tcPr>
          <w:p w14:paraId="09C75F01" w14:textId="77777777" w:rsidR="0049498A" w:rsidRPr="00B91D8E" w:rsidRDefault="0049498A" w:rsidP="0049498A">
            <w:pPr>
              <w:rPr>
                <w:rFonts w:ascii="Arial" w:hAnsi="Arial"/>
                <w:sz w:val="20"/>
                <w:szCs w:val="20"/>
              </w:rPr>
            </w:pPr>
            <w:r w:rsidRPr="00B91D8E">
              <w:rPr>
                <w:rFonts w:ascii="Arial" w:hAnsi="Arial"/>
                <w:sz w:val="20"/>
                <w:szCs w:val="20"/>
              </w:rPr>
              <w:t>Elderly</w:t>
            </w:r>
          </w:p>
        </w:tc>
        <w:tc>
          <w:tcPr>
            <w:tcW w:w="945" w:type="dxa"/>
            <w:tcBorders>
              <w:top w:val="nil"/>
              <w:left w:val="nil"/>
              <w:bottom w:val="nil"/>
              <w:right w:val="nil"/>
            </w:tcBorders>
            <w:shd w:val="clear" w:color="auto" w:fill="auto"/>
            <w:noWrap/>
            <w:vAlign w:val="bottom"/>
            <w:hideMark/>
          </w:tcPr>
          <w:p w14:paraId="40944E01" w14:textId="77777777" w:rsidR="0049498A" w:rsidRPr="00A14AF8" w:rsidRDefault="0049498A" w:rsidP="0049498A">
            <w:pPr>
              <w:jc w:val="center"/>
              <w:rPr>
                <w:rFonts w:ascii="Arial" w:hAnsi="Arial"/>
                <w:sz w:val="20"/>
                <w:szCs w:val="20"/>
              </w:rPr>
            </w:pPr>
            <w:r w:rsidRPr="00A14AF8">
              <w:rPr>
                <w:rFonts w:ascii="Arial" w:hAnsi="Arial"/>
                <w:sz w:val="20"/>
                <w:szCs w:val="20"/>
              </w:rPr>
              <w:t>0.463</w:t>
            </w:r>
          </w:p>
        </w:tc>
        <w:tc>
          <w:tcPr>
            <w:tcW w:w="765" w:type="dxa"/>
            <w:tcBorders>
              <w:top w:val="nil"/>
              <w:left w:val="nil"/>
              <w:bottom w:val="nil"/>
              <w:right w:val="nil"/>
            </w:tcBorders>
            <w:shd w:val="clear" w:color="auto" w:fill="auto"/>
            <w:noWrap/>
            <w:vAlign w:val="bottom"/>
            <w:hideMark/>
          </w:tcPr>
          <w:p w14:paraId="14814F63" w14:textId="77777777" w:rsidR="0049498A" w:rsidRPr="00A14AF8" w:rsidRDefault="0049498A" w:rsidP="0049498A">
            <w:pPr>
              <w:jc w:val="center"/>
              <w:rPr>
                <w:rFonts w:ascii="Arial" w:hAnsi="Arial"/>
                <w:sz w:val="20"/>
                <w:szCs w:val="20"/>
              </w:rPr>
            </w:pPr>
            <w:r w:rsidRPr="00A14AF8">
              <w:rPr>
                <w:rFonts w:ascii="Arial" w:hAnsi="Arial"/>
                <w:sz w:val="20"/>
                <w:szCs w:val="20"/>
              </w:rPr>
              <w:t>0.000</w:t>
            </w:r>
          </w:p>
        </w:tc>
        <w:tc>
          <w:tcPr>
            <w:tcW w:w="810" w:type="dxa"/>
            <w:tcBorders>
              <w:top w:val="nil"/>
              <w:left w:val="nil"/>
              <w:bottom w:val="nil"/>
              <w:right w:val="nil"/>
            </w:tcBorders>
            <w:shd w:val="clear" w:color="auto" w:fill="auto"/>
            <w:noWrap/>
            <w:vAlign w:val="bottom"/>
            <w:hideMark/>
          </w:tcPr>
          <w:p w14:paraId="3FCF4655" w14:textId="77777777" w:rsidR="0049498A" w:rsidRPr="00A14AF8" w:rsidRDefault="0049498A" w:rsidP="0049498A">
            <w:pPr>
              <w:jc w:val="center"/>
              <w:rPr>
                <w:rFonts w:ascii="Arial" w:hAnsi="Arial"/>
                <w:sz w:val="20"/>
                <w:szCs w:val="20"/>
              </w:rPr>
            </w:pPr>
            <w:r w:rsidRPr="00A14AF8">
              <w:rPr>
                <w:rFonts w:ascii="Arial" w:hAnsi="Arial"/>
                <w:sz w:val="20"/>
                <w:szCs w:val="20"/>
              </w:rPr>
              <w:t>0.372</w:t>
            </w:r>
          </w:p>
        </w:tc>
        <w:tc>
          <w:tcPr>
            <w:tcW w:w="1080" w:type="dxa"/>
            <w:tcBorders>
              <w:top w:val="nil"/>
              <w:left w:val="nil"/>
              <w:bottom w:val="nil"/>
              <w:right w:val="nil"/>
            </w:tcBorders>
            <w:shd w:val="clear" w:color="auto" w:fill="auto"/>
            <w:noWrap/>
            <w:vAlign w:val="bottom"/>
            <w:hideMark/>
          </w:tcPr>
          <w:p w14:paraId="0DC9FBA8" w14:textId="77777777" w:rsidR="0049498A" w:rsidRPr="00A14AF8" w:rsidRDefault="0049498A" w:rsidP="0049498A">
            <w:pPr>
              <w:jc w:val="center"/>
              <w:rPr>
                <w:rFonts w:ascii="Arial" w:hAnsi="Arial"/>
                <w:sz w:val="20"/>
                <w:szCs w:val="20"/>
              </w:rPr>
            </w:pPr>
            <w:r w:rsidRPr="00A14AF8">
              <w:rPr>
                <w:rFonts w:ascii="Arial" w:hAnsi="Arial"/>
                <w:sz w:val="20"/>
                <w:szCs w:val="20"/>
              </w:rPr>
              <w:t>0.556</w:t>
            </w:r>
          </w:p>
        </w:tc>
        <w:tc>
          <w:tcPr>
            <w:tcW w:w="720" w:type="dxa"/>
            <w:tcBorders>
              <w:top w:val="nil"/>
              <w:left w:val="nil"/>
              <w:bottom w:val="nil"/>
              <w:right w:val="nil"/>
            </w:tcBorders>
            <w:shd w:val="clear" w:color="auto" w:fill="auto"/>
            <w:noWrap/>
            <w:vAlign w:val="bottom"/>
            <w:hideMark/>
          </w:tcPr>
          <w:p w14:paraId="18C8082B" w14:textId="77777777" w:rsidR="0049498A" w:rsidRPr="00A14AF8" w:rsidRDefault="0049498A" w:rsidP="0049498A">
            <w:pPr>
              <w:jc w:val="center"/>
              <w:rPr>
                <w:rFonts w:ascii="Arial" w:hAnsi="Arial"/>
                <w:sz w:val="20"/>
                <w:szCs w:val="20"/>
              </w:rPr>
            </w:pPr>
            <w:r w:rsidRPr="00A14AF8">
              <w:rPr>
                <w:rFonts w:ascii="Arial" w:hAnsi="Arial"/>
                <w:sz w:val="20"/>
                <w:szCs w:val="20"/>
              </w:rPr>
              <w:t>0.000</w:t>
            </w:r>
          </w:p>
        </w:tc>
        <w:tc>
          <w:tcPr>
            <w:tcW w:w="990" w:type="dxa"/>
            <w:tcBorders>
              <w:top w:val="nil"/>
              <w:left w:val="nil"/>
              <w:bottom w:val="nil"/>
              <w:right w:val="nil"/>
            </w:tcBorders>
            <w:shd w:val="clear" w:color="auto" w:fill="auto"/>
            <w:noWrap/>
            <w:vAlign w:val="bottom"/>
            <w:hideMark/>
          </w:tcPr>
          <w:p w14:paraId="4CEE0C92" w14:textId="77777777" w:rsidR="0049498A" w:rsidRPr="00A14AF8" w:rsidRDefault="0049498A" w:rsidP="0049498A">
            <w:pPr>
              <w:jc w:val="center"/>
              <w:rPr>
                <w:rFonts w:ascii="Arial" w:hAnsi="Arial"/>
                <w:sz w:val="20"/>
                <w:szCs w:val="20"/>
              </w:rPr>
            </w:pPr>
            <w:r w:rsidRPr="00A14AF8">
              <w:rPr>
                <w:rFonts w:ascii="Arial" w:hAnsi="Arial"/>
                <w:sz w:val="20"/>
                <w:szCs w:val="20"/>
              </w:rPr>
              <w:t>0.461</w:t>
            </w:r>
          </w:p>
        </w:tc>
        <w:tc>
          <w:tcPr>
            <w:tcW w:w="900" w:type="dxa"/>
            <w:tcBorders>
              <w:top w:val="nil"/>
              <w:left w:val="nil"/>
              <w:bottom w:val="nil"/>
              <w:right w:val="nil"/>
            </w:tcBorders>
            <w:shd w:val="clear" w:color="auto" w:fill="auto"/>
            <w:noWrap/>
            <w:vAlign w:val="bottom"/>
            <w:hideMark/>
          </w:tcPr>
          <w:p w14:paraId="63652AA8" w14:textId="77777777" w:rsidR="0049498A" w:rsidRPr="00A14AF8" w:rsidRDefault="0049498A" w:rsidP="0049498A">
            <w:pPr>
              <w:jc w:val="center"/>
              <w:rPr>
                <w:rFonts w:ascii="Arial" w:hAnsi="Arial"/>
                <w:sz w:val="20"/>
                <w:szCs w:val="20"/>
              </w:rPr>
            </w:pPr>
            <w:r w:rsidRPr="00A14AF8">
              <w:rPr>
                <w:rFonts w:ascii="Arial" w:hAnsi="Arial"/>
                <w:sz w:val="20"/>
                <w:szCs w:val="20"/>
              </w:rPr>
              <w:t>0.530</w:t>
            </w:r>
          </w:p>
        </w:tc>
        <w:tc>
          <w:tcPr>
            <w:tcW w:w="810" w:type="dxa"/>
            <w:tcBorders>
              <w:top w:val="nil"/>
              <w:left w:val="nil"/>
              <w:bottom w:val="nil"/>
              <w:right w:val="nil"/>
            </w:tcBorders>
            <w:shd w:val="clear" w:color="auto" w:fill="auto"/>
            <w:noWrap/>
            <w:vAlign w:val="bottom"/>
            <w:hideMark/>
          </w:tcPr>
          <w:p w14:paraId="3B226545" w14:textId="77777777" w:rsidR="0049498A" w:rsidRPr="00A14AF8" w:rsidRDefault="0049498A" w:rsidP="0049498A">
            <w:pPr>
              <w:jc w:val="center"/>
              <w:rPr>
                <w:rFonts w:ascii="Arial" w:hAnsi="Arial"/>
                <w:sz w:val="20"/>
                <w:szCs w:val="20"/>
              </w:rPr>
            </w:pPr>
            <w:r w:rsidRPr="00A14AF8">
              <w:rPr>
                <w:rFonts w:ascii="Arial" w:hAnsi="Arial"/>
                <w:sz w:val="20"/>
                <w:szCs w:val="20"/>
              </w:rPr>
              <w:t>0.000</w:t>
            </w:r>
          </w:p>
        </w:tc>
        <w:tc>
          <w:tcPr>
            <w:tcW w:w="850" w:type="dxa"/>
            <w:tcBorders>
              <w:top w:val="nil"/>
              <w:left w:val="nil"/>
              <w:bottom w:val="nil"/>
              <w:right w:val="nil"/>
            </w:tcBorders>
            <w:shd w:val="clear" w:color="auto" w:fill="auto"/>
            <w:noWrap/>
            <w:vAlign w:val="bottom"/>
            <w:hideMark/>
          </w:tcPr>
          <w:p w14:paraId="3193D3AC" w14:textId="77777777" w:rsidR="0049498A" w:rsidRPr="00B91D8E" w:rsidRDefault="0049498A" w:rsidP="0049498A">
            <w:pPr>
              <w:jc w:val="center"/>
              <w:rPr>
                <w:rFonts w:ascii="Arial" w:hAnsi="Arial"/>
                <w:sz w:val="20"/>
                <w:szCs w:val="20"/>
              </w:rPr>
            </w:pPr>
            <w:r w:rsidRPr="00B91D8E">
              <w:rPr>
                <w:rFonts w:ascii="Arial" w:hAnsi="Arial"/>
                <w:sz w:val="20"/>
                <w:szCs w:val="20"/>
              </w:rPr>
              <w:t>0.409</w:t>
            </w:r>
          </w:p>
        </w:tc>
      </w:tr>
      <w:tr w:rsidR="0049498A" w:rsidRPr="0049498A" w14:paraId="03A99975" w14:textId="77777777" w:rsidTr="0049498A">
        <w:trPr>
          <w:trHeight w:val="240"/>
        </w:trPr>
        <w:tc>
          <w:tcPr>
            <w:tcW w:w="2175" w:type="dxa"/>
            <w:tcBorders>
              <w:top w:val="nil"/>
              <w:left w:val="nil"/>
              <w:bottom w:val="nil"/>
              <w:right w:val="nil"/>
            </w:tcBorders>
            <w:shd w:val="clear" w:color="auto" w:fill="auto"/>
            <w:noWrap/>
            <w:vAlign w:val="bottom"/>
            <w:hideMark/>
          </w:tcPr>
          <w:p w14:paraId="2C8E9CCE" w14:textId="77777777" w:rsidR="0049498A" w:rsidRPr="00B91D8E" w:rsidRDefault="0049498A" w:rsidP="0049498A">
            <w:pPr>
              <w:rPr>
                <w:rFonts w:ascii="Arial" w:hAnsi="Arial"/>
                <w:sz w:val="20"/>
                <w:szCs w:val="20"/>
              </w:rPr>
            </w:pPr>
            <w:r w:rsidRPr="00B91D8E">
              <w:rPr>
                <w:rFonts w:ascii="Arial" w:hAnsi="Arial"/>
                <w:sz w:val="20"/>
                <w:szCs w:val="20"/>
              </w:rPr>
              <w:t>Household head male</w:t>
            </w:r>
          </w:p>
        </w:tc>
        <w:tc>
          <w:tcPr>
            <w:tcW w:w="945" w:type="dxa"/>
            <w:tcBorders>
              <w:top w:val="nil"/>
              <w:left w:val="nil"/>
              <w:bottom w:val="nil"/>
              <w:right w:val="nil"/>
            </w:tcBorders>
            <w:shd w:val="clear" w:color="auto" w:fill="auto"/>
            <w:noWrap/>
            <w:vAlign w:val="bottom"/>
            <w:hideMark/>
          </w:tcPr>
          <w:p w14:paraId="76225E9A" w14:textId="77777777" w:rsidR="0049498A" w:rsidRPr="00A14AF8" w:rsidRDefault="0049498A" w:rsidP="0049498A">
            <w:pPr>
              <w:jc w:val="center"/>
              <w:rPr>
                <w:rFonts w:ascii="Arial" w:hAnsi="Arial"/>
                <w:sz w:val="20"/>
                <w:szCs w:val="20"/>
              </w:rPr>
            </w:pPr>
            <w:r w:rsidRPr="00A14AF8">
              <w:rPr>
                <w:rFonts w:ascii="Arial" w:hAnsi="Arial"/>
                <w:sz w:val="20"/>
                <w:szCs w:val="20"/>
              </w:rPr>
              <w:t>0.616</w:t>
            </w:r>
          </w:p>
        </w:tc>
        <w:tc>
          <w:tcPr>
            <w:tcW w:w="765" w:type="dxa"/>
            <w:tcBorders>
              <w:top w:val="nil"/>
              <w:left w:val="nil"/>
              <w:bottom w:val="nil"/>
              <w:right w:val="nil"/>
            </w:tcBorders>
            <w:shd w:val="clear" w:color="auto" w:fill="auto"/>
            <w:noWrap/>
            <w:vAlign w:val="bottom"/>
            <w:hideMark/>
          </w:tcPr>
          <w:p w14:paraId="1F943CFF" w14:textId="77777777" w:rsidR="0049498A" w:rsidRPr="00A14AF8" w:rsidRDefault="0049498A" w:rsidP="0049498A">
            <w:pPr>
              <w:jc w:val="center"/>
              <w:rPr>
                <w:rFonts w:ascii="Arial" w:hAnsi="Arial"/>
                <w:sz w:val="20"/>
                <w:szCs w:val="20"/>
              </w:rPr>
            </w:pPr>
            <w:r w:rsidRPr="00A14AF8">
              <w:rPr>
                <w:rFonts w:ascii="Arial" w:hAnsi="Arial"/>
                <w:sz w:val="20"/>
                <w:szCs w:val="20"/>
              </w:rPr>
              <w:t>0.008</w:t>
            </w:r>
          </w:p>
        </w:tc>
        <w:tc>
          <w:tcPr>
            <w:tcW w:w="810" w:type="dxa"/>
            <w:tcBorders>
              <w:top w:val="nil"/>
              <w:left w:val="nil"/>
              <w:bottom w:val="nil"/>
              <w:right w:val="nil"/>
            </w:tcBorders>
            <w:shd w:val="clear" w:color="auto" w:fill="auto"/>
            <w:noWrap/>
            <w:vAlign w:val="bottom"/>
            <w:hideMark/>
          </w:tcPr>
          <w:p w14:paraId="14F4D0A4" w14:textId="77777777" w:rsidR="0049498A" w:rsidRPr="00A14AF8" w:rsidRDefault="0049498A" w:rsidP="0049498A">
            <w:pPr>
              <w:jc w:val="center"/>
              <w:rPr>
                <w:rFonts w:ascii="Arial" w:hAnsi="Arial"/>
                <w:sz w:val="20"/>
                <w:szCs w:val="20"/>
              </w:rPr>
            </w:pPr>
            <w:r w:rsidRPr="00A14AF8">
              <w:rPr>
                <w:rFonts w:ascii="Arial" w:hAnsi="Arial"/>
                <w:sz w:val="20"/>
                <w:szCs w:val="20"/>
              </w:rPr>
              <w:t>0.430</w:t>
            </w:r>
          </w:p>
        </w:tc>
        <w:tc>
          <w:tcPr>
            <w:tcW w:w="1080" w:type="dxa"/>
            <w:tcBorders>
              <w:top w:val="nil"/>
              <w:left w:val="nil"/>
              <w:bottom w:val="nil"/>
              <w:right w:val="nil"/>
            </w:tcBorders>
            <w:shd w:val="clear" w:color="auto" w:fill="auto"/>
            <w:noWrap/>
            <w:vAlign w:val="bottom"/>
            <w:hideMark/>
          </w:tcPr>
          <w:p w14:paraId="0EF4DA6E" w14:textId="77777777" w:rsidR="0049498A" w:rsidRPr="00A14AF8" w:rsidRDefault="0049498A" w:rsidP="0049498A">
            <w:pPr>
              <w:jc w:val="center"/>
              <w:rPr>
                <w:rFonts w:ascii="Arial" w:hAnsi="Arial"/>
                <w:sz w:val="20"/>
                <w:szCs w:val="20"/>
              </w:rPr>
            </w:pPr>
            <w:r w:rsidRPr="00A14AF8">
              <w:rPr>
                <w:rFonts w:ascii="Arial" w:hAnsi="Arial"/>
                <w:sz w:val="20"/>
                <w:szCs w:val="20"/>
              </w:rPr>
              <w:t>0.882</w:t>
            </w:r>
          </w:p>
        </w:tc>
        <w:tc>
          <w:tcPr>
            <w:tcW w:w="720" w:type="dxa"/>
            <w:tcBorders>
              <w:top w:val="nil"/>
              <w:left w:val="nil"/>
              <w:bottom w:val="nil"/>
              <w:right w:val="nil"/>
            </w:tcBorders>
            <w:shd w:val="clear" w:color="auto" w:fill="auto"/>
            <w:noWrap/>
            <w:vAlign w:val="bottom"/>
            <w:hideMark/>
          </w:tcPr>
          <w:p w14:paraId="626C5FF0" w14:textId="77777777" w:rsidR="0049498A" w:rsidRPr="00A14AF8" w:rsidRDefault="0049498A" w:rsidP="0049498A">
            <w:pPr>
              <w:jc w:val="center"/>
              <w:rPr>
                <w:rFonts w:ascii="Arial" w:hAnsi="Arial"/>
                <w:sz w:val="20"/>
                <w:szCs w:val="20"/>
              </w:rPr>
            </w:pPr>
            <w:r w:rsidRPr="00A14AF8">
              <w:rPr>
                <w:rFonts w:ascii="Arial" w:hAnsi="Arial"/>
                <w:sz w:val="20"/>
                <w:szCs w:val="20"/>
              </w:rPr>
              <w:t>0.447</w:t>
            </w:r>
          </w:p>
        </w:tc>
        <w:tc>
          <w:tcPr>
            <w:tcW w:w="990" w:type="dxa"/>
            <w:tcBorders>
              <w:top w:val="nil"/>
              <w:left w:val="nil"/>
              <w:bottom w:val="nil"/>
              <w:right w:val="nil"/>
            </w:tcBorders>
            <w:shd w:val="clear" w:color="auto" w:fill="auto"/>
            <w:noWrap/>
            <w:vAlign w:val="bottom"/>
            <w:hideMark/>
          </w:tcPr>
          <w:p w14:paraId="72A959F1" w14:textId="77777777" w:rsidR="0049498A" w:rsidRPr="00A14AF8" w:rsidRDefault="0049498A" w:rsidP="0049498A">
            <w:pPr>
              <w:jc w:val="center"/>
              <w:rPr>
                <w:rFonts w:ascii="Arial" w:hAnsi="Arial"/>
                <w:sz w:val="20"/>
                <w:szCs w:val="20"/>
              </w:rPr>
            </w:pPr>
            <w:r w:rsidRPr="00A14AF8">
              <w:rPr>
                <w:rFonts w:ascii="Arial" w:hAnsi="Arial"/>
                <w:sz w:val="20"/>
                <w:szCs w:val="20"/>
              </w:rPr>
              <w:t>0.639</w:t>
            </w:r>
          </w:p>
        </w:tc>
        <w:tc>
          <w:tcPr>
            <w:tcW w:w="900" w:type="dxa"/>
            <w:tcBorders>
              <w:top w:val="nil"/>
              <w:left w:val="nil"/>
              <w:bottom w:val="nil"/>
              <w:right w:val="nil"/>
            </w:tcBorders>
            <w:shd w:val="clear" w:color="auto" w:fill="auto"/>
            <w:noWrap/>
            <w:vAlign w:val="bottom"/>
            <w:hideMark/>
          </w:tcPr>
          <w:p w14:paraId="65EC77FF" w14:textId="77777777" w:rsidR="0049498A" w:rsidRPr="00A14AF8" w:rsidRDefault="0049498A" w:rsidP="0049498A">
            <w:pPr>
              <w:jc w:val="center"/>
              <w:rPr>
                <w:rFonts w:ascii="Arial" w:hAnsi="Arial"/>
                <w:sz w:val="20"/>
                <w:szCs w:val="20"/>
              </w:rPr>
            </w:pPr>
            <w:r w:rsidRPr="00A14AF8">
              <w:rPr>
                <w:rFonts w:ascii="Arial" w:hAnsi="Arial"/>
                <w:sz w:val="20"/>
                <w:szCs w:val="20"/>
              </w:rPr>
              <w:t>0.576</w:t>
            </w:r>
          </w:p>
        </w:tc>
        <w:tc>
          <w:tcPr>
            <w:tcW w:w="810" w:type="dxa"/>
            <w:tcBorders>
              <w:top w:val="nil"/>
              <w:left w:val="nil"/>
              <w:bottom w:val="nil"/>
              <w:right w:val="nil"/>
            </w:tcBorders>
            <w:shd w:val="clear" w:color="auto" w:fill="auto"/>
            <w:noWrap/>
            <w:vAlign w:val="bottom"/>
            <w:hideMark/>
          </w:tcPr>
          <w:p w14:paraId="3BC45ECF" w14:textId="77777777" w:rsidR="0049498A" w:rsidRPr="00A14AF8" w:rsidRDefault="0049498A" w:rsidP="0049498A">
            <w:pPr>
              <w:jc w:val="center"/>
              <w:rPr>
                <w:rFonts w:ascii="Arial" w:hAnsi="Arial"/>
                <w:sz w:val="20"/>
                <w:szCs w:val="20"/>
              </w:rPr>
            </w:pPr>
            <w:r w:rsidRPr="00A14AF8">
              <w:rPr>
                <w:rFonts w:ascii="Arial" w:hAnsi="Arial"/>
                <w:sz w:val="20"/>
                <w:szCs w:val="20"/>
              </w:rPr>
              <w:t>0.011</w:t>
            </w:r>
          </w:p>
        </w:tc>
        <w:tc>
          <w:tcPr>
            <w:tcW w:w="850" w:type="dxa"/>
            <w:tcBorders>
              <w:top w:val="nil"/>
              <w:left w:val="nil"/>
              <w:bottom w:val="nil"/>
              <w:right w:val="nil"/>
            </w:tcBorders>
            <w:shd w:val="clear" w:color="auto" w:fill="auto"/>
            <w:noWrap/>
            <w:vAlign w:val="bottom"/>
            <w:hideMark/>
          </w:tcPr>
          <w:p w14:paraId="7775F79F" w14:textId="77777777" w:rsidR="0049498A" w:rsidRPr="00B91D8E" w:rsidRDefault="0049498A" w:rsidP="0049498A">
            <w:pPr>
              <w:jc w:val="center"/>
              <w:rPr>
                <w:rFonts w:ascii="Arial" w:hAnsi="Arial"/>
                <w:sz w:val="20"/>
                <w:szCs w:val="20"/>
              </w:rPr>
            </w:pPr>
            <w:r w:rsidRPr="00B91D8E">
              <w:rPr>
                <w:rFonts w:ascii="Arial" w:hAnsi="Arial"/>
                <w:sz w:val="20"/>
                <w:szCs w:val="20"/>
              </w:rPr>
              <w:t>0.377</w:t>
            </w:r>
          </w:p>
        </w:tc>
      </w:tr>
      <w:tr w:rsidR="0049498A" w:rsidRPr="0049498A" w14:paraId="14CAD688" w14:textId="77777777" w:rsidTr="0049498A">
        <w:trPr>
          <w:trHeight w:val="240"/>
        </w:trPr>
        <w:tc>
          <w:tcPr>
            <w:tcW w:w="2175" w:type="dxa"/>
            <w:tcBorders>
              <w:top w:val="nil"/>
              <w:left w:val="nil"/>
              <w:bottom w:val="nil"/>
              <w:right w:val="nil"/>
            </w:tcBorders>
            <w:shd w:val="clear" w:color="auto" w:fill="auto"/>
            <w:noWrap/>
            <w:vAlign w:val="bottom"/>
            <w:hideMark/>
          </w:tcPr>
          <w:p w14:paraId="1C70D960" w14:textId="77777777" w:rsidR="0049498A" w:rsidRPr="00B91D8E" w:rsidRDefault="0049498A" w:rsidP="0049498A">
            <w:pPr>
              <w:rPr>
                <w:rFonts w:ascii="Arial" w:hAnsi="Arial"/>
                <w:sz w:val="20"/>
                <w:szCs w:val="20"/>
              </w:rPr>
            </w:pPr>
            <w:r w:rsidRPr="00B91D8E">
              <w:rPr>
                <w:rFonts w:ascii="Arial" w:hAnsi="Arial"/>
                <w:sz w:val="20"/>
                <w:szCs w:val="20"/>
              </w:rPr>
              <w:t>Quintile 2</w:t>
            </w:r>
          </w:p>
        </w:tc>
        <w:tc>
          <w:tcPr>
            <w:tcW w:w="945" w:type="dxa"/>
            <w:tcBorders>
              <w:top w:val="nil"/>
              <w:left w:val="nil"/>
              <w:bottom w:val="nil"/>
              <w:right w:val="nil"/>
            </w:tcBorders>
            <w:shd w:val="clear" w:color="auto" w:fill="auto"/>
            <w:noWrap/>
            <w:vAlign w:val="bottom"/>
            <w:hideMark/>
          </w:tcPr>
          <w:p w14:paraId="304FF05F" w14:textId="77777777" w:rsidR="0049498A" w:rsidRPr="00A14AF8" w:rsidRDefault="0049498A" w:rsidP="0049498A">
            <w:pPr>
              <w:jc w:val="center"/>
              <w:rPr>
                <w:rFonts w:ascii="Arial" w:hAnsi="Arial"/>
                <w:sz w:val="20"/>
                <w:szCs w:val="20"/>
              </w:rPr>
            </w:pPr>
            <w:r w:rsidRPr="00A14AF8">
              <w:rPr>
                <w:rFonts w:ascii="Arial" w:hAnsi="Arial"/>
                <w:sz w:val="20"/>
                <w:szCs w:val="20"/>
              </w:rPr>
              <w:t>1.325</w:t>
            </w:r>
          </w:p>
        </w:tc>
        <w:tc>
          <w:tcPr>
            <w:tcW w:w="765" w:type="dxa"/>
            <w:tcBorders>
              <w:top w:val="nil"/>
              <w:left w:val="nil"/>
              <w:bottom w:val="nil"/>
              <w:right w:val="nil"/>
            </w:tcBorders>
            <w:shd w:val="clear" w:color="auto" w:fill="auto"/>
            <w:noWrap/>
            <w:vAlign w:val="bottom"/>
            <w:hideMark/>
          </w:tcPr>
          <w:p w14:paraId="05C544B5" w14:textId="77777777" w:rsidR="0049498A" w:rsidRPr="00A14AF8" w:rsidRDefault="0049498A" w:rsidP="0049498A">
            <w:pPr>
              <w:jc w:val="center"/>
              <w:rPr>
                <w:rFonts w:ascii="Arial" w:hAnsi="Arial"/>
                <w:sz w:val="20"/>
                <w:szCs w:val="20"/>
              </w:rPr>
            </w:pPr>
            <w:r w:rsidRPr="00A14AF8">
              <w:rPr>
                <w:rFonts w:ascii="Arial" w:hAnsi="Arial"/>
                <w:sz w:val="20"/>
                <w:szCs w:val="20"/>
              </w:rPr>
              <w:t>0.392</w:t>
            </w:r>
          </w:p>
        </w:tc>
        <w:tc>
          <w:tcPr>
            <w:tcW w:w="810" w:type="dxa"/>
            <w:tcBorders>
              <w:top w:val="nil"/>
              <w:left w:val="nil"/>
              <w:bottom w:val="nil"/>
              <w:right w:val="nil"/>
            </w:tcBorders>
            <w:shd w:val="clear" w:color="auto" w:fill="auto"/>
            <w:noWrap/>
            <w:vAlign w:val="bottom"/>
            <w:hideMark/>
          </w:tcPr>
          <w:p w14:paraId="7BE97F36" w14:textId="77777777" w:rsidR="0049498A" w:rsidRPr="00A14AF8" w:rsidRDefault="0049498A" w:rsidP="0049498A">
            <w:pPr>
              <w:jc w:val="center"/>
              <w:rPr>
                <w:rFonts w:ascii="Arial" w:hAnsi="Arial"/>
                <w:sz w:val="20"/>
                <w:szCs w:val="20"/>
              </w:rPr>
            </w:pPr>
            <w:r w:rsidRPr="00A14AF8">
              <w:rPr>
                <w:rFonts w:ascii="Arial" w:hAnsi="Arial"/>
                <w:sz w:val="20"/>
                <w:szCs w:val="20"/>
              </w:rPr>
              <w:t>0.695</w:t>
            </w:r>
          </w:p>
        </w:tc>
        <w:tc>
          <w:tcPr>
            <w:tcW w:w="1080" w:type="dxa"/>
            <w:tcBorders>
              <w:top w:val="nil"/>
              <w:left w:val="nil"/>
              <w:bottom w:val="nil"/>
              <w:right w:val="nil"/>
            </w:tcBorders>
            <w:shd w:val="clear" w:color="auto" w:fill="auto"/>
            <w:noWrap/>
            <w:vAlign w:val="bottom"/>
            <w:hideMark/>
          </w:tcPr>
          <w:p w14:paraId="47C221F1" w14:textId="77777777" w:rsidR="0049498A" w:rsidRPr="00A14AF8" w:rsidRDefault="0049498A" w:rsidP="0049498A">
            <w:pPr>
              <w:jc w:val="center"/>
              <w:rPr>
                <w:rFonts w:ascii="Arial" w:hAnsi="Arial"/>
                <w:sz w:val="20"/>
                <w:szCs w:val="20"/>
              </w:rPr>
            </w:pPr>
            <w:r w:rsidRPr="00A14AF8">
              <w:rPr>
                <w:rFonts w:ascii="Arial" w:hAnsi="Arial"/>
                <w:sz w:val="20"/>
                <w:szCs w:val="20"/>
              </w:rPr>
              <w:t>1.394</w:t>
            </w:r>
          </w:p>
        </w:tc>
        <w:tc>
          <w:tcPr>
            <w:tcW w:w="720" w:type="dxa"/>
            <w:tcBorders>
              <w:top w:val="nil"/>
              <w:left w:val="nil"/>
              <w:bottom w:val="nil"/>
              <w:right w:val="nil"/>
            </w:tcBorders>
            <w:shd w:val="clear" w:color="auto" w:fill="auto"/>
            <w:noWrap/>
            <w:vAlign w:val="bottom"/>
            <w:hideMark/>
          </w:tcPr>
          <w:p w14:paraId="7D9D06F8" w14:textId="77777777" w:rsidR="0049498A" w:rsidRPr="00A14AF8" w:rsidRDefault="0049498A" w:rsidP="0049498A">
            <w:pPr>
              <w:jc w:val="center"/>
              <w:rPr>
                <w:rFonts w:ascii="Arial" w:hAnsi="Arial"/>
                <w:sz w:val="20"/>
                <w:szCs w:val="20"/>
              </w:rPr>
            </w:pPr>
            <w:r w:rsidRPr="00A14AF8">
              <w:rPr>
                <w:rFonts w:ascii="Arial" w:hAnsi="Arial"/>
                <w:sz w:val="20"/>
                <w:szCs w:val="20"/>
              </w:rPr>
              <w:t>0.144</w:t>
            </w:r>
          </w:p>
        </w:tc>
        <w:tc>
          <w:tcPr>
            <w:tcW w:w="990" w:type="dxa"/>
            <w:tcBorders>
              <w:top w:val="nil"/>
              <w:left w:val="nil"/>
              <w:bottom w:val="nil"/>
              <w:right w:val="nil"/>
            </w:tcBorders>
            <w:shd w:val="clear" w:color="auto" w:fill="auto"/>
            <w:noWrap/>
            <w:vAlign w:val="bottom"/>
            <w:hideMark/>
          </w:tcPr>
          <w:p w14:paraId="0C2151EE" w14:textId="77777777" w:rsidR="0049498A" w:rsidRPr="00A14AF8" w:rsidRDefault="0049498A" w:rsidP="0049498A">
            <w:pPr>
              <w:jc w:val="center"/>
              <w:rPr>
                <w:rFonts w:ascii="Arial" w:hAnsi="Arial"/>
                <w:sz w:val="20"/>
                <w:szCs w:val="20"/>
              </w:rPr>
            </w:pPr>
            <w:r w:rsidRPr="00A14AF8">
              <w:rPr>
                <w:rFonts w:ascii="Arial" w:hAnsi="Arial"/>
                <w:sz w:val="20"/>
                <w:szCs w:val="20"/>
              </w:rPr>
              <w:t>0.892</w:t>
            </w:r>
          </w:p>
        </w:tc>
        <w:tc>
          <w:tcPr>
            <w:tcW w:w="900" w:type="dxa"/>
            <w:tcBorders>
              <w:top w:val="nil"/>
              <w:left w:val="nil"/>
              <w:bottom w:val="nil"/>
              <w:right w:val="nil"/>
            </w:tcBorders>
            <w:shd w:val="clear" w:color="auto" w:fill="auto"/>
            <w:noWrap/>
            <w:vAlign w:val="bottom"/>
            <w:hideMark/>
          </w:tcPr>
          <w:p w14:paraId="7550D86C" w14:textId="77777777" w:rsidR="0049498A" w:rsidRPr="00A14AF8" w:rsidRDefault="0049498A" w:rsidP="0049498A">
            <w:pPr>
              <w:jc w:val="center"/>
              <w:rPr>
                <w:rFonts w:ascii="Arial" w:hAnsi="Arial"/>
                <w:sz w:val="20"/>
                <w:szCs w:val="20"/>
              </w:rPr>
            </w:pPr>
            <w:r w:rsidRPr="00A14AF8">
              <w:rPr>
                <w:rFonts w:ascii="Arial" w:hAnsi="Arial"/>
                <w:sz w:val="20"/>
                <w:szCs w:val="20"/>
              </w:rPr>
              <w:t>1.951</w:t>
            </w:r>
          </w:p>
        </w:tc>
        <w:tc>
          <w:tcPr>
            <w:tcW w:w="810" w:type="dxa"/>
            <w:tcBorders>
              <w:top w:val="nil"/>
              <w:left w:val="nil"/>
              <w:bottom w:val="nil"/>
              <w:right w:val="nil"/>
            </w:tcBorders>
            <w:shd w:val="clear" w:color="auto" w:fill="auto"/>
            <w:noWrap/>
            <w:vAlign w:val="bottom"/>
            <w:hideMark/>
          </w:tcPr>
          <w:p w14:paraId="398B9395" w14:textId="77777777" w:rsidR="0049498A" w:rsidRPr="00A14AF8" w:rsidRDefault="0049498A" w:rsidP="0049498A">
            <w:pPr>
              <w:jc w:val="center"/>
              <w:rPr>
                <w:rFonts w:ascii="Arial" w:hAnsi="Arial"/>
                <w:sz w:val="20"/>
                <w:szCs w:val="20"/>
              </w:rPr>
            </w:pPr>
            <w:r w:rsidRPr="00A14AF8">
              <w:rPr>
                <w:rFonts w:ascii="Arial" w:hAnsi="Arial"/>
                <w:sz w:val="20"/>
                <w:szCs w:val="20"/>
              </w:rPr>
              <w:t>0.162</w:t>
            </w:r>
          </w:p>
        </w:tc>
        <w:tc>
          <w:tcPr>
            <w:tcW w:w="850" w:type="dxa"/>
            <w:tcBorders>
              <w:top w:val="nil"/>
              <w:left w:val="nil"/>
              <w:bottom w:val="nil"/>
              <w:right w:val="nil"/>
            </w:tcBorders>
            <w:shd w:val="clear" w:color="auto" w:fill="auto"/>
            <w:noWrap/>
            <w:vAlign w:val="bottom"/>
            <w:hideMark/>
          </w:tcPr>
          <w:p w14:paraId="3AA987C8" w14:textId="77777777" w:rsidR="0049498A" w:rsidRPr="00B91D8E" w:rsidRDefault="0049498A" w:rsidP="0049498A">
            <w:pPr>
              <w:jc w:val="center"/>
              <w:rPr>
                <w:rFonts w:ascii="Arial" w:hAnsi="Arial"/>
                <w:sz w:val="20"/>
                <w:szCs w:val="20"/>
              </w:rPr>
            </w:pPr>
            <w:r w:rsidRPr="00B91D8E">
              <w:rPr>
                <w:rFonts w:ascii="Arial" w:hAnsi="Arial"/>
                <w:sz w:val="20"/>
                <w:szCs w:val="20"/>
              </w:rPr>
              <w:t>0.764</w:t>
            </w:r>
          </w:p>
        </w:tc>
      </w:tr>
      <w:tr w:rsidR="0049498A" w:rsidRPr="0049498A" w14:paraId="1DC25CFC" w14:textId="77777777" w:rsidTr="0049498A">
        <w:trPr>
          <w:trHeight w:val="240"/>
        </w:trPr>
        <w:tc>
          <w:tcPr>
            <w:tcW w:w="2175" w:type="dxa"/>
            <w:tcBorders>
              <w:top w:val="nil"/>
              <w:left w:val="nil"/>
              <w:bottom w:val="nil"/>
              <w:right w:val="nil"/>
            </w:tcBorders>
            <w:shd w:val="clear" w:color="auto" w:fill="auto"/>
            <w:noWrap/>
            <w:vAlign w:val="bottom"/>
            <w:hideMark/>
          </w:tcPr>
          <w:p w14:paraId="4494CED6" w14:textId="77777777" w:rsidR="0049498A" w:rsidRPr="00B91D8E" w:rsidRDefault="0049498A" w:rsidP="0049498A">
            <w:pPr>
              <w:rPr>
                <w:rFonts w:ascii="Arial" w:hAnsi="Arial"/>
                <w:sz w:val="20"/>
                <w:szCs w:val="20"/>
              </w:rPr>
            </w:pPr>
            <w:r w:rsidRPr="00B91D8E">
              <w:rPr>
                <w:rFonts w:ascii="Arial" w:hAnsi="Arial"/>
                <w:sz w:val="20"/>
                <w:szCs w:val="20"/>
              </w:rPr>
              <w:t>Quintile 3</w:t>
            </w:r>
          </w:p>
        </w:tc>
        <w:tc>
          <w:tcPr>
            <w:tcW w:w="945" w:type="dxa"/>
            <w:tcBorders>
              <w:top w:val="nil"/>
              <w:left w:val="nil"/>
              <w:bottom w:val="nil"/>
              <w:right w:val="nil"/>
            </w:tcBorders>
            <w:shd w:val="clear" w:color="auto" w:fill="auto"/>
            <w:noWrap/>
            <w:vAlign w:val="bottom"/>
            <w:hideMark/>
          </w:tcPr>
          <w:p w14:paraId="1BCFC0C2" w14:textId="77777777" w:rsidR="0049498A" w:rsidRPr="00A14AF8" w:rsidRDefault="0049498A" w:rsidP="0049498A">
            <w:pPr>
              <w:jc w:val="center"/>
              <w:rPr>
                <w:rFonts w:ascii="Arial" w:hAnsi="Arial"/>
                <w:sz w:val="20"/>
                <w:szCs w:val="20"/>
              </w:rPr>
            </w:pPr>
            <w:r w:rsidRPr="00A14AF8">
              <w:rPr>
                <w:rFonts w:ascii="Arial" w:hAnsi="Arial"/>
                <w:sz w:val="20"/>
                <w:szCs w:val="20"/>
              </w:rPr>
              <w:t>1.873</w:t>
            </w:r>
          </w:p>
        </w:tc>
        <w:tc>
          <w:tcPr>
            <w:tcW w:w="765" w:type="dxa"/>
            <w:tcBorders>
              <w:top w:val="nil"/>
              <w:left w:val="nil"/>
              <w:bottom w:val="nil"/>
              <w:right w:val="nil"/>
            </w:tcBorders>
            <w:shd w:val="clear" w:color="auto" w:fill="auto"/>
            <w:noWrap/>
            <w:vAlign w:val="bottom"/>
            <w:hideMark/>
          </w:tcPr>
          <w:p w14:paraId="0C22A43A" w14:textId="77777777" w:rsidR="0049498A" w:rsidRPr="00A14AF8" w:rsidRDefault="0049498A" w:rsidP="0049498A">
            <w:pPr>
              <w:jc w:val="center"/>
              <w:rPr>
                <w:rFonts w:ascii="Arial" w:hAnsi="Arial"/>
                <w:sz w:val="20"/>
                <w:szCs w:val="20"/>
              </w:rPr>
            </w:pPr>
            <w:r w:rsidRPr="00A14AF8">
              <w:rPr>
                <w:rFonts w:ascii="Arial" w:hAnsi="Arial"/>
                <w:sz w:val="20"/>
                <w:szCs w:val="20"/>
              </w:rPr>
              <w:t>0.056</w:t>
            </w:r>
          </w:p>
        </w:tc>
        <w:tc>
          <w:tcPr>
            <w:tcW w:w="810" w:type="dxa"/>
            <w:tcBorders>
              <w:top w:val="nil"/>
              <w:left w:val="nil"/>
              <w:bottom w:val="nil"/>
              <w:right w:val="nil"/>
            </w:tcBorders>
            <w:shd w:val="clear" w:color="auto" w:fill="auto"/>
            <w:noWrap/>
            <w:vAlign w:val="bottom"/>
            <w:hideMark/>
          </w:tcPr>
          <w:p w14:paraId="2802FF11" w14:textId="77777777" w:rsidR="0049498A" w:rsidRPr="00A14AF8" w:rsidRDefault="0049498A" w:rsidP="0049498A">
            <w:pPr>
              <w:jc w:val="center"/>
              <w:rPr>
                <w:rFonts w:ascii="Arial" w:hAnsi="Arial"/>
                <w:sz w:val="20"/>
                <w:szCs w:val="20"/>
              </w:rPr>
            </w:pPr>
            <w:r w:rsidRPr="00A14AF8">
              <w:rPr>
                <w:rFonts w:ascii="Arial" w:hAnsi="Arial"/>
                <w:sz w:val="20"/>
                <w:szCs w:val="20"/>
              </w:rPr>
              <w:t>0.984</w:t>
            </w:r>
          </w:p>
        </w:tc>
        <w:tc>
          <w:tcPr>
            <w:tcW w:w="1080" w:type="dxa"/>
            <w:tcBorders>
              <w:top w:val="nil"/>
              <w:left w:val="nil"/>
              <w:bottom w:val="nil"/>
              <w:right w:val="nil"/>
            </w:tcBorders>
            <w:shd w:val="clear" w:color="auto" w:fill="auto"/>
            <w:noWrap/>
            <w:vAlign w:val="bottom"/>
            <w:hideMark/>
          </w:tcPr>
          <w:p w14:paraId="15FFF948" w14:textId="77777777" w:rsidR="0049498A" w:rsidRPr="00A14AF8" w:rsidRDefault="0049498A" w:rsidP="0049498A">
            <w:pPr>
              <w:jc w:val="center"/>
              <w:rPr>
                <w:rFonts w:ascii="Arial" w:hAnsi="Arial"/>
                <w:sz w:val="20"/>
                <w:szCs w:val="20"/>
              </w:rPr>
            </w:pPr>
            <w:r w:rsidRPr="00A14AF8">
              <w:rPr>
                <w:rFonts w:ascii="Arial" w:hAnsi="Arial"/>
                <w:sz w:val="20"/>
                <w:szCs w:val="20"/>
              </w:rPr>
              <w:t>1.322</w:t>
            </w:r>
          </w:p>
        </w:tc>
        <w:tc>
          <w:tcPr>
            <w:tcW w:w="720" w:type="dxa"/>
            <w:tcBorders>
              <w:top w:val="nil"/>
              <w:left w:val="nil"/>
              <w:bottom w:val="nil"/>
              <w:right w:val="nil"/>
            </w:tcBorders>
            <w:shd w:val="clear" w:color="auto" w:fill="auto"/>
            <w:noWrap/>
            <w:vAlign w:val="bottom"/>
            <w:hideMark/>
          </w:tcPr>
          <w:p w14:paraId="180B0B49" w14:textId="77777777" w:rsidR="0049498A" w:rsidRPr="00A14AF8" w:rsidRDefault="0049498A" w:rsidP="0049498A">
            <w:pPr>
              <w:jc w:val="center"/>
              <w:rPr>
                <w:rFonts w:ascii="Arial" w:hAnsi="Arial"/>
                <w:sz w:val="20"/>
                <w:szCs w:val="20"/>
              </w:rPr>
            </w:pPr>
            <w:r w:rsidRPr="00A14AF8">
              <w:rPr>
                <w:rFonts w:ascii="Arial" w:hAnsi="Arial"/>
                <w:sz w:val="20"/>
                <w:szCs w:val="20"/>
              </w:rPr>
              <w:t>0.252</w:t>
            </w:r>
          </w:p>
        </w:tc>
        <w:tc>
          <w:tcPr>
            <w:tcW w:w="990" w:type="dxa"/>
            <w:tcBorders>
              <w:top w:val="nil"/>
              <w:left w:val="nil"/>
              <w:bottom w:val="nil"/>
              <w:right w:val="nil"/>
            </w:tcBorders>
            <w:shd w:val="clear" w:color="auto" w:fill="auto"/>
            <w:noWrap/>
            <w:vAlign w:val="bottom"/>
            <w:hideMark/>
          </w:tcPr>
          <w:p w14:paraId="7ABCB7F9" w14:textId="77777777" w:rsidR="0049498A" w:rsidRPr="00A14AF8" w:rsidRDefault="0049498A" w:rsidP="0049498A">
            <w:pPr>
              <w:jc w:val="center"/>
              <w:rPr>
                <w:rFonts w:ascii="Arial" w:hAnsi="Arial"/>
                <w:sz w:val="20"/>
                <w:szCs w:val="20"/>
              </w:rPr>
            </w:pPr>
            <w:r w:rsidRPr="00A14AF8">
              <w:rPr>
                <w:rFonts w:ascii="Arial" w:hAnsi="Arial"/>
                <w:sz w:val="20"/>
                <w:szCs w:val="20"/>
              </w:rPr>
              <w:t>0.820</w:t>
            </w:r>
          </w:p>
        </w:tc>
        <w:tc>
          <w:tcPr>
            <w:tcW w:w="900" w:type="dxa"/>
            <w:tcBorders>
              <w:top w:val="nil"/>
              <w:left w:val="nil"/>
              <w:bottom w:val="nil"/>
              <w:right w:val="nil"/>
            </w:tcBorders>
            <w:shd w:val="clear" w:color="auto" w:fill="auto"/>
            <w:noWrap/>
            <w:vAlign w:val="bottom"/>
            <w:hideMark/>
          </w:tcPr>
          <w:p w14:paraId="34EABE19" w14:textId="77777777" w:rsidR="0049498A" w:rsidRPr="00A14AF8" w:rsidRDefault="0049498A" w:rsidP="0049498A">
            <w:pPr>
              <w:jc w:val="center"/>
              <w:rPr>
                <w:rFonts w:ascii="Arial" w:hAnsi="Arial"/>
                <w:sz w:val="20"/>
                <w:szCs w:val="20"/>
              </w:rPr>
            </w:pPr>
            <w:r w:rsidRPr="00A14AF8">
              <w:rPr>
                <w:rFonts w:ascii="Arial" w:hAnsi="Arial"/>
                <w:sz w:val="20"/>
                <w:szCs w:val="20"/>
              </w:rPr>
              <w:t>2.516</w:t>
            </w:r>
          </w:p>
        </w:tc>
        <w:tc>
          <w:tcPr>
            <w:tcW w:w="810" w:type="dxa"/>
            <w:tcBorders>
              <w:top w:val="nil"/>
              <w:left w:val="nil"/>
              <w:bottom w:val="nil"/>
              <w:right w:val="nil"/>
            </w:tcBorders>
            <w:shd w:val="clear" w:color="auto" w:fill="auto"/>
            <w:noWrap/>
            <w:vAlign w:val="bottom"/>
            <w:hideMark/>
          </w:tcPr>
          <w:p w14:paraId="2C8B9BA0" w14:textId="77777777" w:rsidR="0049498A" w:rsidRPr="00A14AF8" w:rsidRDefault="0049498A" w:rsidP="0049498A">
            <w:pPr>
              <w:jc w:val="center"/>
              <w:rPr>
                <w:rFonts w:ascii="Arial" w:hAnsi="Arial"/>
                <w:sz w:val="20"/>
                <w:szCs w:val="20"/>
              </w:rPr>
            </w:pPr>
            <w:r w:rsidRPr="00A14AF8">
              <w:rPr>
                <w:rFonts w:ascii="Arial" w:hAnsi="Arial"/>
                <w:sz w:val="20"/>
                <w:szCs w:val="20"/>
              </w:rPr>
              <w:t>0.052</w:t>
            </w:r>
          </w:p>
        </w:tc>
        <w:tc>
          <w:tcPr>
            <w:tcW w:w="850" w:type="dxa"/>
            <w:tcBorders>
              <w:top w:val="nil"/>
              <w:left w:val="nil"/>
              <w:bottom w:val="nil"/>
              <w:right w:val="nil"/>
            </w:tcBorders>
            <w:shd w:val="clear" w:color="auto" w:fill="auto"/>
            <w:noWrap/>
            <w:vAlign w:val="bottom"/>
            <w:hideMark/>
          </w:tcPr>
          <w:p w14:paraId="02DE1B1A" w14:textId="77777777" w:rsidR="0049498A" w:rsidRPr="00B91D8E" w:rsidRDefault="0049498A" w:rsidP="0049498A">
            <w:pPr>
              <w:jc w:val="center"/>
              <w:rPr>
                <w:rFonts w:ascii="Arial" w:hAnsi="Arial"/>
                <w:sz w:val="20"/>
                <w:szCs w:val="20"/>
              </w:rPr>
            </w:pPr>
            <w:r w:rsidRPr="00B91D8E">
              <w:rPr>
                <w:rFonts w:ascii="Arial" w:hAnsi="Arial"/>
                <w:sz w:val="20"/>
                <w:szCs w:val="20"/>
              </w:rPr>
              <w:t>0.994</w:t>
            </w:r>
          </w:p>
        </w:tc>
      </w:tr>
      <w:tr w:rsidR="0049498A" w:rsidRPr="0049498A" w14:paraId="332C9F17" w14:textId="77777777" w:rsidTr="0049498A">
        <w:trPr>
          <w:trHeight w:val="240"/>
        </w:trPr>
        <w:tc>
          <w:tcPr>
            <w:tcW w:w="2175" w:type="dxa"/>
            <w:tcBorders>
              <w:top w:val="nil"/>
              <w:left w:val="nil"/>
              <w:right w:val="nil"/>
            </w:tcBorders>
            <w:shd w:val="clear" w:color="auto" w:fill="auto"/>
            <w:noWrap/>
            <w:vAlign w:val="bottom"/>
            <w:hideMark/>
          </w:tcPr>
          <w:p w14:paraId="4475ED4A" w14:textId="77777777" w:rsidR="0049498A" w:rsidRPr="00B91D8E" w:rsidRDefault="0049498A" w:rsidP="0049498A">
            <w:pPr>
              <w:rPr>
                <w:rFonts w:ascii="Arial" w:hAnsi="Arial"/>
                <w:sz w:val="20"/>
                <w:szCs w:val="20"/>
              </w:rPr>
            </w:pPr>
            <w:r w:rsidRPr="00B91D8E">
              <w:rPr>
                <w:rFonts w:ascii="Arial" w:hAnsi="Arial"/>
                <w:sz w:val="20"/>
                <w:szCs w:val="20"/>
              </w:rPr>
              <w:t>Quintile 4</w:t>
            </w:r>
          </w:p>
        </w:tc>
        <w:tc>
          <w:tcPr>
            <w:tcW w:w="945" w:type="dxa"/>
            <w:tcBorders>
              <w:top w:val="nil"/>
              <w:left w:val="nil"/>
              <w:right w:val="nil"/>
            </w:tcBorders>
            <w:shd w:val="clear" w:color="auto" w:fill="auto"/>
            <w:noWrap/>
            <w:vAlign w:val="bottom"/>
            <w:hideMark/>
          </w:tcPr>
          <w:p w14:paraId="7B1D1422" w14:textId="77777777" w:rsidR="0049498A" w:rsidRPr="00A14AF8" w:rsidRDefault="0049498A" w:rsidP="0049498A">
            <w:pPr>
              <w:jc w:val="center"/>
              <w:rPr>
                <w:rFonts w:ascii="Arial" w:hAnsi="Arial"/>
                <w:sz w:val="20"/>
                <w:szCs w:val="20"/>
              </w:rPr>
            </w:pPr>
            <w:r w:rsidRPr="00A14AF8">
              <w:rPr>
                <w:rFonts w:ascii="Arial" w:hAnsi="Arial"/>
                <w:sz w:val="20"/>
                <w:szCs w:val="20"/>
              </w:rPr>
              <w:t>5.288</w:t>
            </w:r>
          </w:p>
        </w:tc>
        <w:tc>
          <w:tcPr>
            <w:tcW w:w="765" w:type="dxa"/>
            <w:tcBorders>
              <w:top w:val="nil"/>
              <w:left w:val="nil"/>
              <w:right w:val="nil"/>
            </w:tcBorders>
            <w:shd w:val="clear" w:color="auto" w:fill="auto"/>
            <w:noWrap/>
            <w:vAlign w:val="bottom"/>
            <w:hideMark/>
          </w:tcPr>
          <w:p w14:paraId="259A5DE8" w14:textId="77777777" w:rsidR="0049498A" w:rsidRPr="00A14AF8" w:rsidRDefault="0049498A" w:rsidP="0049498A">
            <w:pPr>
              <w:jc w:val="center"/>
              <w:rPr>
                <w:rFonts w:ascii="Arial" w:hAnsi="Arial"/>
                <w:sz w:val="20"/>
                <w:szCs w:val="20"/>
              </w:rPr>
            </w:pPr>
            <w:r w:rsidRPr="00A14AF8">
              <w:rPr>
                <w:rFonts w:ascii="Arial" w:hAnsi="Arial"/>
                <w:sz w:val="20"/>
                <w:szCs w:val="20"/>
              </w:rPr>
              <w:t>0.000</w:t>
            </w:r>
          </w:p>
        </w:tc>
        <w:tc>
          <w:tcPr>
            <w:tcW w:w="810" w:type="dxa"/>
            <w:tcBorders>
              <w:top w:val="nil"/>
              <w:left w:val="nil"/>
              <w:right w:val="nil"/>
            </w:tcBorders>
            <w:shd w:val="clear" w:color="auto" w:fill="auto"/>
            <w:noWrap/>
            <w:vAlign w:val="bottom"/>
            <w:hideMark/>
          </w:tcPr>
          <w:p w14:paraId="2E114302" w14:textId="77777777" w:rsidR="0049498A" w:rsidRPr="00A14AF8" w:rsidRDefault="0049498A" w:rsidP="0049498A">
            <w:pPr>
              <w:jc w:val="center"/>
              <w:rPr>
                <w:rFonts w:ascii="Arial" w:hAnsi="Arial"/>
                <w:sz w:val="20"/>
                <w:szCs w:val="20"/>
              </w:rPr>
            </w:pPr>
            <w:r w:rsidRPr="00A14AF8">
              <w:rPr>
                <w:rFonts w:ascii="Arial" w:hAnsi="Arial"/>
                <w:sz w:val="20"/>
                <w:szCs w:val="20"/>
              </w:rPr>
              <w:t>3.023</w:t>
            </w:r>
          </w:p>
        </w:tc>
        <w:tc>
          <w:tcPr>
            <w:tcW w:w="1080" w:type="dxa"/>
            <w:tcBorders>
              <w:top w:val="nil"/>
              <w:left w:val="nil"/>
              <w:right w:val="nil"/>
            </w:tcBorders>
            <w:shd w:val="clear" w:color="auto" w:fill="auto"/>
            <w:noWrap/>
            <w:vAlign w:val="bottom"/>
            <w:hideMark/>
          </w:tcPr>
          <w:p w14:paraId="67446044" w14:textId="77777777" w:rsidR="0049498A" w:rsidRPr="00A14AF8" w:rsidRDefault="0049498A" w:rsidP="0049498A">
            <w:pPr>
              <w:jc w:val="center"/>
              <w:rPr>
                <w:rFonts w:ascii="Arial" w:hAnsi="Arial"/>
                <w:sz w:val="20"/>
                <w:szCs w:val="20"/>
              </w:rPr>
            </w:pPr>
            <w:r w:rsidRPr="00A14AF8">
              <w:rPr>
                <w:rFonts w:ascii="Arial" w:hAnsi="Arial"/>
                <w:sz w:val="20"/>
                <w:szCs w:val="20"/>
              </w:rPr>
              <w:t>1.532</w:t>
            </w:r>
          </w:p>
        </w:tc>
        <w:tc>
          <w:tcPr>
            <w:tcW w:w="720" w:type="dxa"/>
            <w:tcBorders>
              <w:top w:val="nil"/>
              <w:left w:val="nil"/>
              <w:right w:val="nil"/>
            </w:tcBorders>
            <w:shd w:val="clear" w:color="auto" w:fill="auto"/>
            <w:noWrap/>
            <w:vAlign w:val="bottom"/>
            <w:hideMark/>
          </w:tcPr>
          <w:p w14:paraId="452E07EA" w14:textId="77777777" w:rsidR="0049498A" w:rsidRPr="00A14AF8" w:rsidRDefault="0049498A" w:rsidP="0049498A">
            <w:pPr>
              <w:jc w:val="center"/>
              <w:rPr>
                <w:rFonts w:ascii="Arial" w:hAnsi="Arial"/>
                <w:sz w:val="20"/>
                <w:szCs w:val="20"/>
              </w:rPr>
            </w:pPr>
            <w:r w:rsidRPr="00A14AF8">
              <w:rPr>
                <w:rFonts w:ascii="Arial" w:hAnsi="Arial"/>
                <w:sz w:val="20"/>
                <w:szCs w:val="20"/>
              </w:rPr>
              <w:t>0.084</w:t>
            </w:r>
          </w:p>
        </w:tc>
        <w:tc>
          <w:tcPr>
            <w:tcW w:w="990" w:type="dxa"/>
            <w:tcBorders>
              <w:top w:val="nil"/>
              <w:left w:val="nil"/>
              <w:right w:val="nil"/>
            </w:tcBorders>
            <w:shd w:val="clear" w:color="auto" w:fill="auto"/>
            <w:noWrap/>
            <w:vAlign w:val="bottom"/>
            <w:hideMark/>
          </w:tcPr>
          <w:p w14:paraId="11F2757A" w14:textId="77777777" w:rsidR="0049498A" w:rsidRPr="00A14AF8" w:rsidRDefault="0049498A" w:rsidP="0049498A">
            <w:pPr>
              <w:jc w:val="center"/>
              <w:rPr>
                <w:rFonts w:ascii="Arial" w:hAnsi="Arial"/>
                <w:sz w:val="20"/>
                <w:szCs w:val="20"/>
              </w:rPr>
            </w:pPr>
            <w:r w:rsidRPr="00A14AF8">
              <w:rPr>
                <w:rFonts w:ascii="Arial" w:hAnsi="Arial"/>
                <w:sz w:val="20"/>
                <w:szCs w:val="20"/>
              </w:rPr>
              <w:t>0.944</w:t>
            </w:r>
          </w:p>
        </w:tc>
        <w:tc>
          <w:tcPr>
            <w:tcW w:w="900" w:type="dxa"/>
            <w:tcBorders>
              <w:top w:val="nil"/>
              <w:left w:val="nil"/>
              <w:right w:val="nil"/>
            </w:tcBorders>
            <w:shd w:val="clear" w:color="auto" w:fill="auto"/>
            <w:noWrap/>
            <w:vAlign w:val="bottom"/>
            <w:hideMark/>
          </w:tcPr>
          <w:p w14:paraId="1D917827" w14:textId="77777777" w:rsidR="0049498A" w:rsidRPr="00A14AF8" w:rsidRDefault="0049498A" w:rsidP="0049498A">
            <w:pPr>
              <w:jc w:val="center"/>
              <w:rPr>
                <w:rFonts w:ascii="Arial" w:hAnsi="Arial"/>
                <w:sz w:val="20"/>
                <w:szCs w:val="20"/>
              </w:rPr>
            </w:pPr>
            <w:r w:rsidRPr="00A14AF8">
              <w:rPr>
                <w:rFonts w:ascii="Arial" w:hAnsi="Arial"/>
                <w:sz w:val="20"/>
                <w:szCs w:val="20"/>
              </w:rPr>
              <w:t>8.744</w:t>
            </w:r>
          </w:p>
        </w:tc>
        <w:tc>
          <w:tcPr>
            <w:tcW w:w="810" w:type="dxa"/>
            <w:tcBorders>
              <w:top w:val="nil"/>
              <w:left w:val="nil"/>
              <w:right w:val="nil"/>
            </w:tcBorders>
            <w:shd w:val="clear" w:color="auto" w:fill="auto"/>
            <w:noWrap/>
            <w:vAlign w:val="bottom"/>
            <w:hideMark/>
          </w:tcPr>
          <w:p w14:paraId="70BB37CC" w14:textId="77777777" w:rsidR="0049498A" w:rsidRPr="00A14AF8" w:rsidRDefault="0049498A" w:rsidP="0049498A">
            <w:pPr>
              <w:jc w:val="center"/>
              <w:rPr>
                <w:rFonts w:ascii="Arial" w:hAnsi="Arial"/>
                <w:sz w:val="20"/>
                <w:szCs w:val="20"/>
              </w:rPr>
            </w:pPr>
            <w:r w:rsidRPr="00A14AF8">
              <w:rPr>
                <w:rFonts w:ascii="Arial" w:hAnsi="Arial"/>
                <w:sz w:val="20"/>
                <w:szCs w:val="20"/>
              </w:rPr>
              <w:t>0.000</w:t>
            </w:r>
          </w:p>
        </w:tc>
        <w:tc>
          <w:tcPr>
            <w:tcW w:w="850" w:type="dxa"/>
            <w:tcBorders>
              <w:top w:val="nil"/>
              <w:left w:val="nil"/>
              <w:right w:val="nil"/>
            </w:tcBorders>
            <w:shd w:val="clear" w:color="auto" w:fill="auto"/>
            <w:noWrap/>
            <w:vAlign w:val="bottom"/>
            <w:hideMark/>
          </w:tcPr>
          <w:p w14:paraId="59587FD3" w14:textId="77777777" w:rsidR="0049498A" w:rsidRPr="00B91D8E" w:rsidRDefault="0049498A" w:rsidP="0049498A">
            <w:pPr>
              <w:jc w:val="center"/>
              <w:rPr>
                <w:rFonts w:ascii="Arial" w:hAnsi="Arial"/>
                <w:sz w:val="20"/>
                <w:szCs w:val="20"/>
              </w:rPr>
            </w:pPr>
            <w:r w:rsidRPr="00B91D8E">
              <w:rPr>
                <w:rFonts w:ascii="Arial" w:hAnsi="Arial"/>
                <w:sz w:val="20"/>
                <w:szCs w:val="20"/>
              </w:rPr>
              <w:t>3.851</w:t>
            </w:r>
          </w:p>
        </w:tc>
      </w:tr>
      <w:tr w:rsidR="0049498A" w:rsidRPr="0049498A" w14:paraId="25E705CB" w14:textId="77777777" w:rsidTr="0049498A">
        <w:trPr>
          <w:trHeight w:val="240"/>
        </w:trPr>
        <w:tc>
          <w:tcPr>
            <w:tcW w:w="2175" w:type="dxa"/>
            <w:tcBorders>
              <w:top w:val="nil"/>
              <w:left w:val="nil"/>
              <w:bottom w:val="single" w:sz="4" w:space="0" w:color="auto"/>
              <w:right w:val="nil"/>
            </w:tcBorders>
            <w:shd w:val="clear" w:color="auto" w:fill="auto"/>
            <w:noWrap/>
            <w:vAlign w:val="bottom"/>
            <w:hideMark/>
          </w:tcPr>
          <w:p w14:paraId="51DFFC3D" w14:textId="77777777" w:rsidR="0049498A" w:rsidRPr="00B91D8E" w:rsidRDefault="0049498A" w:rsidP="0049498A">
            <w:pPr>
              <w:rPr>
                <w:rFonts w:ascii="Arial" w:hAnsi="Arial"/>
                <w:sz w:val="20"/>
                <w:szCs w:val="20"/>
              </w:rPr>
            </w:pPr>
            <w:r w:rsidRPr="00B91D8E">
              <w:rPr>
                <w:rFonts w:ascii="Arial" w:hAnsi="Arial"/>
                <w:sz w:val="20"/>
                <w:szCs w:val="20"/>
              </w:rPr>
              <w:t>Quintile 5</w:t>
            </w:r>
          </w:p>
        </w:tc>
        <w:tc>
          <w:tcPr>
            <w:tcW w:w="945" w:type="dxa"/>
            <w:tcBorders>
              <w:top w:val="nil"/>
              <w:left w:val="nil"/>
              <w:bottom w:val="single" w:sz="4" w:space="0" w:color="auto"/>
              <w:right w:val="nil"/>
            </w:tcBorders>
            <w:shd w:val="clear" w:color="auto" w:fill="auto"/>
            <w:noWrap/>
            <w:vAlign w:val="bottom"/>
            <w:hideMark/>
          </w:tcPr>
          <w:p w14:paraId="18DC838F" w14:textId="77777777" w:rsidR="0049498A" w:rsidRPr="00A14AF8" w:rsidRDefault="0049498A" w:rsidP="0049498A">
            <w:pPr>
              <w:jc w:val="center"/>
              <w:rPr>
                <w:rFonts w:ascii="Arial" w:hAnsi="Arial"/>
                <w:sz w:val="20"/>
                <w:szCs w:val="20"/>
              </w:rPr>
            </w:pPr>
            <w:r w:rsidRPr="00A14AF8">
              <w:rPr>
                <w:rFonts w:ascii="Arial" w:hAnsi="Arial"/>
                <w:sz w:val="20"/>
                <w:szCs w:val="20"/>
              </w:rPr>
              <w:t>10.464</w:t>
            </w:r>
          </w:p>
        </w:tc>
        <w:tc>
          <w:tcPr>
            <w:tcW w:w="765" w:type="dxa"/>
            <w:tcBorders>
              <w:top w:val="nil"/>
              <w:left w:val="nil"/>
              <w:bottom w:val="single" w:sz="4" w:space="0" w:color="auto"/>
              <w:right w:val="nil"/>
            </w:tcBorders>
            <w:shd w:val="clear" w:color="auto" w:fill="auto"/>
            <w:noWrap/>
            <w:vAlign w:val="bottom"/>
            <w:hideMark/>
          </w:tcPr>
          <w:p w14:paraId="5EAFBECB" w14:textId="77777777" w:rsidR="0049498A" w:rsidRPr="00A14AF8" w:rsidRDefault="0049498A" w:rsidP="0049498A">
            <w:pPr>
              <w:jc w:val="center"/>
              <w:rPr>
                <w:rFonts w:ascii="Arial" w:hAnsi="Arial"/>
                <w:sz w:val="20"/>
                <w:szCs w:val="20"/>
              </w:rPr>
            </w:pPr>
            <w:r w:rsidRPr="00A14AF8">
              <w:rPr>
                <w:rFonts w:ascii="Arial" w:hAnsi="Arial"/>
                <w:sz w:val="20"/>
                <w:szCs w:val="20"/>
              </w:rPr>
              <w:t>0.000</w:t>
            </w:r>
          </w:p>
        </w:tc>
        <w:tc>
          <w:tcPr>
            <w:tcW w:w="810" w:type="dxa"/>
            <w:tcBorders>
              <w:top w:val="nil"/>
              <w:left w:val="nil"/>
              <w:bottom w:val="single" w:sz="4" w:space="0" w:color="auto"/>
              <w:right w:val="nil"/>
            </w:tcBorders>
            <w:shd w:val="clear" w:color="auto" w:fill="auto"/>
            <w:noWrap/>
            <w:vAlign w:val="bottom"/>
            <w:hideMark/>
          </w:tcPr>
          <w:p w14:paraId="17375448" w14:textId="77777777" w:rsidR="0049498A" w:rsidRPr="00A14AF8" w:rsidRDefault="0049498A" w:rsidP="0049498A">
            <w:pPr>
              <w:jc w:val="center"/>
              <w:rPr>
                <w:rFonts w:ascii="Arial" w:hAnsi="Arial"/>
                <w:sz w:val="20"/>
                <w:szCs w:val="20"/>
              </w:rPr>
            </w:pPr>
            <w:r w:rsidRPr="00A14AF8">
              <w:rPr>
                <w:rFonts w:ascii="Arial" w:hAnsi="Arial"/>
                <w:sz w:val="20"/>
                <w:szCs w:val="20"/>
              </w:rPr>
              <w:t>6.122</w:t>
            </w:r>
          </w:p>
        </w:tc>
        <w:tc>
          <w:tcPr>
            <w:tcW w:w="1080" w:type="dxa"/>
            <w:tcBorders>
              <w:top w:val="nil"/>
              <w:left w:val="nil"/>
              <w:bottom w:val="single" w:sz="4" w:space="0" w:color="auto"/>
              <w:right w:val="nil"/>
            </w:tcBorders>
            <w:shd w:val="clear" w:color="auto" w:fill="auto"/>
            <w:noWrap/>
            <w:vAlign w:val="bottom"/>
            <w:hideMark/>
          </w:tcPr>
          <w:p w14:paraId="40A8FC2A" w14:textId="77777777" w:rsidR="0049498A" w:rsidRPr="00A14AF8" w:rsidRDefault="0049498A" w:rsidP="0049498A">
            <w:pPr>
              <w:jc w:val="center"/>
              <w:rPr>
                <w:rFonts w:ascii="Arial" w:hAnsi="Arial"/>
                <w:sz w:val="20"/>
                <w:szCs w:val="20"/>
              </w:rPr>
            </w:pPr>
            <w:r w:rsidRPr="00A14AF8">
              <w:rPr>
                <w:rFonts w:ascii="Arial" w:hAnsi="Arial"/>
                <w:sz w:val="20"/>
                <w:szCs w:val="20"/>
              </w:rPr>
              <w:t>3.071</w:t>
            </w:r>
          </w:p>
        </w:tc>
        <w:tc>
          <w:tcPr>
            <w:tcW w:w="720" w:type="dxa"/>
            <w:tcBorders>
              <w:top w:val="nil"/>
              <w:left w:val="nil"/>
              <w:bottom w:val="single" w:sz="4" w:space="0" w:color="auto"/>
              <w:right w:val="nil"/>
            </w:tcBorders>
            <w:shd w:val="clear" w:color="auto" w:fill="auto"/>
            <w:noWrap/>
            <w:vAlign w:val="bottom"/>
            <w:hideMark/>
          </w:tcPr>
          <w:p w14:paraId="2DDE9EF7" w14:textId="77777777" w:rsidR="0049498A" w:rsidRPr="00A14AF8" w:rsidRDefault="0049498A" w:rsidP="0049498A">
            <w:pPr>
              <w:jc w:val="center"/>
              <w:rPr>
                <w:rFonts w:ascii="Arial" w:hAnsi="Arial"/>
                <w:sz w:val="20"/>
                <w:szCs w:val="20"/>
              </w:rPr>
            </w:pPr>
            <w:r w:rsidRPr="00A14AF8">
              <w:rPr>
                <w:rFonts w:ascii="Arial" w:hAnsi="Arial"/>
                <w:sz w:val="20"/>
                <w:szCs w:val="20"/>
              </w:rPr>
              <w:t>0.000</w:t>
            </w:r>
          </w:p>
        </w:tc>
        <w:tc>
          <w:tcPr>
            <w:tcW w:w="990" w:type="dxa"/>
            <w:tcBorders>
              <w:top w:val="nil"/>
              <w:left w:val="nil"/>
              <w:bottom w:val="single" w:sz="4" w:space="0" w:color="auto"/>
              <w:right w:val="nil"/>
            </w:tcBorders>
            <w:shd w:val="clear" w:color="auto" w:fill="auto"/>
            <w:noWrap/>
            <w:vAlign w:val="bottom"/>
            <w:hideMark/>
          </w:tcPr>
          <w:p w14:paraId="50853D0D" w14:textId="77777777" w:rsidR="0049498A" w:rsidRPr="00A14AF8" w:rsidRDefault="0049498A" w:rsidP="0049498A">
            <w:pPr>
              <w:jc w:val="center"/>
              <w:rPr>
                <w:rFonts w:ascii="Arial" w:hAnsi="Arial"/>
                <w:sz w:val="20"/>
                <w:szCs w:val="20"/>
              </w:rPr>
            </w:pPr>
            <w:r w:rsidRPr="00A14AF8">
              <w:rPr>
                <w:rFonts w:ascii="Arial" w:hAnsi="Arial"/>
                <w:sz w:val="20"/>
                <w:szCs w:val="20"/>
              </w:rPr>
              <w:t>1.971</w:t>
            </w:r>
          </w:p>
        </w:tc>
        <w:tc>
          <w:tcPr>
            <w:tcW w:w="900" w:type="dxa"/>
            <w:tcBorders>
              <w:top w:val="nil"/>
              <w:left w:val="nil"/>
              <w:bottom w:val="single" w:sz="4" w:space="0" w:color="auto"/>
              <w:right w:val="nil"/>
            </w:tcBorders>
            <w:shd w:val="clear" w:color="auto" w:fill="auto"/>
            <w:noWrap/>
            <w:vAlign w:val="bottom"/>
            <w:hideMark/>
          </w:tcPr>
          <w:p w14:paraId="2283F4F7" w14:textId="77777777" w:rsidR="0049498A" w:rsidRPr="00A14AF8" w:rsidRDefault="0049498A" w:rsidP="0049498A">
            <w:pPr>
              <w:jc w:val="center"/>
              <w:rPr>
                <w:rFonts w:ascii="Arial" w:hAnsi="Arial"/>
                <w:sz w:val="20"/>
                <w:szCs w:val="20"/>
              </w:rPr>
            </w:pPr>
            <w:r w:rsidRPr="00A14AF8">
              <w:rPr>
                <w:rFonts w:ascii="Arial" w:hAnsi="Arial"/>
                <w:sz w:val="20"/>
                <w:szCs w:val="20"/>
              </w:rPr>
              <w:t>15.969</w:t>
            </w:r>
          </w:p>
        </w:tc>
        <w:tc>
          <w:tcPr>
            <w:tcW w:w="810" w:type="dxa"/>
            <w:tcBorders>
              <w:top w:val="nil"/>
              <w:left w:val="nil"/>
              <w:bottom w:val="single" w:sz="4" w:space="0" w:color="auto"/>
              <w:right w:val="nil"/>
            </w:tcBorders>
            <w:shd w:val="clear" w:color="auto" w:fill="auto"/>
            <w:noWrap/>
            <w:vAlign w:val="bottom"/>
            <w:hideMark/>
          </w:tcPr>
          <w:p w14:paraId="3B596805" w14:textId="77777777" w:rsidR="0049498A" w:rsidRPr="00A14AF8" w:rsidRDefault="0049498A" w:rsidP="0049498A">
            <w:pPr>
              <w:jc w:val="center"/>
              <w:rPr>
                <w:rFonts w:ascii="Arial" w:hAnsi="Arial"/>
                <w:sz w:val="20"/>
                <w:szCs w:val="20"/>
              </w:rPr>
            </w:pPr>
            <w:r w:rsidRPr="00A14AF8">
              <w:rPr>
                <w:rFonts w:ascii="Arial" w:hAnsi="Arial"/>
                <w:sz w:val="20"/>
                <w:szCs w:val="20"/>
              </w:rPr>
              <w:t>0.000</w:t>
            </w:r>
          </w:p>
        </w:tc>
        <w:tc>
          <w:tcPr>
            <w:tcW w:w="850" w:type="dxa"/>
            <w:tcBorders>
              <w:top w:val="nil"/>
              <w:left w:val="nil"/>
              <w:bottom w:val="single" w:sz="4" w:space="0" w:color="auto"/>
              <w:right w:val="nil"/>
            </w:tcBorders>
            <w:shd w:val="clear" w:color="auto" w:fill="auto"/>
            <w:noWrap/>
            <w:vAlign w:val="bottom"/>
            <w:hideMark/>
          </w:tcPr>
          <w:p w14:paraId="6FF85BCF" w14:textId="77777777" w:rsidR="0049498A" w:rsidRPr="00B91D8E" w:rsidRDefault="0049498A" w:rsidP="0049498A">
            <w:pPr>
              <w:jc w:val="center"/>
              <w:rPr>
                <w:rFonts w:ascii="Arial" w:hAnsi="Arial"/>
                <w:sz w:val="20"/>
                <w:szCs w:val="20"/>
              </w:rPr>
            </w:pPr>
            <w:r w:rsidRPr="00B91D8E">
              <w:rPr>
                <w:rFonts w:ascii="Arial" w:hAnsi="Arial"/>
                <w:sz w:val="20"/>
                <w:szCs w:val="20"/>
              </w:rPr>
              <w:t>7.108</w:t>
            </w:r>
          </w:p>
        </w:tc>
      </w:tr>
    </w:tbl>
    <w:p w14:paraId="2AD5FE4F" w14:textId="77777777" w:rsidR="00E80A9C" w:rsidRPr="008B7EA0" w:rsidRDefault="00E80A9C" w:rsidP="00E80A9C">
      <w:pPr>
        <w:rPr>
          <w:i/>
          <w:sz w:val="22"/>
          <w:lang w:val="en-GB"/>
        </w:rPr>
      </w:pPr>
      <w:r w:rsidRPr="008B7EA0">
        <w:rPr>
          <w:i/>
          <w:sz w:val="22"/>
          <w:lang w:val="en-GB"/>
        </w:rPr>
        <w:t>Source: Mongolia Household Socio-Economic Surveys, 20</w:t>
      </w:r>
      <w:r w:rsidR="003B034C">
        <w:rPr>
          <w:i/>
          <w:sz w:val="22"/>
          <w:lang w:val="en-GB"/>
        </w:rPr>
        <w:t>10</w:t>
      </w:r>
      <w:r w:rsidRPr="008B7EA0">
        <w:rPr>
          <w:i/>
          <w:sz w:val="22"/>
          <w:lang w:val="en-GB"/>
        </w:rPr>
        <w:t>-2012</w:t>
      </w:r>
    </w:p>
    <w:p w14:paraId="6E89F410" w14:textId="77777777" w:rsidR="0049498A" w:rsidRDefault="0049498A" w:rsidP="007A61D6">
      <w:pPr>
        <w:jc w:val="both"/>
      </w:pPr>
    </w:p>
    <w:p w14:paraId="26566A08" w14:textId="77777777" w:rsidR="005561B6" w:rsidRDefault="005561B6" w:rsidP="005561B6">
      <w:pPr>
        <w:pStyle w:val="Heading3"/>
        <w:spacing w:before="0"/>
        <w:jc w:val="both"/>
        <w:rPr>
          <w:rFonts w:ascii="Arial" w:hAnsi="Arial" w:cs="Arial"/>
          <w:lang w:val="en-GB"/>
        </w:rPr>
      </w:pPr>
    </w:p>
    <w:p w14:paraId="3D650213" w14:textId="77777777" w:rsidR="00580844" w:rsidRPr="00715373" w:rsidRDefault="00580844" w:rsidP="005561B6">
      <w:pPr>
        <w:pStyle w:val="Heading3"/>
        <w:spacing w:before="0"/>
        <w:jc w:val="both"/>
        <w:rPr>
          <w:rFonts w:ascii="Arial" w:hAnsi="Arial" w:cs="Arial"/>
          <w:lang w:val="en-GB"/>
        </w:rPr>
      </w:pPr>
      <w:bookmarkStart w:id="52" w:name="_Toc305764311"/>
      <w:r w:rsidRPr="00715373">
        <w:rPr>
          <w:rFonts w:ascii="Arial" w:hAnsi="Arial" w:cs="Arial"/>
          <w:lang w:val="en-GB"/>
        </w:rPr>
        <w:t xml:space="preserve">Benefit incidence </w:t>
      </w:r>
      <w:r w:rsidR="006811DE">
        <w:rPr>
          <w:rFonts w:ascii="Arial" w:hAnsi="Arial" w:cs="Arial"/>
          <w:lang w:val="en-GB"/>
        </w:rPr>
        <w:t>of government spending on health</w:t>
      </w:r>
      <w:bookmarkEnd w:id="52"/>
      <w:r w:rsidRPr="00715373">
        <w:rPr>
          <w:rFonts w:ascii="Arial" w:hAnsi="Arial" w:cs="Arial"/>
          <w:lang w:val="en-GB"/>
        </w:rPr>
        <w:t xml:space="preserve"> </w:t>
      </w:r>
    </w:p>
    <w:p w14:paraId="670D5AE8" w14:textId="77777777" w:rsidR="003B6983" w:rsidRDefault="003B6983" w:rsidP="003B6983"/>
    <w:p w14:paraId="0665657B" w14:textId="77777777" w:rsidR="00D70BA9" w:rsidRPr="00D70BA9" w:rsidRDefault="00D70BA9" w:rsidP="00D70BA9">
      <w:pPr>
        <w:jc w:val="both"/>
        <w:rPr>
          <w:rFonts w:ascii="Arial" w:hAnsi="Arial" w:cs="Arial"/>
        </w:rPr>
      </w:pPr>
      <w:r w:rsidRPr="00D70BA9">
        <w:rPr>
          <w:rFonts w:ascii="Arial" w:hAnsi="Arial" w:cs="Arial"/>
        </w:rPr>
        <w:t>Benefit and incidence analysis describes the distribution of health sector subsidies across individuals ranked by their living standards. Consequently, we examine</w:t>
      </w:r>
      <w:r w:rsidR="00BF7FDA">
        <w:rPr>
          <w:rFonts w:ascii="Arial" w:hAnsi="Arial" w:cs="Arial"/>
        </w:rPr>
        <w:t>d</w:t>
      </w:r>
      <w:r w:rsidRPr="00D70BA9">
        <w:rPr>
          <w:rFonts w:ascii="Arial" w:hAnsi="Arial" w:cs="Arial"/>
        </w:rPr>
        <w:t xml:space="preserve"> the distribution of those health services that are subsidized from public finances.</w:t>
      </w:r>
      <w:r w:rsidR="00BF7FDA">
        <w:rPr>
          <w:rFonts w:ascii="Arial" w:hAnsi="Arial" w:cs="Arial"/>
        </w:rPr>
        <w:t xml:space="preserve"> </w:t>
      </w:r>
    </w:p>
    <w:p w14:paraId="7AF2C213" w14:textId="77777777" w:rsidR="00D70BA9" w:rsidRDefault="00D70BA9" w:rsidP="003B6983"/>
    <w:p w14:paraId="4E0C3B0D" w14:textId="77777777" w:rsidR="007D77A0" w:rsidRDefault="007D77A0" w:rsidP="007D77A0">
      <w:pPr>
        <w:numPr>
          <w:ilvl w:val="2"/>
          <w:numId w:val="5"/>
        </w:numPr>
        <w:ind w:left="720"/>
        <w:jc w:val="both"/>
        <w:rPr>
          <w:rFonts w:ascii="Arial" w:hAnsi="Arial" w:cs="Arial"/>
          <w:sz w:val="22"/>
        </w:rPr>
      </w:pPr>
      <w:r w:rsidRPr="00B811BB">
        <w:rPr>
          <w:rFonts w:ascii="Arial" w:hAnsi="Arial" w:cs="Arial"/>
          <w:sz w:val="22"/>
        </w:rPr>
        <w:t xml:space="preserve">Description of benefits of state budget and health insurance. </w:t>
      </w:r>
    </w:p>
    <w:p w14:paraId="46424E25" w14:textId="77777777" w:rsidR="00B97801" w:rsidRDefault="00B97801" w:rsidP="00B97801">
      <w:pPr>
        <w:jc w:val="both"/>
        <w:rPr>
          <w:rFonts w:ascii="Arial" w:hAnsi="Arial" w:cs="Arial"/>
          <w:sz w:val="22"/>
        </w:rPr>
      </w:pPr>
    </w:p>
    <w:p w14:paraId="78BCB4E9" w14:textId="77777777" w:rsidR="00736172" w:rsidRDefault="00736172" w:rsidP="00736172">
      <w:pPr>
        <w:jc w:val="both"/>
        <w:rPr>
          <w:rFonts w:ascii="Arial" w:hAnsi="Arial" w:cs="Arial"/>
        </w:rPr>
      </w:pPr>
      <w:r w:rsidRPr="007144D4">
        <w:rPr>
          <w:rFonts w:ascii="Arial" w:hAnsi="Arial" w:cs="Arial"/>
        </w:rPr>
        <w:t>The government including public social health insurance pays the majority of expenditures of government owned he</w:t>
      </w:r>
      <w:r>
        <w:rPr>
          <w:rFonts w:ascii="Arial" w:hAnsi="Arial" w:cs="Arial"/>
        </w:rPr>
        <w:t>alth facilities</w:t>
      </w:r>
      <w:r w:rsidR="00BF7FDA">
        <w:rPr>
          <w:rFonts w:ascii="Arial" w:hAnsi="Arial" w:cs="Arial"/>
        </w:rPr>
        <w:t xml:space="preserve"> in Mongolia</w:t>
      </w:r>
      <w:r>
        <w:rPr>
          <w:rFonts w:ascii="Arial" w:hAnsi="Arial" w:cs="Arial"/>
        </w:rPr>
        <w:t xml:space="preserve">. In addition to </w:t>
      </w:r>
      <w:r w:rsidR="00BF7FDA">
        <w:rPr>
          <w:rFonts w:ascii="Arial" w:hAnsi="Arial" w:cs="Arial"/>
        </w:rPr>
        <w:t>paying for</w:t>
      </w:r>
      <w:r w:rsidR="00E14E1F">
        <w:rPr>
          <w:rFonts w:ascii="Arial" w:hAnsi="Arial" w:cs="Arial"/>
        </w:rPr>
        <w:t xml:space="preserve"> mainly </w:t>
      </w:r>
      <w:r>
        <w:rPr>
          <w:rFonts w:ascii="Arial" w:hAnsi="Arial" w:cs="Arial"/>
        </w:rPr>
        <w:t>public health services including primary health care, maternal and child health and communicable disease, the</w:t>
      </w:r>
      <w:r w:rsidR="00BF7FDA">
        <w:rPr>
          <w:rFonts w:ascii="Arial" w:hAnsi="Arial" w:cs="Arial"/>
        </w:rPr>
        <w:t xml:space="preserve"> government budget also gives </w:t>
      </w:r>
      <w:r>
        <w:rPr>
          <w:rFonts w:ascii="Arial" w:hAnsi="Arial" w:cs="Arial"/>
        </w:rPr>
        <w:t xml:space="preserve">a subsidy </w:t>
      </w:r>
      <w:r w:rsidR="00BF7FDA">
        <w:rPr>
          <w:rFonts w:ascii="Arial" w:hAnsi="Arial" w:cs="Arial"/>
        </w:rPr>
        <w:t>to social h</w:t>
      </w:r>
      <w:r w:rsidR="00E14E1F">
        <w:rPr>
          <w:rFonts w:ascii="Arial" w:hAnsi="Arial" w:cs="Arial"/>
        </w:rPr>
        <w:t>ealth insurance as contribution</w:t>
      </w:r>
      <w:r w:rsidR="00BF7FDA">
        <w:rPr>
          <w:rFonts w:ascii="Arial" w:hAnsi="Arial" w:cs="Arial"/>
        </w:rPr>
        <w:t xml:space="preserve"> </w:t>
      </w:r>
      <w:r w:rsidR="00E14E1F">
        <w:rPr>
          <w:rFonts w:ascii="Arial" w:hAnsi="Arial" w:cs="Arial"/>
        </w:rPr>
        <w:t>for</w:t>
      </w:r>
      <w:r>
        <w:rPr>
          <w:rFonts w:ascii="Arial" w:hAnsi="Arial" w:cs="Arial"/>
        </w:rPr>
        <w:t xml:space="preserve"> </w:t>
      </w:r>
      <w:r w:rsidR="00BF7FDA">
        <w:rPr>
          <w:rFonts w:ascii="Arial" w:hAnsi="Arial" w:cs="Arial"/>
        </w:rPr>
        <w:t>vulnerable groups of population</w:t>
      </w:r>
      <w:r>
        <w:rPr>
          <w:rFonts w:ascii="Arial" w:hAnsi="Arial" w:cs="Arial"/>
        </w:rPr>
        <w:t>. In this study</w:t>
      </w:r>
      <w:r w:rsidR="00BF7FDA">
        <w:rPr>
          <w:rFonts w:ascii="Arial" w:hAnsi="Arial" w:cs="Arial"/>
        </w:rPr>
        <w:t xml:space="preserve"> </w:t>
      </w:r>
      <w:r>
        <w:rPr>
          <w:rFonts w:ascii="Arial" w:hAnsi="Arial" w:cs="Arial"/>
        </w:rPr>
        <w:t>we took the total government subsidy</w:t>
      </w:r>
      <w:r w:rsidR="001222BE">
        <w:rPr>
          <w:rFonts w:ascii="Arial" w:hAnsi="Arial" w:cs="Arial"/>
        </w:rPr>
        <w:t xml:space="preserve"> </w:t>
      </w:r>
      <w:r>
        <w:rPr>
          <w:rFonts w:ascii="Arial" w:hAnsi="Arial" w:cs="Arial"/>
        </w:rPr>
        <w:t xml:space="preserve">for health and showed its </w:t>
      </w:r>
      <w:r w:rsidRPr="007D77A0">
        <w:rPr>
          <w:rFonts w:ascii="Arial" w:hAnsi="Arial" w:cs="Arial"/>
        </w:rPr>
        <w:t xml:space="preserve">distributional impacts </w:t>
      </w:r>
      <w:r>
        <w:rPr>
          <w:rFonts w:ascii="Arial" w:hAnsi="Arial" w:cs="Arial"/>
        </w:rPr>
        <w:t xml:space="preserve">across expenditure quintiles, and other socio-economic indicators. </w:t>
      </w:r>
      <w:r w:rsidR="00BA204F">
        <w:rPr>
          <w:rFonts w:ascii="Arial" w:hAnsi="Arial" w:cs="Arial"/>
        </w:rPr>
        <w:t xml:space="preserve">The benefit to health sector was estimated as </w:t>
      </w:r>
      <w:r w:rsidR="00DE05C6">
        <w:rPr>
          <w:rFonts w:ascii="Arial" w:hAnsi="Arial" w:cs="Arial"/>
        </w:rPr>
        <w:t>follows:</w:t>
      </w:r>
    </w:p>
    <w:p w14:paraId="7A7535D1" w14:textId="77777777" w:rsidR="00DE05C6" w:rsidRDefault="00DE05C6" w:rsidP="00736172">
      <w:pPr>
        <w:jc w:val="both"/>
        <w:rPr>
          <w:rFonts w:ascii="Arial" w:hAnsi="Arial" w:cs="Arial"/>
        </w:rPr>
      </w:pPr>
    </w:p>
    <w:p w14:paraId="7D9E97C5" w14:textId="45336D3E" w:rsidR="00B537F7" w:rsidRPr="002A7DD5" w:rsidRDefault="00DE05C6" w:rsidP="00B537F7">
      <w:pPr>
        <w:jc w:val="both"/>
        <w:rPr>
          <w:rFonts w:ascii="Arial" w:hAnsi="Arial" w:cs="Arial"/>
          <w:iCs/>
        </w:rPr>
      </w:pPr>
      <w:r w:rsidRPr="002A7DD5">
        <w:rPr>
          <w:rFonts w:ascii="Arial" w:hAnsi="Arial" w:cs="Arial"/>
          <w:iCs/>
        </w:rPr>
        <w:t xml:space="preserve">First, </w:t>
      </w:r>
      <w:r w:rsidR="006D389B" w:rsidRPr="002A7DD5">
        <w:rPr>
          <w:rFonts w:ascii="Arial" w:hAnsi="Arial" w:cs="Arial"/>
          <w:iCs/>
        </w:rPr>
        <w:t xml:space="preserve">we </w:t>
      </w:r>
      <w:r w:rsidRPr="002A7DD5">
        <w:rPr>
          <w:rFonts w:ascii="Arial" w:hAnsi="Arial" w:cs="Arial"/>
          <w:iCs/>
        </w:rPr>
        <w:t>assemble</w:t>
      </w:r>
      <w:r w:rsidR="006D389B" w:rsidRPr="002A7DD5">
        <w:rPr>
          <w:rFonts w:ascii="Arial" w:hAnsi="Arial" w:cs="Arial"/>
          <w:iCs/>
        </w:rPr>
        <w:t>d</w:t>
      </w:r>
      <w:r w:rsidRPr="002A7DD5">
        <w:rPr>
          <w:rFonts w:ascii="Arial" w:hAnsi="Arial" w:cs="Arial"/>
          <w:iCs/>
        </w:rPr>
        <w:t xml:space="preserve"> the data on overall g</w:t>
      </w:r>
      <w:r w:rsidR="006D389B" w:rsidRPr="002A7DD5">
        <w:rPr>
          <w:rFonts w:ascii="Arial" w:hAnsi="Arial" w:cs="Arial"/>
          <w:iCs/>
        </w:rPr>
        <w:t xml:space="preserve">overnment subsidy expenditures by all types of </w:t>
      </w:r>
      <w:r w:rsidR="00A43DCC" w:rsidRPr="002A7DD5">
        <w:rPr>
          <w:rFonts w:ascii="Arial" w:hAnsi="Arial" w:cs="Arial"/>
          <w:iCs/>
        </w:rPr>
        <w:t xml:space="preserve">government </w:t>
      </w:r>
      <w:r w:rsidR="006D389B" w:rsidRPr="002A7DD5">
        <w:rPr>
          <w:rFonts w:ascii="Arial" w:hAnsi="Arial" w:cs="Arial"/>
          <w:iCs/>
        </w:rPr>
        <w:t xml:space="preserve">health care providers </w:t>
      </w:r>
      <w:r w:rsidR="00A43DCC" w:rsidRPr="002A7DD5">
        <w:rPr>
          <w:rFonts w:ascii="Arial" w:hAnsi="Arial" w:cs="Arial"/>
          <w:iCs/>
        </w:rPr>
        <w:t>in</w:t>
      </w:r>
      <w:r w:rsidR="006D389B" w:rsidRPr="002A7DD5">
        <w:rPr>
          <w:rFonts w:ascii="Arial" w:hAnsi="Arial" w:cs="Arial"/>
          <w:iCs/>
        </w:rPr>
        <w:t xml:space="preserve"> each of five geographic region</w:t>
      </w:r>
      <w:r w:rsidR="002A7DD5" w:rsidRPr="002A7DD5">
        <w:rPr>
          <w:rFonts w:ascii="Arial" w:hAnsi="Arial" w:cs="Arial"/>
          <w:iCs/>
        </w:rPr>
        <w:t>s</w:t>
      </w:r>
      <w:r w:rsidR="006D389B" w:rsidRPr="002A7DD5">
        <w:rPr>
          <w:rFonts w:ascii="Arial" w:hAnsi="Arial" w:cs="Arial"/>
          <w:iCs/>
        </w:rPr>
        <w:t xml:space="preserve">. </w:t>
      </w:r>
      <w:r w:rsidR="006D389B" w:rsidRPr="002A7DD5">
        <w:rPr>
          <w:rFonts w:ascii="Arial" w:hAnsi="Arial" w:cs="Arial"/>
        </w:rPr>
        <w:t xml:space="preserve">Then the amounts paid in official user charges were subtracted from the </w:t>
      </w:r>
      <w:r w:rsidR="00A43DCC" w:rsidRPr="002A7DD5">
        <w:rPr>
          <w:rFonts w:ascii="Arial" w:hAnsi="Arial" w:cs="Arial"/>
        </w:rPr>
        <w:t xml:space="preserve">total </w:t>
      </w:r>
      <w:r w:rsidR="006D389B" w:rsidRPr="002A7DD5">
        <w:rPr>
          <w:rFonts w:ascii="Arial" w:hAnsi="Arial" w:cs="Arial"/>
        </w:rPr>
        <w:t xml:space="preserve">government subsidy expenditures </w:t>
      </w:r>
      <w:r w:rsidR="00A43DCC" w:rsidRPr="002A7DD5">
        <w:rPr>
          <w:rFonts w:ascii="Arial" w:hAnsi="Arial" w:cs="Arial"/>
        </w:rPr>
        <w:t xml:space="preserve">of each facility </w:t>
      </w:r>
      <w:r w:rsidR="006D389B" w:rsidRPr="002A7DD5">
        <w:rPr>
          <w:rFonts w:ascii="Arial" w:hAnsi="Arial" w:cs="Arial"/>
        </w:rPr>
        <w:t xml:space="preserve">to arrive at the net subsidy received. </w:t>
      </w:r>
      <w:r w:rsidR="002A7DD5" w:rsidRPr="002A7DD5">
        <w:rPr>
          <w:rFonts w:ascii="Arial" w:hAnsi="Arial" w:cs="Arial"/>
        </w:rPr>
        <w:t xml:space="preserve">The total government subsidy net of official user charges was then allocated into inpatient and outpatient services based on ratios obtained from costing studies. </w:t>
      </w:r>
      <w:r w:rsidRPr="002A7DD5">
        <w:rPr>
          <w:rFonts w:ascii="Arial" w:hAnsi="Arial" w:cs="Arial"/>
        </w:rPr>
        <w:t xml:space="preserve">Then </w:t>
      </w:r>
      <w:r w:rsidR="00A43DCC" w:rsidRPr="002A7DD5">
        <w:rPr>
          <w:rFonts w:ascii="Arial" w:hAnsi="Arial" w:cs="Arial"/>
        </w:rPr>
        <w:t xml:space="preserve">we </w:t>
      </w:r>
      <w:r w:rsidRPr="002A7DD5">
        <w:rPr>
          <w:rFonts w:ascii="Arial" w:hAnsi="Arial" w:cs="Arial"/>
        </w:rPr>
        <w:t>estimate</w:t>
      </w:r>
      <w:r w:rsidR="00A43DCC" w:rsidRPr="002A7DD5">
        <w:rPr>
          <w:rFonts w:ascii="Arial" w:hAnsi="Arial" w:cs="Arial"/>
        </w:rPr>
        <w:t>d</w:t>
      </w:r>
      <w:r w:rsidRPr="002A7DD5">
        <w:rPr>
          <w:rFonts w:ascii="Arial" w:hAnsi="Arial" w:cs="Arial"/>
        </w:rPr>
        <w:t xml:space="preserve"> the proportion of all visits </w:t>
      </w:r>
      <w:r w:rsidR="00A43DCC" w:rsidRPr="002A7DD5">
        <w:rPr>
          <w:rFonts w:ascii="Arial" w:hAnsi="Arial" w:cs="Arial"/>
        </w:rPr>
        <w:t xml:space="preserve">and inpatient days </w:t>
      </w:r>
      <w:r w:rsidRPr="002A7DD5">
        <w:rPr>
          <w:rFonts w:ascii="Arial" w:hAnsi="Arial" w:cs="Arial"/>
        </w:rPr>
        <w:t xml:space="preserve">reported in the survey in a particular region accounted </w:t>
      </w:r>
      <w:r w:rsidR="00B537F7" w:rsidRPr="002A7DD5">
        <w:rPr>
          <w:rFonts w:ascii="Arial" w:hAnsi="Arial" w:cs="Arial"/>
        </w:rPr>
        <w:t>for by each individual.</w:t>
      </w:r>
      <w:r w:rsidRPr="002A7DD5">
        <w:rPr>
          <w:rFonts w:ascii="Arial" w:hAnsi="Arial" w:cs="Arial"/>
        </w:rPr>
        <w:t xml:space="preserve"> </w:t>
      </w:r>
      <w:r w:rsidR="00B537F7" w:rsidRPr="002A7DD5">
        <w:rPr>
          <w:rFonts w:ascii="Arial" w:hAnsi="Arial" w:cs="Arial"/>
        </w:rPr>
        <w:t>The total national or regional subsidy expenditures for each</w:t>
      </w:r>
      <w:r w:rsidR="00820F00">
        <w:rPr>
          <w:rFonts w:ascii="Arial" w:hAnsi="Arial" w:cs="Arial"/>
        </w:rPr>
        <w:t xml:space="preserve"> type of service can be then </w:t>
      </w:r>
      <w:r w:rsidR="00B537F7" w:rsidRPr="002A7DD5">
        <w:rPr>
          <w:rFonts w:ascii="Arial" w:hAnsi="Arial" w:cs="Arial"/>
        </w:rPr>
        <w:t xml:space="preserve">allocated to each individual according to their specific share of the overall </w:t>
      </w:r>
      <w:r w:rsidR="00B537F7" w:rsidRPr="002A7DD5">
        <w:rPr>
          <w:rFonts w:ascii="Arial" w:hAnsi="Arial" w:cs="Arial"/>
        </w:rPr>
        <w:lastRenderedPageBreak/>
        <w:t>number of visits</w:t>
      </w:r>
      <w:r w:rsidR="002A7DD5" w:rsidRPr="002A7DD5">
        <w:rPr>
          <w:rFonts w:ascii="Arial" w:hAnsi="Arial" w:cs="Arial"/>
        </w:rPr>
        <w:t xml:space="preserve"> and inpatient days</w:t>
      </w:r>
      <w:r w:rsidR="00B537F7" w:rsidRPr="002A7DD5">
        <w:rPr>
          <w:rFonts w:ascii="Arial" w:hAnsi="Arial" w:cs="Arial"/>
        </w:rPr>
        <w:t xml:space="preserve">. Next, the overall subsidy received by each individual in the survey for each type of service </w:t>
      </w:r>
      <w:r w:rsidR="00A91923">
        <w:rPr>
          <w:rFonts w:ascii="Arial" w:hAnsi="Arial" w:cs="Arial"/>
        </w:rPr>
        <w:t>is</w:t>
      </w:r>
      <w:r w:rsidR="00B537F7" w:rsidRPr="002A7DD5">
        <w:rPr>
          <w:rFonts w:ascii="Arial" w:hAnsi="Arial" w:cs="Arial"/>
        </w:rPr>
        <w:t xml:space="preserve"> </w:t>
      </w:r>
      <w:r w:rsidR="00A91923">
        <w:rPr>
          <w:rFonts w:ascii="Arial" w:hAnsi="Arial" w:cs="Arial"/>
        </w:rPr>
        <w:t>estimated</w:t>
      </w:r>
      <w:r w:rsidR="00B537F7" w:rsidRPr="002A7DD5">
        <w:rPr>
          <w:rFonts w:ascii="Arial" w:hAnsi="Arial" w:cs="Arial"/>
        </w:rPr>
        <w:t xml:space="preserve"> by summing the subsidies associated with each type of healthcare facility. Having </w:t>
      </w:r>
      <w:r w:rsidR="00AD5F6B" w:rsidRPr="002A7DD5">
        <w:rPr>
          <w:rFonts w:ascii="Arial" w:hAnsi="Arial" w:cs="Arial"/>
        </w:rPr>
        <w:t>categorized</w:t>
      </w:r>
      <w:r w:rsidR="00B537F7" w:rsidRPr="002A7DD5">
        <w:rPr>
          <w:rFonts w:ascii="Arial" w:hAnsi="Arial" w:cs="Arial"/>
        </w:rPr>
        <w:t xml:space="preserve"> individuals by their living standards and calculated the value of the health sector subsidy received by each individual, the distribution </w:t>
      </w:r>
      <w:r w:rsidR="00A91923">
        <w:rPr>
          <w:rFonts w:ascii="Arial" w:hAnsi="Arial" w:cs="Arial"/>
        </w:rPr>
        <w:t xml:space="preserve">is estimated for </w:t>
      </w:r>
      <w:r w:rsidR="00B537F7" w:rsidRPr="002A7DD5">
        <w:rPr>
          <w:rFonts w:ascii="Arial" w:hAnsi="Arial" w:cs="Arial"/>
        </w:rPr>
        <w:t>the subsidy in relation to living standards.</w:t>
      </w:r>
    </w:p>
    <w:p w14:paraId="483162B7" w14:textId="77777777" w:rsidR="00B537F7" w:rsidRDefault="00B537F7" w:rsidP="001222BE">
      <w:pPr>
        <w:jc w:val="both"/>
      </w:pPr>
    </w:p>
    <w:p w14:paraId="29A4F3F4" w14:textId="77777777" w:rsidR="00736172" w:rsidRDefault="00736172" w:rsidP="00736172">
      <w:pPr>
        <w:numPr>
          <w:ilvl w:val="0"/>
          <w:numId w:val="16"/>
        </w:numPr>
        <w:jc w:val="both"/>
        <w:rPr>
          <w:rFonts w:ascii="Arial" w:hAnsi="Arial" w:cs="Arial"/>
          <w:sz w:val="22"/>
        </w:rPr>
      </w:pPr>
      <w:r w:rsidRPr="00715373">
        <w:rPr>
          <w:rFonts w:ascii="Arial" w:hAnsi="Arial" w:cs="Arial"/>
          <w:sz w:val="22"/>
        </w:rPr>
        <w:t xml:space="preserve">Benefit and incidences of government subsidy by income groups </w:t>
      </w:r>
    </w:p>
    <w:p w14:paraId="382F9994" w14:textId="77777777" w:rsidR="007D77A0" w:rsidRPr="00715373" w:rsidRDefault="007D77A0" w:rsidP="007D77A0">
      <w:pPr>
        <w:jc w:val="both"/>
        <w:rPr>
          <w:rFonts w:ascii="Arial" w:hAnsi="Arial" w:cs="Arial"/>
          <w:sz w:val="22"/>
        </w:rPr>
      </w:pPr>
    </w:p>
    <w:p w14:paraId="257F91F5" w14:textId="4C9E1BFE" w:rsidR="00820F00" w:rsidRDefault="007D77A0" w:rsidP="009A68A8">
      <w:pPr>
        <w:autoSpaceDE w:val="0"/>
        <w:autoSpaceDN w:val="0"/>
        <w:adjustRightInd w:val="0"/>
        <w:jc w:val="both"/>
        <w:rPr>
          <w:rFonts w:ascii="Arial" w:hAnsi="Arial" w:cs="Arial"/>
        </w:rPr>
      </w:pPr>
      <w:r w:rsidRPr="007D77A0">
        <w:rPr>
          <w:rFonts w:ascii="Arial" w:eastAsiaTheme="minorEastAsia" w:hAnsi="Arial" w:cs="Arial"/>
          <w:lang w:val="mn-MN"/>
        </w:rPr>
        <w:t xml:space="preserve">As </w:t>
      </w:r>
      <w:r w:rsidR="008A10E8">
        <w:rPr>
          <w:rFonts w:ascii="Arial" w:eastAsiaTheme="minorEastAsia" w:hAnsi="Arial" w:cs="Arial"/>
        </w:rPr>
        <w:t>estimated</w:t>
      </w:r>
      <w:r w:rsidRPr="007D77A0">
        <w:rPr>
          <w:rFonts w:ascii="Arial" w:eastAsiaTheme="minorEastAsia" w:hAnsi="Arial" w:cs="Arial"/>
          <w:lang w:val="mn-MN"/>
        </w:rPr>
        <w:t xml:space="preserve"> in the </w:t>
      </w:r>
      <w:r w:rsidRPr="007D77A0">
        <w:rPr>
          <w:rFonts w:ascii="Arial" w:eastAsiaTheme="minorEastAsia" w:hAnsi="Arial" w:cs="Arial"/>
        </w:rPr>
        <w:t>figure below</w:t>
      </w:r>
      <w:r w:rsidRPr="007D77A0">
        <w:rPr>
          <w:rFonts w:ascii="Arial" w:eastAsiaTheme="minorEastAsia" w:hAnsi="Arial" w:cs="Arial"/>
          <w:lang w:val="mn-MN"/>
        </w:rPr>
        <w:t xml:space="preserve">, the distribution of </w:t>
      </w:r>
      <w:r w:rsidRPr="007D77A0">
        <w:rPr>
          <w:rFonts w:ascii="Arial" w:eastAsiaTheme="minorEastAsia" w:hAnsi="Arial" w:cs="Arial"/>
        </w:rPr>
        <w:t>government</w:t>
      </w:r>
      <w:r w:rsidRPr="007D77A0">
        <w:rPr>
          <w:rFonts w:ascii="Arial" w:eastAsiaTheme="minorEastAsia" w:hAnsi="Arial" w:cs="Arial"/>
          <w:lang w:val="mn-MN"/>
        </w:rPr>
        <w:t xml:space="preserve"> expenditure on </w:t>
      </w:r>
      <w:r w:rsidRPr="007D77A0">
        <w:rPr>
          <w:rFonts w:ascii="Arial" w:eastAsiaTheme="minorEastAsia" w:hAnsi="Arial" w:cs="Arial"/>
        </w:rPr>
        <w:t>health is regressive</w:t>
      </w:r>
      <w:r w:rsidRPr="007D77A0">
        <w:rPr>
          <w:rFonts w:ascii="Arial" w:eastAsiaTheme="minorEastAsia" w:hAnsi="Arial" w:cs="Arial"/>
          <w:lang w:val="mn-MN"/>
        </w:rPr>
        <w:t xml:space="preserve">, benefiting the </w:t>
      </w:r>
      <w:r w:rsidRPr="007D77A0">
        <w:rPr>
          <w:rFonts w:ascii="Arial" w:eastAsiaTheme="minorEastAsia" w:hAnsi="Arial" w:cs="Arial"/>
        </w:rPr>
        <w:t xml:space="preserve">rich </w:t>
      </w:r>
      <w:r w:rsidRPr="007D77A0">
        <w:rPr>
          <w:rFonts w:ascii="Arial" w:eastAsiaTheme="minorEastAsia" w:hAnsi="Arial" w:cs="Arial"/>
          <w:lang w:val="mn-MN"/>
        </w:rPr>
        <w:t xml:space="preserve">more than the </w:t>
      </w:r>
      <w:r w:rsidRPr="007D77A0">
        <w:rPr>
          <w:rFonts w:ascii="Arial" w:eastAsiaTheme="minorEastAsia" w:hAnsi="Arial" w:cs="Arial"/>
        </w:rPr>
        <w:t>poor</w:t>
      </w:r>
      <w:r w:rsidRPr="007D77A0">
        <w:rPr>
          <w:rFonts w:ascii="Arial" w:eastAsiaTheme="minorEastAsia" w:hAnsi="Arial" w:cs="Arial"/>
          <w:lang w:val="mn-MN"/>
        </w:rPr>
        <w:t>.</w:t>
      </w:r>
      <w:r w:rsidRPr="007D77A0">
        <w:rPr>
          <w:rFonts w:ascii="Arial" w:hAnsi="Arial" w:cs="Arial"/>
        </w:rPr>
        <w:t xml:space="preserve"> </w:t>
      </w:r>
    </w:p>
    <w:p w14:paraId="44DC848F" w14:textId="77777777" w:rsidR="009A68A8" w:rsidRPr="009A68A8" w:rsidRDefault="009A68A8" w:rsidP="009A68A8">
      <w:pPr>
        <w:autoSpaceDE w:val="0"/>
        <w:autoSpaceDN w:val="0"/>
        <w:adjustRightInd w:val="0"/>
        <w:jc w:val="both"/>
        <w:rPr>
          <w:rFonts w:ascii="Arial" w:hAnsi="Arial" w:cs="Arial"/>
        </w:rPr>
      </w:pPr>
    </w:p>
    <w:p w14:paraId="220CDA52" w14:textId="77777777" w:rsidR="00DC36C5" w:rsidRPr="007D77A0" w:rsidRDefault="00DC36C5" w:rsidP="00DC36C5">
      <w:pPr>
        <w:pStyle w:val="Caption"/>
        <w:jc w:val="center"/>
        <w:rPr>
          <w:rFonts w:ascii="Arial" w:hAnsi="Arial" w:cs="Arial"/>
          <w:b w:val="0"/>
          <w:bCs w:val="0"/>
          <w:sz w:val="22"/>
          <w:szCs w:val="22"/>
          <w:lang w:val="mn-MN"/>
        </w:rPr>
      </w:pPr>
      <w:bookmarkStart w:id="53" w:name="_Toc310170120"/>
      <w:r w:rsidRPr="007D77A0">
        <w:rPr>
          <w:rFonts w:ascii="Arial" w:hAnsi="Arial" w:cs="Arial"/>
          <w:b w:val="0"/>
          <w:sz w:val="22"/>
          <w:szCs w:val="22"/>
        </w:rPr>
        <w:t xml:space="preserve">Figure </w:t>
      </w:r>
      <w:r w:rsidR="00CB191B" w:rsidRPr="007D77A0">
        <w:rPr>
          <w:rFonts w:ascii="Arial" w:hAnsi="Arial" w:cs="Arial"/>
          <w:b w:val="0"/>
          <w:sz w:val="22"/>
          <w:szCs w:val="22"/>
        </w:rPr>
        <w:fldChar w:fldCharType="begin"/>
      </w:r>
      <w:r w:rsidRPr="007D77A0">
        <w:rPr>
          <w:rFonts w:ascii="Arial" w:hAnsi="Arial" w:cs="Arial"/>
          <w:b w:val="0"/>
          <w:sz w:val="22"/>
          <w:szCs w:val="22"/>
        </w:rPr>
        <w:instrText xml:space="preserve"> SEQ Figure \* ARABIC </w:instrText>
      </w:r>
      <w:r w:rsidR="00CB191B" w:rsidRPr="007D77A0">
        <w:rPr>
          <w:rFonts w:ascii="Arial" w:hAnsi="Arial" w:cs="Arial"/>
          <w:b w:val="0"/>
          <w:sz w:val="22"/>
          <w:szCs w:val="22"/>
        </w:rPr>
        <w:fldChar w:fldCharType="separate"/>
      </w:r>
      <w:r w:rsidR="00D533CA">
        <w:rPr>
          <w:rFonts w:ascii="Arial" w:hAnsi="Arial" w:cs="Arial"/>
          <w:b w:val="0"/>
          <w:noProof/>
          <w:sz w:val="22"/>
          <w:szCs w:val="22"/>
        </w:rPr>
        <w:t>15</w:t>
      </w:r>
      <w:r w:rsidR="00CB191B" w:rsidRPr="007D77A0">
        <w:rPr>
          <w:rFonts w:ascii="Arial" w:hAnsi="Arial" w:cs="Arial"/>
          <w:b w:val="0"/>
          <w:sz w:val="22"/>
          <w:szCs w:val="22"/>
        </w:rPr>
        <w:fldChar w:fldCharType="end"/>
      </w:r>
      <w:r w:rsidRPr="007D77A0">
        <w:rPr>
          <w:rFonts w:ascii="Arial" w:hAnsi="Arial" w:cs="Arial"/>
          <w:b w:val="0"/>
          <w:sz w:val="22"/>
          <w:szCs w:val="22"/>
        </w:rPr>
        <w:t>: Percentage share of government subsidies for health by quintiles</w:t>
      </w:r>
      <w:r w:rsidR="005947B5">
        <w:rPr>
          <w:rFonts w:ascii="Arial" w:hAnsi="Arial" w:cs="Arial"/>
          <w:b w:val="0"/>
          <w:sz w:val="22"/>
          <w:szCs w:val="22"/>
        </w:rPr>
        <w:t>,</w:t>
      </w:r>
      <w:r w:rsidR="007E46E0">
        <w:rPr>
          <w:rFonts w:ascii="Arial" w:hAnsi="Arial" w:cs="Arial"/>
          <w:b w:val="0"/>
          <w:sz w:val="22"/>
          <w:szCs w:val="22"/>
        </w:rPr>
        <w:t xml:space="preserve"> </w:t>
      </w:r>
      <w:r w:rsidR="005947B5">
        <w:rPr>
          <w:rFonts w:ascii="Arial" w:hAnsi="Arial" w:cs="Arial"/>
          <w:b w:val="0"/>
          <w:sz w:val="22"/>
          <w:szCs w:val="22"/>
        </w:rPr>
        <w:t>2012</w:t>
      </w:r>
      <w:bookmarkEnd w:id="53"/>
    </w:p>
    <w:p w14:paraId="62205268" w14:textId="02A8E26A" w:rsidR="00DC36C5" w:rsidRDefault="00D3265D" w:rsidP="00906742">
      <w:pPr>
        <w:jc w:val="center"/>
      </w:pPr>
      <w:r w:rsidRPr="00D3265D">
        <w:rPr>
          <w:noProof/>
        </w:rPr>
        <w:drawing>
          <wp:inline distT="0" distB="0" distL="0" distR="0" wp14:anchorId="7EB66A94" wp14:editId="12EFEC5B">
            <wp:extent cx="5490210" cy="3299607"/>
            <wp:effectExtent l="0" t="0" r="0" b="2540"/>
            <wp:docPr id="3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90210" cy="3299607"/>
                    </a:xfrm>
                    <a:prstGeom prst="rect">
                      <a:avLst/>
                    </a:prstGeom>
                    <a:noFill/>
                    <a:ln>
                      <a:noFill/>
                    </a:ln>
                  </pic:spPr>
                </pic:pic>
              </a:graphicData>
            </a:graphic>
          </wp:inline>
        </w:drawing>
      </w:r>
    </w:p>
    <w:p w14:paraId="0D0638B9" w14:textId="77777777" w:rsidR="00B97801" w:rsidRPr="008B7EA0" w:rsidRDefault="00B97801" w:rsidP="007E46E0">
      <w:pPr>
        <w:ind w:left="1440"/>
        <w:rPr>
          <w:i/>
          <w:sz w:val="22"/>
          <w:lang w:val="en-GB"/>
        </w:rPr>
      </w:pPr>
      <w:r w:rsidRPr="008B7EA0">
        <w:rPr>
          <w:i/>
          <w:sz w:val="22"/>
          <w:lang w:val="en-GB"/>
        </w:rPr>
        <w:t>Source: Mongolia Household Socio-Economic Survey, 2012</w:t>
      </w:r>
    </w:p>
    <w:p w14:paraId="42BADBFC" w14:textId="77777777" w:rsidR="00BC1616" w:rsidRDefault="00BC1616" w:rsidP="00DC36C5">
      <w:pPr>
        <w:jc w:val="both"/>
        <w:rPr>
          <w:rFonts w:ascii="Arial" w:hAnsi="Arial" w:cs="Arial"/>
        </w:rPr>
      </w:pPr>
    </w:p>
    <w:p w14:paraId="15963707" w14:textId="77777777" w:rsidR="00DC36C5" w:rsidRPr="00DF1A38" w:rsidRDefault="00DC36C5" w:rsidP="00DC36C5">
      <w:pPr>
        <w:jc w:val="both"/>
        <w:rPr>
          <w:rFonts w:ascii="Arial" w:hAnsi="Arial" w:cs="Arial"/>
        </w:rPr>
      </w:pPr>
      <w:r w:rsidRPr="00DF1A38">
        <w:rPr>
          <w:rFonts w:ascii="Arial" w:hAnsi="Arial" w:cs="Arial"/>
        </w:rPr>
        <w:t xml:space="preserve">The </w:t>
      </w:r>
      <w:r w:rsidR="00906742">
        <w:rPr>
          <w:rFonts w:ascii="Arial" w:hAnsi="Arial" w:cs="Arial"/>
        </w:rPr>
        <w:t xml:space="preserve">poorest 20% of </w:t>
      </w:r>
      <w:r w:rsidR="007D77A0">
        <w:rPr>
          <w:rFonts w:ascii="Arial" w:hAnsi="Arial" w:cs="Arial"/>
        </w:rPr>
        <w:t xml:space="preserve">Mongolian </w:t>
      </w:r>
      <w:r w:rsidR="00906742">
        <w:rPr>
          <w:rFonts w:ascii="Arial" w:hAnsi="Arial" w:cs="Arial"/>
        </w:rPr>
        <w:t>people receive</w:t>
      </w:r>
      <w:r w:rsidR="007D77A0">
        <w:rPr>
          <w:rFonts w:ascii="Arial" w:hAnsi="Arial" w:cs="Arial"/>
        </w:rPr>
        <w:t>d</w:t>
      </w:r>
      <w:r w:rsidR="00906742">
        <w:rPr>
          <w:rFonts w:ascii="Arial" w:hAnsi="Arial" w:cs="Arial"/>
        </w:rPr>
        <w:t xml:space="preserve"> only 13% of the government resources spent on health, while the richest 20% received 24% of government spending for the sector. Hence, the </w:t>
      </w:r>
      <w:r w:rsidRPr="00DF1A38">
        <w:rPr>
          <w:rFonts w:ascii="Arial" w:hAnsi="Arial" w:cs="Arial"/>
        </w:rPr>
        <w:t xml:space="preserve">richer populations benefited more from government subsidy than the poor as percentage share of benefits increase from lowest to highest wealth quintile. </w:t>
      </w:r>
    </w:p>
    <w:p w14:paraId="3EC9D146" w14:textId="77777777" w:rsidR="00DC36C5" w:rsidRDefault="00DC36C5" w:rsidP="00DC36C5"/>
    <w:p w14:paraId="5F6E3A14" w14:textId="77777777" w:rsidR="00C16568" w:rsidRPr="007D77A0" w:rsidRDefault="00DC36C5" w:rsidP="00736172">
      <w:pPr>
        <w:numPr>
          <w:ilvl w:val="0"/>
          <w:numId w:val="16"/>
        </w:numPr>
        <w:jc w:val="both"/>
        <w:rPr>
          <w:rFonts w:ascii="Arial" w:hAnsi="Arial" w:cs="Arial"/>
          <w:sz w:val="22"/>
        </w:rPr>
      </w:pPr>
      <w:r w:rsidRPr="007D77A0">
        <w:rPr>
          <w:rFonts w:ascii="Arial" w:hAnsi="Arial" w:cs="Arial"/>
          <w:sz w:val="22"/>
        </w:rPr>
        <w:t>B</w:t>
      </w:r>
      <w:r w:rsidR="00C16568" w:rsidRPr="007D77A0">
        <w:rPr>
          <w:rFonts w:ascii="Arial" w:hAnsi="Arial" w:cs="Arial"/>
          <w:sz w:val="22"/>
        </w:rPr>
        <w:t>enefit incidences</w:t>
      </w:r>
      <w:r w:rsidRPr="007D77A0">
        <w:rPr>
          <w:rFonts w:ascii="Arial" w:hAnsi="Arial" w:cs="Arial"/>
          <w:sz w:val="22"/>
        </w:rPr>
        <w:t xml:space="preserve"> of government subsidy</w:t>
      </w:r>
      <w:r w:rsidR="00C16568" w:rsidRPr="007D77A0">
        <w:rPr>
          <w:rFonts w:ascii="Arial" w:hAnsi="Arial" w:cs="Arial"/>
          <w:sz w:val="22"/>
        </w:rPr>
        <w:t xml:space="preserve"> by rural </w:t>
      </w:r>
      <w:r w:rsidR="007D77A0" w:rsidRPr="007D77A0">
        <w:rPr>
          <w:rFonts w:ascii="Arial" w:hAnsi="Arial" w:cs="Arial"/>
          <w:sz w:val="22"/>
        </w:rPr>
        <w:t xml:space="preserve">and </w:t>
      </w:r>
      <w:r w:rsidR="00C16568" w:rsidRPr="007D77A0">
        <w:rPr>
          <w:rFonts w:ascii="Arial" w:hAnsi="Arial" w:cs="Arial"/>
          <w:sz w:val="22"/>
        </w:rPr>
        <w:t xml:space="preserve">urban </w:t>
      </w:r>
      <w:r w:rsidR="007D77A0" w:rsidRPr="007D77A0">
        <w:rPr>
          <w:rFonts w:ascii="Arial" w:hAnsi="Arial" w:cs="Arial"/>
          <w:sz w:val="22"/>
        </w:rPr>
        <w:t>areas</w:t>
      </w:r>
    </w:p>
    <w:p w14:paraId="22B6EE54" w14:textId="77777777" w:rsidR="00906742" w:rsidRDefault="00906742" w:rsidP="00906742">
      <w:pPr>
        <w:ind w:left="720"/>
        <w:jc w:val="both"/>
      </w:pPr>
    </w:p>
    <w:p w14:paraId="5EE1D6EB" w14:textId="24879EE3" w:rsidR="00785593" w:rsidRPr="0016795F" w:rsidRDefault="00615408" w:rsidP="00785593">
      <w:pPr>
        <w:jc w:val="both"/>
        <w:rPr>
          <w:rFonts w:ascii="Arial" w:hAnsi="Arial" w:cs="Arial"/>
        </w:rPr>
      </w:pPr>
      <w:r w:rsidRPr="0016795F">
        <w:rPr>
          <w:rFonts w:ascii="Arial" w:hAnsi="Arial" w:cs="Arial"/>
        </w:rPr>
        <w:t>People in urban setting</w:t>
      </w:r>
      <w:r w:rsidR="007D77A0">
        <w:rPr>
          <w:rFonts w:ascii="Arial" w:hAnsi="Arial" w:cs="Arial"/>
        </w:rPr>
        <w:t>s use</w:t>
      </w:r>
      <w:r w:rsidR="008A10E8">
        <w:rPr>
          <w:rFonts w:ascii="Arial" w:hAnsi="Arial" w:cs="Arial"/>
        </w:rPr>
        <w:t>d</w:t>
      </w:r>
      <w:r w:rsidRPr="0016795F">
        <w:rPr>
          <w:rFonts w:ascii="Arial" w:hAnsi="Arial" w:cs="Arial"/>
        </w:rPr>
        <w:t xml:space="preserve"> two-thirds of total benefits</w:t>
      </w:r>
      <w:r w:rsidR="007D77A0">
        <w:rPr>
          <w:rFonts w:ascii="Arial" w:hAnsi="Arial" w:cs="Arial"/>
        </w:rPr>
        <w:t xml:space="preserve"> for health</w:t>
      </w:r>
      <w:r w:rsidRPr="0016795F">
        <w:rPr>
          <w:rFonts w:ascii="Arial" w:hAnsi="Arial" w:cs="Arial"/>
        </w:rPr>
        <w:t xml:space="preserve"> as well as outpatient and inpatient </w:t>
      </w:r>
      <w:r w:rsidR="00FE5C5C">
        <w:rPr>
          <w:rFonts w:ascii="Arial" w:hAnsi="Arial" w:cs="Arial"/>
        </w:rPr>
        <w:t>subsidies</w:t>
      </w:r>
      <w:r w:rsidR="007532A7">
        <w:rPr>
          <w:rFonts w:ascii="Arial" w:hAnsi="Arial" w:cs="Arial"/>
        </w:rPr>
        <w:t xml:space="preserve"> in 2012</w:t>
      </w:r>
      <w:r w:rsidR="00D533CA">
        <w:rPr>
          <w:rFonts w:ascii="Arial" w:hAnsi="Arial" w:cs="Arial"/>
        </w:rPr>
        <w:t xml:space="preserve"> (Figure 16</w:t>
      </w:r>
      <w:r w:rsidR="009A68A8">
        <w:rPr>
          <w:rFonts w:ascii="Arial" w:hAnsi="Arial" w:cs="Arial"/>
        </w:rPr>
        <w:t>)</w:t>
      </w:r>
      <w:r w:rsidRPr="0016795F">
        <w:rPr>
          <w:rFonts w:ascii="Arial" w:hAnsi="Arial" w:cs="Arial"/>
        </w:rPr>
        <w:t xml:space="preserve">. </w:t>
      </w:r>
      <w:proofErr w:type="gramStart"/>
      <w:r w:rsidR="007532A7">
        <w:rPr>
          <w:rFonts w:ascii="Arial" w:hAnsi="Arial" w:cs="Arial"/>
        </w:rPr>
        <w:t xml:space="preserve">The resource allocation for urban population is largely driven by the higher portion of the total health subsidy used by the </w:t>
      </w:r>
      <w:r w:rsidR="00D3265D">
        <w:rPr>
          <w:rFonts w:ascii="Arial" w:hAnsi="Arial" w:cs="Arial"/>
        </w:rPr>
        <w:t>people in Ulaanbaatar (Figure 18</w:t>
      </w:r>
      <w:r w:rsidR="007532A7">
        <w:rPr>
          <w:rFonts w:ascii="Arial" w:hAnsi="Arial" w:cs="Arial"/>
        </w:rPr>
        <w:t>).</w:t>
      </w:r>
      <w:proofErr w:type="gramEnd"/>
    </w:p>
    <w:p w14:paraId="047F63DA" w14:textId="528B4674" w:rsidR="0016795F" w:rsidRPr="0016795F" w:rsidRDefault="0016795F" w:rsidP="007532A7">
      <w:pPr>
        <w:pStyle w:val="Caption"/>
        <w:spacing w:after="0" w:line="240" w:lineRule="auto"/>
        <w:jc w:val="center"/>
        <w:rPr>
          <w:rFonts w:ascii="Arial" w:hAnsi="Arial" w:cs="Arial"/>
          <w:b w:val="0"/>
          <w:sz w:val="22"/>
          <w:szCs w:val="22"/>
        </w:rPr>
      </w:pPr>
      <w:bookmarkStart w:id="54" w:name="_Toc310170121"/>
      <w:r w:rsidRPr="0016795F">
        <w:rPr>
          <w:rFonts w:ascii="Arial" w:hAnsi="Arial" w:cs="Arial"/>
          <w:b w:val="0"/>
          <w:sz w:val="22"/>
          <w:szCs w:val="22"/>
        </w:rPr>
        <w:lastRenderedPageBreak/>
        <w:t xml:space="preserve">Figure </w:t>
      </w:r>
      <w:r w:rsidR="00CB191B" w:rsidRPr="0016795F">
        <w:rPr>
          <w:rFonts w:ascii="Arial" w:hAnsi="Arial" w:cs="Arial"/>
          <w:b w:val="0"/>
          <w:sz w:val="22"/>
          <w:szCs w:val="22"/>
        </w:rPr>
        <w:fldChar w:fldCharType="begin"/>
      </w:r>
      <w:r w:rsidRPr="0016795F">
        <w:rPr>
          <w:rFonts w:ascii="Arial" w:hAnsi="Arial" w:cs="Arial"/>
          <w:b w:val="0"/>
          <w:sz w:val="22"/>
          <w:szCs w:val="22"/>
        </w:rPr>
        <w:instrText xml:space="preserve"> SEQ Figure \* ARABIC </w:instrText>
      </w:r>
      <w:r w:rsidR="00CB191B" w:rsidRPr="0016795F">
        <w:rPr>
          <w:rFonts w:ascii="Arial" w:hAnsi="Arial" w:cs="Arial"/>
          <w:b w:val="0"/>
          <w:sz w:val="22"/>
          <w:szCs w:val="22"/>
        </w:rPr>
        <w:fldChar w:fldCharType="separate"/>
      </w:r>
      <w:r w:rsidR="00D533CA">
        <w:rPr>
          <w:rFonts w:ascii="Arial" w:hAnsi="Arial" w:cs="Arial"/>
          <w:b w:val="0"/>
          <w:noProof/>
          <w:sz w:val="22"/>
          <w:szCs w:val="22"/>
        </w:rPr>
        <w:t>16</w:t>
      </w:r>
      <w:r w:rsidR="00CB191B" w:rsidRPr="0016795F">
        <w:rPr>
          <w:rFonts w:ascii="Arial" w:hAnsi="Arial" w:cs="Arial"/>
          <w:b w:val="0"/>
          <w:sz w:val="22"/>
          <w:szCs w:val="22"/>
        </w:rPr>
        <w:fldChar w:fldCharType="end"/>
      </w:r>
      <w:r w:rsidRPr="0016795F">
        <w:rPr>
          <w:rFonts w:ascii="Arial" w:hAnsi="Arial" w:cs="Arial"/>
          <w:b w:val="0"/>
          <w:sz w:val="22"/>
          <w:szCs w:val="22"/>
        </w:rPr>
        <w:t xml:space="preserve">: Percentage share of </w:t>
      </w:r>
      <w:r>
        <w:rPr>
          <w:rFonts w:ascii="Arial" w:hAnsi="Arial" w:cs="Arial"/>
          <w:b w:val="0"/>
          <w:sz w:val="22"/>
          <w:szCs w:val="22"/>
        </w:rPr>
        <w:t>government</w:t>
      </w:r>
      <w:r w:rsidRPr="0016795F">
        <w:rPr>
          <w:rFonts w:ascii="Arial" w:hAnsi="Arial" w:cs="Arial"/>
          <w:b w:val="0"/>
          <w:sz w:val="22"/>
          <w:szCs w:val="22"/>
        </w:rPr>
        <w:t xml:space="preserve"> </w:t>
      </w:r>
      <w:r w:rsidR="007532A7">
        <w:rPr>
          <w:rFonts w:ascii="Arial" w:hAnsi="Arial" w:cs="Arial"/>
          <w:b w:val="0"/>
          <w:sz w:val="22"/>
          <w:szCs w:val="22"/>
        </w:rPr>
        <w:t>subsidy for health</w:t>
      </w:r>
      <w:r>
        <w:rPr>
          <w:rFonts w:ascii="Arial" w:hAnsi="Arial" w:cs="Arial"/>
          <w:b w:val="0"/>
          <w:sz w:val="22"/>
          <w:szCs w:val="22"/>
        </w:rPr>
        <w:t xml:space="preserve"> by urban and rural population</w:t>
      </w:r>
      <w:r w:rsidR="007532A7">
        <w:rPr>
          <w:rFonts w:ascii="Arial" w:hAnsi="Arial" w:cs="Arial"/>
          <w:b w:val="0"/>
          <w:sz w:val="22"/>
          <w:szCs w:val="22"/>
        </w:rPr>
        <w:t>, 2012</w:t>
      </w:r>
      <w:bookmarkEnd w:id="54"/>
    </w:p>
    <w:p w14:paraId="2626499C" w14:textId="1F3DB485" w:rsidR="00615408" w:rsidRDefault="003F3C31" w:rsidP="00615408">
      <w:pPr>
        <w:jc w:val="center"/>
      </w:pPr>
      <w:r>
        <w:pict w14:anchorId="4815FC58">
          <v:shape id="_x0000_i1026" type="#_x0000_t75" style="width:374.05pt;height:198.3pt">
            <v:imagedata r:id="rId29" o:title=""/>
          </v:shape>
        </w:pict>
      </w:r>
    </w:p>
    <w:p w14:paraId="04393487" w14:textId="1E37F2C5" w:rsidR="0016795F" w:rsidRPr="007532A7" w:rsidRDefault="00BC1616" w:rsidP="007532A7">
      <w:pPr>
        <w:ind w:left="1440"/>
        <w:rPr>
          <w:i/>
          <w:sz w:val="22"/>
          <w:lang w:val="en-GB"/>
        </w:rPr>
      </w:pPr>
      <w:r w:rsidRPr="008B7EA0">
        <w:rPr>
          <w:i/>
          <w:sz w:val="22"/>
          <w:lang w:val="en-GB"/>
        </w:rPr>
        <w:t>Source: Mongolia Household Socio-Economic Survey, 2012</w:t>
      </w:r>
    </w:p>
    <w:p w14:paraId="5F0E2A7F" w14:textId="77777777" w:rsidR="009A68A8" w:rsidRDefault="009A68A8" w:rsidP="0016795F">
      <w:pPr>
        <w:jc w:val="both"/>
        <w:rPr>
          <w:rFonts w:ascii="Arial" w:hAnsi="Arial" w:cs="Arial"/>
        </w:rPr>
      </w:pPr>
    </w:p>
    <w:p w14:paraId="21A0D751" w14:textId="393EF866" w:rsidR="0016795F" w:rsidRPr="0016795F" w:rsidRDefault="0016795F" w:rsidP="0016795F">
      <w:pPr>
        <w:jc w:val="both"/>
        <w:rPr>
          <w:rFonts w:ascii="Arial" w:hAnsi="Arial" w:cs="Arial"/>
        </w:rPr>
      </w:pPr>
      <w:r w:rsidRPr="0016795F">
        <w:rPr>
          <w:rFonts w:ascii="Arial" w:hAnsi="Arial" w:cs="Arial"/>
        </w:rPr>
        <w:t xml:space="preserve">However, </w:t>
      </w:r>
      <w:r w:rsidR="00FE5C5C">
        <w:rPr>
          <w:rFonts w:ascii="Arial" w:hAnsi="Arial" w:cs="Arial"/>
        </w:rPr>
        <w:t xml:space="preserve">the </w:t>
      </w:r>
      <w:r w:rsidR="00FE5C5C" w:rsidRPr="0016795F">
        <w:rPr>
          <w:rFonts w:ascii="Arial" w:hAnsi="Arial" w:cs="Arial"/>
        </w:rPr>
        <w:t>share</w:t>
      </w:r>
      <w:r w:rsidR="00FE5C5C">
        <w:rPr>
          <w:rFonts w:ascii="Arial" w:hAnsi="Arial" w:cs="Arial"/>
        </w:rPr>
        <w:t>s</w:t>
      </w:r>
      <w:r w:rsidR="00FE5C5C" w:rsidRPr="0016795F">
        <w:rPr>
          <w:rFonts w:ascii="Arial" w:hAnsi="Arial" w:cs="Arial"/>
        </w:rPr>
        <w:t xml:space="preserve"> of benefits </w:t>
      </w:r>
      <w:r w:rsidR="00FE5C5C">
        <w:rPr>
          <w:rFonts w:ascii="Arial" w:hAnsi="Arial" w:cs="Arial"/>
        </w:rPr>
        <w:t>decreased</w:t>
      </w:r>
      <w:r w:rsidR="00FE5C5C" w:rsidRPr="0016795F">
        <w:rPr>
          <w:rFonts w:ascii="Arial" w:hAnsi="Arial" w:cs="Arial"/>
        </w:rPr>
        <w:t xml:space="preserve"> from lowest to highest wealth quintile </w:t>
      </w:r>
      <w:r w:rsidR="00FE5C5C">
        <w:rPr>
          <w:rFonts w:ascii="Arial" w:hAnsi="Arial" w:cs="Arial"/>
        </w:rPr>
        <w:t>among rural population</w:t>
      </w:r>
      <w:r w:rsidRPr="0016795F">
        <w:rPr>
          <w:rFonts w:ascii="Arial" w:hAnsi="Arial" w:cs="Arial"/>
        </w:rPr>
        <w:t xml:space="preserve">. </w:t>
      </w:r>
      <w:r w:rsidR="00FE5C5C">
        <w:rPr>
          <w:rFonts w:ascii="Arial" w:hAnsi="Arial" w:cs="Arial"/>
        </w:rPr>
        <w:t>This is a</w:t>
      </w:r>
      <w:r w:rsidR="007D77A0">
        <w:rPr>
          <w:rFonts w:ascii="Arial" w:hAnsi="Arial" w:cs="Arial"/>
        </w:rPr>
        <w:t>n</w:t>
      </w:r>
      <w:r w:rsidR="00FE5C5C">
        <w:rPr>
          <w:rFonts w:ascii="Arial" w:hAnsi="Arial" w:cs="Arial"/>
        </w:rPr>
        <w:t xml:space="preserve"> indication of wealthier people </w:t>
      </w:r>
      <w:r w:rsidR="009C21B8">
        <w:rPr>
          <w:rFonts w:ascii="Arial" w:hAnsi="Arial" w:cs="Arial"/>
        </w:rPr>
        <w:t>in rural settings seek</w:t>
      </w:r>
      <w:r w:rsidR="00FE5C5C">
        <w:rPr>
          <w:rFonts w:ascii="Arial" w:hAnsi="Arial" w:cs="Arial"/>
        </w:rPr>
        <w:t xml:space="preserve"> care in </w:t>
      </w:r>
      <w:r w:rsidR="00BC1616">
        <w:rPr>
          <w:rFonts w:ascii="Arial" w:hAnsi="Arial" w:cs="Arial"/>
        </w:rPr>
        <w:t>more costly health facilities such as hospitals</w:t>
      </w:r>
      <w:r w:rsidR="0031333B">
        <w:rPr>
          <w:rFonts w:ascii="Arial" w:hAnsi="Arial" w:cs="Arial"/>
        </w:rPr>
        <w:t xml:space="preserve"> in Ulaanbaatar</w:t>
      </w:r>
      <w:r w:rsidR="00CD760D">
        <w:rPr>
          <w:rFonts w:ascii="Arial" w:hAnsi="Arial" w:cs="Arial"/>
        </w:rPr>
        <w:t xml:space="preserve"> (Figure 17</w:t>
      </w:r>
      <w:r w:rsidR="009A68A8">
        <w:rPr>
          <w:rFonts w:ascii="Arial" w:hAnsi="Arial" w:cs="Arial"/>
        </w:rPr>
        <w:t>)</w:t>
      </w:r>
      <w:r w:rsidR="0055231E">
        <w:rPr>
          <w:rFonts w:ascii="Arial" w:hAnsi="Arial" w:cs="Arial"/>
        </w:rPr>
        <w:t>.</w:t>
      </w:r>
    </w:p>
    <w:p w14:paraId="327101B6" w14:textId="77777777" w:rsidR="0016795F" w:rsidRDefault="0016795F" w:rsidP="0016795F">
      <w:pPr>
        <w:ind w:left="720"/>
        <w:jc w:val="both"/>
      </w:pPr>
    </w:p>
    <w:p w14:paraId="345B814E" w14:textId="77777777" w:rsidR="0016795F" w:rsidRPr="0016795F" w:rsidRDefault="0016795F" w:rsidP="006B3BC1">
      <w:pPr>
        <w:pStyle w:val="Caption"/>
        <w:spacing w:after="0" w:line="240" w:lineRule="auto"/>
        <w:rPr>
          <w:rFonts w:ascii="Arial" w:hAnsi="Arial" w:cs="Arial"/>
        </w:rPr>
      </w:pPr>
      <w:bookmarkStart w:id="55" w:name="_Toc310170122"/>
      <w:r w:rsidRPr="0016795F">
        <w:rPr>
          <w:rFonts w:ascii="Arial" w:hAnsi="Arial" w:cs="Arial"/>
          <w:b w:val="0"/>
          <w:sz w:val="22"/>
        </w:rPr>
        <w:t xml:space="preserve">Figure </w:t>
      </w:r>
      <w:r w:rsidR="00CB191B" w:rsidRPr="0016795F">
        <w:rPr>
          <w:rFonts w:ascii="Arial" w:hAnsi="Arial" w:cs="Arial"/>
          <w:b w:val="0"/>
          <w:sz w:val="22"/>
        </w:rPr>
        <w:fldChar w:fldCharType="begin"/>
      </w:r>
      <w:r w:rsidRPr="0016795F">
        <w:rPr>
          <w:rFonts w:ascii="Arial" w:hAnsi="Arial" w:cs="Arial"/>
          <w:b w:val="0"/>
          <w:sz w:val="22"/>
        </w:rPr>
        <w:instrText xml:space="preserve"> SEQ Figure \* ARABIC </w:instrText>
      </w:r>
      <w:r w:rsidR="00CB191B" w:rsidRPr="0016795F">
        <w:rPr>
          <w:rFonts w:ascii="Arial" w:hAnsi="Arial" w:cs="Arial"/>
          <w:b w:val="0"/>
          <w:sz w:val="22"/>
        </w:rPr>
        <w:fldChar w:fldCharType="separate"/>
      </w:r>
      <w:r w:rsidR="00CD760D">
        <w:rPr>
          <w:rFonts w:ascii="Arial" w:hAnsi="Arial" w:cs="Arial"/>
          <w:b w:val="0"/>
          <w:noProof/>
          <w:sz w:val="22"/>
        </w:rPr>
        <w:t>17</w:t>
      </w:r>
      <w:r w:rsidR="00CB191B" w:rsidRPr="0016795F">
        <w:rPr>
          <w:rFonts w:ascii="Arial" w:hAnsi="Arial" w:cs="Arial"/>
          <w:b w:val="0"/>
          <w:sz w:val="22"/>
        </w:rPr>
        <w:fldChar w:fldCharType="end"/>
      </w:r>
      <w:r w:rsidRPr="0016795F">
        <w:rPr>
          <w:rFonts w:ascii="Arial" w:hAnsi="Arial" w:cs="Arial"/>
          <w:b w:val="0"/>
          <w:sz w:val="22"/>
        </w:rPr>
        <w:t>:</w:t>
      </w:r>
      <w:r w:rsidRPr="0016795F">
        <w:rPr>
          <w:rFonts w:ascii="Arial" w:hAnsi="Arial" w:cs="Arial"/>
          <w:sz w:val="22"/>
        </w:rPr>
        <w:t xml:space="preserve"> </w:t>
      </w:r>
      <w:r w:rsidRPr="0016795F">
        <w:rPr>
          <w:rFonts w:ascii="Arial" w:hAnsi="Arial" w:cs="Arial"/>
          <w:b w:val="0"/>
          <w:sz w:val="22"/>
          <w:szCs w:val="22"/>
        </w:rPr>
        <w:t xml:space="preserve">Percentage share of government benefits </w:t>
      </w:r>
      <w:r w:rsidR="002C24CA">
        <w:rPr>
          <w:rFonts w:ascii="Arial" w:hAnsi="Arial" w:cs="Arial"/>
          <w:b w:val="0"/>
          <w:sz w:val="22"/>
          <w:szCs w:val="22"/>
        </w:rPr>
        <w:t xml:space="preserve">by </w:t>
      </w:r>
      <w:r w:rsidRPr="0016795F">
        <w:rPr>
          <w:rFonts w:ascii="Arial" w:hAnsi="Arial" w:cs="Arial"/>
          <w:b w:val="0"/>
          <w:sz w:val="22"/>
          <w:szCs w:val="22"/>
        </w:rPr>
        <w:t xml:space="preserve">urban and rural population </w:t>
      </w:r>
      <w:r w:rsidR="002C24CA">
        <w:rPr>
          <w:rFonts w:ascii="Arial" w:hAnsi="Arial" w:cs="Arial"/>
          <w:b w:val="0"/>
          <w:sz w:val="22"/>
          <w:szCs w:val="22"/>
        </w:rPr>
        <w:t xml:space="preserve">and expenditure </w:t>
      </w:r>
      <w:r w:rsidRPr="0016795F">
        <w:rPr>
          <w:rFonts w:ascii="Arial" w:hAnsi="Arial" w:cs="Arial"/>
          <w:b w:val="0"/>
          <w:sz w:val="22"/>
          <w:szCs w:val="22"/>
        </w:rPr>
        <w:t>quintile</w:t>
      </w:r>
      <w:r w:rsidR="005947B5">
        <w:rPr>
          <w:rFonts w:ascii="Arial" w:hAnsi="Arial" w:cs="Arial"/>
          <w:b w:val="0"/>
          <w:sz w:val="22"/>
          <w:szCs w:val="22"/>
        </w:rPr>
        <w:t>,</w:t>
      </w:r>
      <w:r w:rsidR="0055231E">
        <w:rPr>
          <w:rFonts w:ascii="Arial" w:hAnsi="Arial" w:cs="Arial"/>
          <w:b w:val="0"/>
          <w:sz w:val="22"/>
          <w:szCs w:val="22"/>
        </w:rPr>
        <w:t xml:space="preserve"> </w:t>
      </w:r>
      <w:r w:rsidR="005947B5">
        <w:rPr>
          <w:rFonts w:ascii="Arial" w:hAnsi="Arial" w:cs="Arial"/>
          <w:b w:val="0"/>
          <w:sz w:val="22"/>
          <w:szCs w:val="22"/>
        </w:rPr>
        <w:t>2012</w:t>
      </w:r>
      <w:bookmarkEnd w:id="55"/>
    </w:p>
    <w:p w14:paraId="357C4D2D" w14:textId="6B267CAB" w:rsidR="0016795F" w:rsidRDefault="00D3265D" w:rsidP="0016795F">
      <w:pPr>
        <w:jc w:val="center"/>
      </w:pPr>
      <w:r w:rsidRPr="00D3265D">
        <w:rPr>
          <w:noProof/>
        </w:rPr>
        <w:drawing>
          <wp:inline distT="0" distB="0" distL="0" distR="0" wp14:anchorId="4F654319" wp14:editId="574EEB52">
            <wp:extent cx="5490210" cy="2822901"/>
            <wp:effectExtent l="0" t="0" r="0" b="0"/>
            <wp:docPr id="3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90210" cy="2822901"/>
                    </a:xfrm>
                    <a:prstGeom prst="rect">
                      <a:avLst/>
                    </a:prstGeom>
                    <a:noFill/>
                    <a:ln>
                      <a:noFill/>
                    </a:ln>
                  </pic:spPr>
                </pic:pic>
              </a:graphicData>
            </a:graphic>
          </wp:inline>
        </w:drawing>
      </w:r>
    </w:p>
    <w:p w14:paraId="7CA987E4" w14:textId="77777777" w:rsidR="00381904" w:rsidRDefault="00381904" w:rsidP="005F4775">
      <w:pPr>
        <w:ind w:left="1440"/>
        <w:rPr>
          <w:i/>
          <w:sz w:val="22"/>
          <w:lang w:val="en-GB"/>
        </w:rPr>
      </w:pPr>
      <w:r w:rsidRPr="008B7EA0">
        <w:rPr>
          <w:i/>
          <w:sz w:val="22"/>
          <w:lang w:val="en-GB"/>
        </w:rPr>
        <w:t>Source: Mongolia Household Socio-Economic Survey, 2012</w:t>
      </w:r>
    </w:p>
    <w:p w14:paraId="5CC4274D" w14:textId="77777777" w:rsidR="005461CC" w:rsidRDefault="005461CC" w:rsidP="005F4775">
      <w:pPr>
        <w:ind w:left="1440"/>
        <w:rPr>
          <w:i/>
          <w:sz w:val="22"/>
          <w:lang w:val="en-GB"/>
        </w:rPr>
      </w:pPr>
    </w:p>
    <w:p w14:paraId="6C249B53" w14:textId="77777777" w:rsidR="005461CC" w:rsidRDefault="005461CC" w:rsidP="005F4775">
      <w:pPr>
        <w:ind w:left="1440"/>
        <w:rPr>
          <w:i/>
          <w:sz w:val="22"/>
          <w:lang w:val="en-GB"/>
        </w:rPr>
      </w:pPr>
    </w:p>
    <w:p w14:paraId="6F039E46" w14:textId="77777777" w:rsidR="00CD760D" w:rsidRDefault="00CD760D" w:rsidP="005F4775">
      <w:pPr>
        <w:ind w:left="1440"/>
        <w:rPr>
          <w:i/>
          <w:sz w:val="22"/>
          <w:lang w:val="en-GB"/>
        </w:rPr>
      </w:pPr>
    </w:p>
    <w:p w14:paraId="78DBD9F7" w14:textId="77777777" w:rsidR="00CD760D" w:rsidRDefault="00CD760D" w:rsidP="005F4775">
      <w:pPr>
        <w:ind w:left="1440"/>
        <w:rPr>
          <w:i/>
          <w:sz w:val="22"/>
          <w:lang w:val="en-GB"/>
        </w:rPr>
      </w:pPr>
    </w:p>
    <w:p w14:paraId="2545C05C" w14:textId="77777777" w:rsidR="00CD760D" w:rsidRDefault="00CD760D" w:rsidP="005F4775">
      <w:pPr>
        <w:ind w:left="1440"/>
        <w:rPr>
          <w:i/>
          <w:sz w:val="22"/>
          <w:lang w:val="en-GB"/>
        </w:rPr>
      </w:pPr>
    </w:p>
    <w:p w14:paraId="7FF144FC" w14:textId="77777777" w:rsidR="00CD760D" w:rsidRPr="008B7EA0" w:rsidRDefault="00CD760D" w:rsidP="005F4775">
      <w:pPr>
        <w:ind w:left="1440"/>
        <w:rPr>
          <w:i/>
          <w:sz w:val="22"/>
          <w:lang w:val="en-GB"/>
        </w:rPr>
      </w:pPr>
    </w:p>
    <w:p w14:paraId="6239C194" w14:textId="49175200" w:rsidR="005461CC" w:rsidRPr="007D77A0" w:rsidRDefault="005461CC" w:rsidP="005461CC">
      <w:pPr>
        <w:numPr>
          <w:ilvl w:val="0"/>
          <w:numId w:val="16"/>
        </w:numPr>
        <w:jc w:val="both"/>
        <w:rPr>
          <w:rFonts w:ascii="Arial" w:hAnsi="Arial" w:cs="Arial"/>
          <w:sz w:val="22"/>
        </w:rPr>
      </w:pPr>
      <w:r w:rsidRPr="007D77A0">
        <w:rPr>
          <w:rFonts w:ascii="Arial" w:hAnsi="Arial" w:cs="Arial"/>
          <w:sz w:val="22"/>
        </w:rPr>
        <w:t xml:space="preserve">Benefit incidences of government subsidy by </w:t>
      </w:r>
      <w:r>
        <w:rPr>
          <w:rFonts w:ascii="Arial" w:hAnsi="Arial" w:cs="Arial"/>
          <w:sz w:val="22"/>
        </w:rPr>
        <w:t>geographic regions</w:t>
      </w:r>
    </w:p>
    <w:p w14:paraId="0ECF4026" w14:textId="77777777" w:rsidR="00381904" w:rsidRDefault="00381904" w:rsidP="005461CC"/>
    <w:p w14:paraId="22D57F06" w14:textId="5D6C0A72" w:rsidR="005461CC" w:rsidRPr="0016795F" w:rsidRDefault="005461CC" w:rsidP="005461CC">
      <w:pPr>
        <w:pStyle w:val="Caption"/>
        <w:spacing w:after="0" w:line="240" w:lineRule="auto"/>
        <w:rPr>
          <w:rFonts w:ascii="Arial" w:hAnsi="Arial" w:cs="Arial"/>
        </w:rPr>
      </w:pPr>
      <w:bookmarkStart w:id="56" w:name="_Toc310170123"/>
      <w:r w:rsidRPr="0016795F">
        <w:rPr>
          <w:rFonts w:ascii="Arial" w:hAnsi="Arial" w:cs="Arial"/>
          <w:b w:val="0"/>
          <w:sz w:val="22"/>
        </w:rPr>
        <w:t xml:space="preserve">Figure </w:t>
      </w:r>
      <w:r w:rsidRPr="0016795F">
        <w:rPr>
          <w:rFonts w:ascii="Arial" w:hAnsi="Arial" w:cs="Arial"/>
          <w:b w:val="0"/>
          <w:sz w:val="22"/>
        </w:rPr>
        <w:fldChar w:fldCharType="begin"/>
      </w:r>
      <w:r w:rsidRPr="0016795F">
        <w:rPr>
          <w:rFonts w:ascii="Arial" w:hAnsi="Arial" w:cs="Arial"/>
          <w:b w:val="0"/>
          <w:sz w:val="22"/>
        </w:rPr>
        <w:instrText xml:space="preserve"> SEQ Figure \* ARABIC </w:instrText>
      </w:r>
      <w:r w:rsidRPr="0016795F">
        <w:rPr>
          <w:rFonts w:ascii="Arial" w:hAnsi="Arial" w:cs="Arial"/>
          <w:b w:val="0"/>
          <w:sz w:val="22"/>
        </w:rPr>
        <w:fldChar w:fldCharType="separate"/>
      </w:r>
      <w:r w:rsidR="00CD760D">
        <w:rPr>
          <w:rFonts w:ascii="Arial" w:hAnsi="Arial" w:cs="Arial"/>
          <w:b w:val="0"/>
          <w:noProof/>
          <w:sz w:val="22"/>
        </w:rPr>
        <w:t>18</w:t>
      </w:r>
      <w:r w:rsidRPr="0016795F">
        <w:rPr>
          <w:rFonts w:ascii="Arial" w:hAnsi="Arial" w:cs="Arial"/>
          <w:b w:val="0"/>
          <w:sz w:val="22"/>
        </w:rPr>
        <w:fldChar w:fldCharType="end"/>
      </w:r>
      <w:r w:rsidRPr="0016795F">
        <w:rPr>
          <w:rFonts w:ascii="Arial" w:hAnsi="Arial" w:cs="Arial"/>
          <w:b w:val="0"/>
          <w:sz w:val="22"/>
        </w:rPr>
        <w:t>:</w:t>
      </w:r>
      <w:r w:rsidRPr="0016795F">
        <w:rPr>
          <w:rFonts w:ascii="Arial" w:hAnsi="Arial" w:cs="Arial"/>
          <w:sz w:val="22"/>
        </w:rPr>
        <w:t xml:space="preserve"> </w:t>
      </w:r>
      <w:r w:rsidRPr="0016795F">
        <w:rPr>
          <w:rFonts w:ascii="Arial" w:hAnsi="Arial" w:cs="Arial"/>
          <w:b w:val="0"/>
          <w:sz w:val="22"/>
          <w:szCs w:val="22"/>
        </w:rPr>
        <w:t xml:space="preserve">Percentage share of government benefits </w:t>
      </w:r>
      <w:r>
        <w:rPr>
          <w:rFonts w:ascii="Arial" w:hAnsi="Arial" w:cs="Arial"/>
          <w:b w:val="0"/>
          <w:sz w:val="22"/>
          <w:szCs w:val="22"/>
        </w:rPr>
        <w:t xml:space="preserve">by </w:t>
      </w:r>
      <w:r w:rsidR="007532A7">
        <w:rPr>
          <w:rFonts w:ascii="Arial" w:hAnsi="Arial" w:cs="Arial"/>
          <w:b w:val="0"/>
          <w:sz w:val="22"/>
          <w:szCs w:val="22"/>
        </w:rPr>
        <w:t>geographic regions</w:t>
      </w:r>
      <w:r>
        <w:rPr>
          <w:rFonts w:ascii="Arial" w:hAnsi="Arial" w:cs="Arial"/>
          <w:b w:val="0"/>
          <w:sz w:val="22"/>
          <w:szCs w:val="22"/>
        </w:rPr>
        <w:t>, 2012</w:t>
      </w:r>
      <w:bookmarkEnd w:id="56"/>
    </w:p>
    <w:p w14:paraId="1B1D0DA2" w14:textId="77777777" w:rsidR="005461CC" w:rsidRDefault="005461CC" w:rsidP="005461CC"/>
    <w:p w14:paraId="44A0B7C0" w14:textId="3319F3B6" w:rsidR="005461CC" w:rsidRDefault="00D3265D" w:rsidP="005461CC">
      <w:r w:rsidRPr="00D3265D">
        <w:rPr>
          <w:noProof/>
        </w:rPr>
        <w:drawing>
          <wp:inline distT="0" distB="0" distL="0" distR="0" wp14:anchorId="1675B41C" wp14:editId="175339DE">
            <wp:extent cx="5490210" cy="2780152"/>
            <wp:effectExtent l="0" t="0" r="0" b="0"/>
            <wp:docPr id="3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90210" cy="2780152"/>
                    </a:xfrm>
                    <a:prstGeom prst="rect">
                      <a:avLst/>
                    </a:prstGeom>
                    <a:noFill/>
                    <a:ln>
                      <a:noFill/>
                    </a:ln>
                  </pic:spPr>
                </pic:pic>
              </a:graphicData>
            </a:graphic>
          </wp:inline>
        </w:drawing>
      </w:r>
    </w:p>
    <w:p w14:paraId="7BE57E79" w14:textId="77777777" w:rsidR="007532A7" w:rsidRPr="007532A7" w:rsidRDefault="007532A7" w:rsidP="007532A7">
      <w:pPr>
        <w:ind w:left="1440"/>
        <w:rPr>
          <w:i/>
          <w:sz w:val="22"/>
          <w:lang w:val="en-GB"/>
        </w:rPr>
      </w:pPr>
      <w:r w:rsidRPr="008B7EA0">
        <w:rPr>
          <w:i/>
          <w:sz w:val="22"/>
          <w:lang w:val="en-GB"/>
        </w:rPr>
        <w:t>Source: Mongolia Household Socio-Economic Survey, 2012</w:t>
      </w:r>
    </w:p>
    <w:p w14:paraId="6610BFC4" w14:textId="77777777" w:rsidR="007532A7" w:rsidRDefault="007532A7" w:rsidP="007532A7">
      <w:pPr>
        <w:ind w:left="360"/>
        <w:jc w:val="both"/>
        <w:rPr>
          <w:rFonts w:ascii="Arial" w:hAnsi="Arial" w:cs="Arial"/>
          <w:sz w:val="22"/>
        </w:rPr>
      </w:pPr>
    </w:p>
    <w:p w14:paraId="2B99A004" w14:textId="77777777" w:rsidR="007532A7" w:rsidRDefault="007532A7" w:rsidP="007532A7">
      <w:pPr>
        <w:ind w:left="360"/>
        <w:jc w:val="both"/>
        <w:rPr>
          <w:rFonts w:ascii="Arial" w:hAnsi="Arial" w:cs="Arial"/>
          <w:sz w:val="22"/>
        </w:rPr>
      </w:pPr>
    </w:p>
    <w:p w14:paraId="3FDCB145" w14:textId="77777777" w:rsidR="00B80C5E" w:rsidRPr="007D77A0" w:rsidRDefault="00B80C5E" w:rsidP="00736172">
      <w:pPr>
        <w:numPr>
          <w:ilvl w:val="0"/>
          <w:numId w:val="16"/>
        </w:numPr>
        <w:jc w:val="both"/>
        <w:rPr>
          <w:rFonts w:ascii="Arial" w:hAnsi="Arial" w:cs="Arial"/>
          <w:sz w:val="22"/>
        </w:rPr>
      </w:pPr>
      <w:r w:rsidRPr="007D77A0">
        <w:rPr>
          <w:rFonts w:ascii="Arial" w:hAnsi="Arial" w:cs="Arial"/>
          <w:sz w:val="22"/>
        </w:rPr>
        <w:t xml:space="preserve">Benefit incidences of government subsidy by gender </w:t>
      </w:r>
    </w:p>
    <w:p w14:paraId="3924E8FD" w14:textId="77777777" w:rsidR="00A45211" w:rsidRDefault="00A45211" w:rsidP="000A1C2A">
      <w:pPr>
        <w:jc w:val="both"/>
      </w:pPr>
    </w:p>
    <w:p w14:paraId="04D2A8EA" w14:textId="37FA3703" w:rsidR="002C24CA" w:rsidRPr="0045021C" w:rsidRDefault="00A45211" w:rsidP="000A1C2A">
      <w:pPr>
        <w:jc w:val="both"/>
        <w:rPr>
          <w:rFonts w:ascii="Arial" w:hAnsi="Arial" w:cs="Arial"/>
        </w:rPr>
      </w:pPr>
      <w:r>
        <w:rPr>
          <w:rFonts w:ascii="Arial" w:hAnsi="Arial" w:cs="Arial"/>
        </w:rPr>
        <w:t>T</w:t>
      </w:r>
      <w:r w:rsidR="0045021C">
        <w:rPr>
          <w:rFonts w:ascii="Arial" w:hAnsi="Arial" w:cs="Arial"/>
        </w:rPr>
        <w:t>he male population</w:t>
      </w:r>
      <w:r w:rsidR="002C24CA" w:rsidRPr="0045021C">
        <w:rPr>
          <w:rFonts w:ascii="Arial" w:hAnsi="Arial" w:cs="Arial"/>
        </w:rPr>
        <w:t xml:space="preserve"> be</w:t>
      </w:r>
      <w:r w:rsidR="0031333B">
        <w:rPr>
          <w:rFonts w:ascii="Arial" w:hAnsi="Arial" w:cs="Arial"/>
        </w:rPr>
        <w:t xml:space="preserve">nefited from government subsidy </w:t>
      </w:r>
      <w:r w:rsidR="002C24CA" w:rsidRPr="0045021C">
        <w:rPr>
          <w:rFonts w:ascii="Arial" w:hAnsi="Arial" w:cs="Arial"/>
        </w:rPr>
        <w:t>slightly less than the female population</w:t>
      </w:r>
      <w:r w:rsidR="00EF5781">
        <w:rPr>
          <w:rFonts w:ascii="Arial" w:hAnsi="Arial" w:cs="Arial"/>
        </w:rPr>
        <w:t xml:space="preserve"> (Figure 19</w:t>
      </w:r>
      <w:r w:rsidR="009A68A8">
        <w:rPr>
          <w:rFonts w:ascii="Arial" w:hAnsi="Arial" w:cs="Arial"/>
        </w:rPr>
        <w:t>)</w:t>
      </w:r>
      <w:r w:rsidR="002C24CA" w:rsidRPr="0045021C">
        <w:rPr>
          <w:rFonts w:ascii="Arial" w:hAnsi="Arial" w:cs="Arial"/>
        </w:rPr>
        <w:t xml:space="preserve">. </w:t>
      </w:r>
    </w:p>
    <w:p w14:paraId="20A6D674" w14:textId="77777777" w:rsidR="002C24CA" w:rsidRDefault="002C24CA" w:rsidP="000A1C2A">
      <w:pPr>
        <w:jc w:val="both"/>
      </w:pPr>
    </w:p>
    <w:p w14:paraId="3B7DD185" w14:textId="77777777" w:rsidR="002C24CA" w:rsidRPr="00BC1616" w:rsidRDefault="002C24CA" w:rsidP="002C24CA">
      <w:pPr>
        <w:pStyle w:val="Caption"/>
        <w:rPr>
          <w:rFonts w:ascii="Arial" w:hAnsi="Arial" w:cs="Arial"/>
          <w:b w:val="0"/>
          <w:sz w:val="22"/>
          <w:szCs w:val="22"/>
        </w:rPr>
      </w:pPr>
      <w:bookmarkStart w:id="57" w:name="_Toc310170124"/>
      <w:r w:rsidRPr="00BC1616">
        <w:rPr>
          <w:rFonts w:ascii="Arial" w:hAnsi="Arial" w:cs="Arial"/>
          <w:b w:val="0"/>
          <w:sz w:val="22"/>
          <w:szCs w:val="22"/>
        </w:rPr>
        <w:t xml:space="preserve">Figure </w:t>
      </w:r>
      <w:r w:rsidR="00CB191B" w:rsidRPr="00BC1616">
        <w:rPr>
          <w:rFonts w:ascii="Arial" w:hAnsi="Arial" w:cs="Arial"/>
          <w:b w:val="0"/>
          <w:sz w:val="22"/>
          <w:szCs w:val="22"/>
        </w:rPr>
        <w:fldChar w:fldCharType="begin"/>
      </w:r>
      <w:r w:rsidRPr="00BC1616">
        <w:rPr>
          <w:rFonts w:ascii="Arial" w:hAnsi="Arial" w:cs="Arial"/>
          <w:b w:val="0"/>
          <w:sz w:val="22"/>
          <w:szCs w:val="22"/>
        </w:rPr>
        <w:instrText xml:space="preserve"> SEQ Figure \* ARABIC </w:instrText>
      </w:r>
      <w:r w:rsidR="00CB191B" w:rsidRPr="00BC1616">
        <w:rPr>
          <w:rFonts w:ascii="Arial" w:hAnsi="Arial" w:cs="Arial"/>
          <w:b w:val="0"/>
          <w:sz w:val="22"/>
          <w:szCs w:val="22"/>
        </w:rPr>
        <w:fldChar w:fldCharType="separate"/>
      </w:r>
      <w:r w:rsidR="00EF5781">
        <w:rPr>
          <w:rFonts w:ascii="Arial" w:hAnsi="Arial" w:cs="Arial"/>
          <w:b w:val="0"/>
          <w:noProof/>
          <w:sz w:val="22"/>
          <w:szCs w:val="22"/>
        </w:rPr>
        <w:t>19</w:t>
      </w:r>
      <w:r w:rsidR="00CB191B" w:rsidRPr="00BC1616">
        <w:rPr>
          <w:rFonts w:ascii="Arial" w:hAnsi="Arial" w:cs="Arial"/>
          <w:b w:val="0"/>
          <w:sz w:val="22"/>
          <w:szCs w:val="22"/>
        </w:rPr>
        <w:fldChar w:fldCharType="end"/>
      </w:r>
      <w:r w:rsidRPr="00BC1616">
        <w:rPr>
          <w:rFonts w:ascii="Arial" w:hAnsi="Arial" w:cs="Arial"/>
          <w:b w:val="0"/>
          <w:sz w:val="22"/>
          <w:szCs w:val="22"/>
        </w:rPr>
        <w:t>: Percentage share of government benefits by gender</w:t>
      </w:r>
      <w:r w:rsidR="005947B5">
        <w:rPr>
          <w:rFonts w:ascii="Arial" w:hAnsi="Arial" w:cs="Arial"/>
          <w:b w:val="0"/>
          <w:sz w:val="22"/>
          <w:szCs w:val="22"/>
        </w:rPr>
        <w:t>,</w:t>
      </w:r>
      <w:r w:rsidR="007E46E0">
        <w:rPr>
          <w:rFonts w:ascii="Arial" w:hAnsi="Arial" w:cs="Arial"/>
          <w:b w:val="0"/>
          <w:sz w:val="22"/>
          <w:szCs w:val="22"/>
        </w:rPr>
        <w:t xml:space="preserve"> </w:t>
      </w:r>
      <w:r w:rsidR="005947B5">
        <w:rPr>
          <w:rFonts w:ascii="Arial" w:hAnsi="Arial" w:cs="Arial"/>
          <w:b w:val="0"/>
          <w:sz w:val="22"/>
          <w:szCs w:val="22"/>
        </w:rPr>
        <w:t>2012</w:t>
      </w:r>
      <w:bookmarkEnd w:id="57"/>
    </w:p>
    <w:p w14:paraId="64DBA9B1" w14:textId="3FB44E41" w:rsidR="00DC36C5" w:rsidRDefault="00DE14E1" w:rsidP="002C24CA">
      <w:pPr>
        <w:jc w:val="center"/>
      </w:pPr>
      <w:r>
        <w:rPr>
          <w:noProof/>
        </w:rPr>
        <w:drawing>
          <wp:inline distT="0" distB="0" distL="0" distR="0" wp14:anchorId="48CA98B6" wp14:editId="1D642BA9">
            <wp:extent cx="4382135" cy="2388676"/>
            <wp:effectExtent l="0" t="0" r="0" b="0"/>
            <wp:docPr id="3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384477" cy="2389953"/>
                    </a:xfrm>
                    <a:prstGeom prst="rect">
                      <a:avLst/>
                    </a:prstGeom>
                    <a:noFill/>
                    <a:ln>
                      <a:noFill/>
                    </a:ln>
                  </pic:spPr>
                </pic:pic>
              </a:graphicData>
            </a:graphic>
          </wp:inline>
        </w:drawing>
      </w:r>
    </w:p>
    <w:p w14:paraId="5A09C4FD" w14:textId="77777777" w:rsidR="00BC1616" w:rsidRPr="008B7EA0" w:rsidRDefault="00BC1616" w:rsidP="009C21B8">
      <w:pPr>
        <w:ind w:left="1440"/>
        <w:rPr>
          <w:i/>
          <w:sz w:val="22"/>
          <w:lang w:val="en-GB"/>
        </w:rPr>
      </w:pPr>
      <w:r w:rsidRPr="008B7EA0">
        <w:rPr>
          <w:i/>
          <w:sz w:val="22"/>
          <w:lang w:val="en-GB"/>
        </w:rPr>
        <w:t>Source: Mongolia Household Socio-Economic Survey, 2012</w:t>
      </w:r>
    </w:p>
    <w:p w14:paraId="43D70802" w14:textId="77777777" w:rsidR="002C24CA" w:rsidRDefault="002C24CA" w:rsidP="002C24CA">
      <w:pPr>
        <w:jc w:val="both"/>
      </w:pPr>
    </w:p>
    <w:p w14:paraId="2B5B165C" w14:textId="77777777" w:rsidR="002C24CA" w:rsidRDefault="0045021C" w:rsidP="009C21B8">
      <w:pPr>
        <w:pStyle w:val="Caption"/>
        <w:spacing w:after="0" w:line="240" w:lineRule="auto"/>
        <w:jc w:val="both"/>
        <w:rPr>
          <w:rFonts w:ascii="Arial" w:hAnsi="Arial" w:cs="Arial"/>
          <w:b w:val="0"/>
          <w:sz w:val="24"/>
        </w:rPr>
      </w:pPr>
      <w:r w:rsidRPr="0045021C">
        <w:rPr>
          <w:rFonts w:ascii="Arial" w:hAnsi="Arial" w:cs="Arial"/>
          <w:b w:val="0"/>
          <w:sz w:val="24"/>
        </w:rPr>
        <w:lastRenderedPageBreak/>
        <w:t>For both male and female p</w:t>
      </w:r>
      <w:r w:rsidR="00BC1616">
        <w:rPr>
          <w:rFonts w:ascii="Arial" w:hAnsi="Arial" w:cs="Arial"/>
          <w:b w:val="0"/>
          <w:sz w:val="24"/>
        </w:rPr>
        <w:t>opulation</w:t>
      </w:r>
      <w:r w:rsidRPr="0045021C">
        <w:rPr>
          <w:rFonts w:ascii="Arial" w:hAnsi="Arial" w:cs="Arial"/>
          <w:b w:val="0"/>
          <w:sz w:val="24"/>
        </w:rPr>
        <w:t xml:space="preserve">, the shares of government subsidy </w:t>
      </w:r>
      <w:r w:rsidR="009C21B8">
        <w:rPr>
          <w:rFonts w:ascii="Arial" w:hAnsi="Arial" w:cs="Arial"/>
          <w:b w:val="0"/>
          <w:sz w:val="24"/>
        </w:rPr>
        <w:t>increase</w:t>
      </w:r>
      <w:r w:rsidRPr="0045021C">
        <w:rPr>
          <w:rFonts w:ascii="Arial" w:hAnsi="Arial" w:cs="Arial"/>
          <w:b w:val="0"/>
          <w:sz w:val="24"/>
        </w:rPr>
        <w:t xml:space="preserve"> as expenditure quintiles go </w:t>
      </w:r>
      <w:r w:rsidR="009C21B8">
        <w:rPr>
          <w:rFonts w:ascii="Arial" w:hAnsi="Arial" w:cs="Arial"/>
          <w:b w:val="0"/>
          <w:sz w:val="24"/>
        </w:rPr>
        <w:t>up</w:t>
      </w:r>
      <w:r w:rsidRPr="0045021C">
        <w:rPr>
          <w:rFonts w:ascii="Arial" w:hAnsi="Arial" w:cs="Arial"/>
          <w:b w:val="0"/>
          <w:sz w:val="24"/>
        </w:rPr>
        <w:t>.</w:t>
      </w:r>
    </w:p>
    <w:p w14:paraId="607594E5" w14:textId="77777777" w:rsidR="009C21B8" w:rsidRPr="009C21B8" w:rsidRDefault="009C21B8" w:rsidP="009C21B8"/>
    <w:p w14:paraId="19DE0E5A" w14:textId="77777777" w:rsidR="002C24CA" w:rsidRPr="00BC1616" w:rsidRDefault="002C24CA" w:rsidP="009C21B8">
      <w:pPr>
        <w:pStyle w:val="Caption"/>
        <w:spacing w:after="0"/>
        <w:rPr>
          <w:rFonts w:ascii="Arial" w:hAnsi="Arial" w:cs="Arial"/>
          <w:b w:val="0"/>
          <w:sz w:val="22"/>
          <w:szCs w:val="22"/>
        </w:rPr>
      </w:pPr>
      <w:bookmarkStart w:id="58" w:name="_Toc310170125"/>
      <w:r w:rsidRPr="00BC1616">
        <w:rPr>
          <w:rFonts w:ascii="Arial" w:hAnsi="Arial" w:cs="Arial"/>
          <w:b w:val="0"/>
          <w:sz w:val="22"/>
          <w:szCs w:val="22"/>
        </w:rPr>
        <w:t xml:space="preserve">Figure </w:t>
      </w:r>
      <w:r w:rsidR="00CB191B" w:rsidRPr="00BC1616">
        <w:rPr>
          <w:rFonts w:ascii="Arial" w:hAnsi="Arial" w:cs="Arial"/>
          <w:b w:val="0"/>
          <w:sz w:val="22"/>
          <w:szCs w:val="22"/>
        </w:rPr>
        <w:fldChar w:fldCharType="begin"/>
      </w:r>
      <w:r w:rsidRPr="00BC1616">
        <w:rPr>
          <w:rFonts w:ascii="Arial" w:hAnsi="Arial" w:cs="Arial"/>
          <w:b w:val="0"/>
          <w:sz w:val="22"/>
          <w:szCs w:val="22"/>
        </w:rPr>
        <w:instrText xml:space="preserve"> SEQ Figure \* ARABIC </w:instrText>
      </w:r>
      <w:r w:rsidR="00CB191B" w:rsidRPr="00BC1616">
        <w:rPr>
          <w:rFonts w:ascii="Arial" w:hAnsi="Arial" w:cs="Arial"/>
          <w:b w:val="0"/>
          <w:sz w:val="22"/>
          <w:szCs w:val="22"/>
        </w:rPr>
        <w:fldChar w:fldCharType="separate"/>
      </w:r>
      <w:r w:rsidR="00327F97">
        <w:rPr>
          <w:rFonts w:ascii="Arial" w:hAnsi="Arial" w:cs="Arial"/>
          <w:b w:val="0"/>
          <w:noProof/>
          <w:sz w:val="22"/>
          <w:szCs w:val="22"/>
        </w:rPr>
        <w:t>20</w:t>
      </w:r>
      <w:r w:rsidR="00CB191B" w:rsidRPr="00BC1616">
        <w:rPr>
          <w:rFonts w:ascii="Arial" w:hAnsi="Arial" w:cs="Arial"/>
          <w:b w:val="0"/>
          <w:sz w:val="22"/>
          <w:szCs w:val="22"/>
        </w:rPr>
        <w:fldChar w:fldCharType="end"/>
      </w:r>
      <w:r w:rsidRPr="00BC1616">
        <w:rPr>
          <w:rFonts w:ascii="Arial" w:hAnsi="Arial" w:cs="Arial"/>
          <w:b w:val="0"/>
          <w:sz w:val="22"/>
          <w:szCs w:val="22"/>
        </w:rPr>
        <w:t>: Percentage share of government benefits by gender and expenditure quintile</w:t>
      </w:r>
      <w:r w:rsidR="005947B5">
        <w:rPr>
          <w:rFonts w:ascii="Arial" w:hAnsi="Arial" w:cs="Arial"/>
          <w:b w:val="0"/>
          <w:sz w:val="22"/>
          <w:szCs w:val="22"/>
        </w:rPr>
        <w:t>,</w:t>
      </w:r>
      <w:r w:rsidR="009C21B8">
        <w:rPr>
          <w:rFonts w:ascii="Arial" w:hAnsi="Arial" w:cs="Arial"/>
          <w:b w:val="0"/>
          <w:sz w:val="22"/>
          <w:szCs w:val="22"/>
        </w:rPr>
        <w:t xml:space="preserve"> </w:t>
      </w:r>
      <w:r w:rsidR="005947B5">
        <w:rPr>
          <w:rFonts w:ascii="Arial" w:hAnsi="Arial" w:cs="Arial"/>
          <w:b w:val="0"/>
          <w:sz w:val="22"/>
          <w:szCs w:val="22"/>
        </w:rPr>
        <w:t>2012</w:t>
      </w:r>
      <w:bookmarkEnd w:id="58"/>
    </w:p>
    <w:p w14:paraId="76D96184" w14:textId="65B9600E" w:rsidR="002C24CA" w:rsidRPr="002C24CA" w:rsidRDefault="00DE14E1" w:rsidP="0045021C">
      <w:pPr>
        <w:jc w:val="center"/>
      </w:pPr>
      <w:r w:rsidRPr="00DE14E1">
        <w:rPr>
          <w:noProof/>
        </w:rPr>
        <w:drawing>
          <wp:inline distT="0" distB="0" distL="0" distR="0" wp14:anchorId="096D7E04" wp14:editId="2AED3718">
            <wp:extent cx="4954278" cy="2793156"/>
            <wp:effectExtent l="0" t="0" r="0" b="1270"/>
            <wp:docPr id="3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954785" cy="2793442"/>
                    </a:xfrm>
                    <a:prstGeom prst="rect">
                      <a:avLst/>
                    </a:prstGeom>
                    <a:noFill/>
                    <a:ln>
                      <a:noFill/>
                    </a:ln>
                  </pic:spPr>
                </pic:pic>
              </a:graphicData>
            </a:graphic>
          </wp:inline>
        </w:drawing>
      </w:r>
    </w:p>
    <w:p w14:paraId="0C7F0875" w14:textId="77777777" w:rsidR="00BC1616" w:rsidRPr="008B7EA0" w:rsidRDefault="00BC1616" w:rsidP="009C21B8">
      <w:pPr>
        <w:ind w:left="1440"/>
        <w:rPr>
          <w:i/>
          <w:sz w:val="22"/>
          <w:lang w:val="en-GB"/>
        </w:rPr>
      </w:pPr>
      <w:r w:rsidRPr="008B7EA0">
        <w:rPr>
          <w:i/>
          <w:sz w:val="22"/>
          <w:lang w:val="en-GB"/>
        </w:rPr>
        <w:t>Source: Mongolia Household Socio-Economic Survey, 2012</w:t>
      </w:r>
    </w:p>
    <w:p w14:paraId="00741B98" w14:textId="77777777" w:rsidR="0045021C" w:rsidRDefault="0045021C" w:rsidP="0045021C">
      <w:pPr>
        <w:ind w:left="720"/>
        <w:jc w:val="both"/>
      </w:pPr>
    </w:p>
    <w:p w14:paraId="01533458" w14:textId="77777777" w:rsidR="0045021C" w:rsidRDefault="0045021C" w:rsidP="0045021C">
      <w:pPr>
        <w:ind w:left="720"/>
        <w:jc w:val="both"/>
      </w:pPr>
    </w:p>
    <w:p w14:paraId="700BC831" w14:textId="77777777" w:rsidR="00C16568" w:rsidRPr="007D77A0" w:rsidRDefault="000A1C2A" w:rsidP="00736172">
      <w:pPr>
        <w:numPr>
          <w:ilvl w:val="0"/>
          <w:numId w:val="16"/>
        </w:numPr>
        <w:jc w:val="both"/>
        <w:rPr>
          <w:rFonts w:ascii="Arial" w:hAnsi="Arial" w:cs="Arial"/>
          <w:sz w:val="22"/>
        </w:rPr>
      </w:pPr>
      <w:r w:rsidRPr="007D77A0">
        <w:rPr>
          <w:rFonts w:ascii="Arial" w:hAnsi="Arial" w:cs="Arial"/>
          <w:sz w:val="22"/>
        </w:rPr>
        <w:t xml:space="preserve">State budget benefit incidences by </w:t>
      </w:r>
      <w:r w:rsidR="00C16568" w:rsidRPr="007D77A0">
        <w:rPr>
          <w:rFonts w:ascii="Arial" w:hAnsi="Arial" w:cs="Arial"/>
          <w:sz w:val="22"/>
        </w:rPr>
        <w:t xml:space="preserve">level of health facility </w:t>
      </w:r>
    </w:p>
    <w:p w14:paraId="0F0BFC4C" w14:textId="77777777" w:rsidR="006C0234" w:rsidRDefault="006C0234" w:rsidP="00DC2B21"/>
    <w:p w14:paraId="59DA978B" w14:textId="311F688B" w:rsidR="00C16568" w:rsidRDefault="007D77A0" w:rsidP="007D77A0">
      <w:pPr>
        <w:autoSpaceDE w:val="0"/>
        <w:autoSpaceDN w:val="0"/>
        <w:adjustRightInd w:val="0"/>
        <w:jc w:val="both"/>
        <w:rPr>
          <w:rFonts w:ascii="Arial" w:hAnsi="Arial" w:cs="Arial"/>
        </w:rPr>
      </w:pPr>
      <w:r w:rsidRPr="007D77A0">
        <w:rPr>
          <w:rFonts w:ascii="Arial" w:eastAsiaTheme="minorEastAsia" w:hAnsi="Arial" w:cs="Arial"/>
          <w:lang w:val="mn-MN"/>
        </w:rPr>
        <w:t xml:space="preserve">Table </w:t>
      </w:r>
      <w:r w:rsidR="003148B5">
        <w:rPr>
          <w:rFonts w:ascii="Arial" w:eastAsiaTheme="minorEastAsia" w:hAnsi="Arial" w:cs="Arial"/>
        </w:rPr>
        <w:t>2</w:t>
      </w:r>
      <w:r w:rsidR="00327F97">
        <w:rPr>
          <w:rFonts w:ascii="Arial" w:eastAsiaTheme="minorEastAsia" w:hAnsi="Arial" w:cs="Arial"/>
        </w:rPr>
        <w:t>0</w:t>
      </w:r>
      <w:r w:rsidRPr="007D77A0">
        <w:rPr>
          <w:rFonts w:ascii="Arial" w:eastAsiaTheme="minorEastAsia" w:hAnsi="Arial" w:cs="Arial"/>
          <w:lang w:val="mn-MN"/>
        </w:rPr>
        <w:t xml:space="preserve"> presents the findings of a benefit-incidence analysis on </w:t>
      </w:r>
      <w:r w:rsidRPr="007D77A0">
        <w:rPr>
          <w:rFonts w:ascii="Arial" w:eastAsiaTheme="minorEastAsia" w:hAnsi="Arial" w:cs="Arial"/>
        </w:rPr>
        <w:t>health</w:t>
      </w:r>
      <w:r w:rsidRPr="007D77A0">
        <w:rPr>
          <w:rFonts w:ascii="Arial" w:eastAsiaTheme="minorEastAsia" w:hAnsi="Arial" w:cs="Arial"/>
          <w:lang w:val="mn-MN"/>
        </w:rPr>
        <w:t xml:space="preserve"> in </w:t>
      </w:r>
      <w:r w:rsidRPr="007D77A0">
        <w:rPr>
          <w:rFonts w:ascii="Arial" w:eastAsiaTheme="minorEastAsia" w:hAnsi="Arial" w:cs="Arial"/>
        </w:rPr>
        <w:t>2012</w:t>
      </w:r>
      <w:r w:rsidRPr="007D77A0">
        <w:rPr>
          <w:rFonts w:ascii="Arial" w:eastAsiaTheme="minorEastAsia" w:hAnsi="Arial" w:cs="Arial"/>
          <w:i/>
          <w:iCs/>
          <w:lang w:val="mn-MN"/>
        </w:rPr>
        <w:t>.</w:t>
      </w:r>
      <w:r>
        <w:rPr>
          <w:rFonts w:ascii="Arial" w:eastAsiaTheme="minorEastAsia" w:hAnsi="Arial" w:cs="Arial"/>
          <w:i/>
          <w:iCs/>
        </w:rPr>
        <w:t xml:space="preserve"> </w:t>
      </w:r>
      <w:r w:rsidR="006C0234" w:rsidRPr="007D77A0">
        <w:rPr>
          <w:rFonts w:ascii="Arial" w:hAnsi="Arial" w:cs="Arial"/>
        </w:rPr>
        <w:t xml:space="preserve">Spending on primary health care </w:t>
      </w:r>
      <w:r w:rsidR="00A21AE2" w:rsidRPr="007D77A0">
        <w:rPr>
          <w:rFonts w:ascii="Arial" w:hAnsi="Arial" w:cs="Arial"/>
        </w:rPr>
        <w:t>facilities</w:t>
      </w:r>
      <w:r w:rsidR="006C0234" w:rsidRPr="007D77A0">
        <w:rPr>
          <w:rFonts w:ascii="Arial" w:hAnsi="Arial" w:cs="Arial"/>
        </w:rPr>
        <w:t xml:space="preserve"> benefit</w:t>
      </w:r>
      <w:r w:rsidR="00A21AE2" w:rsidRPr="007D77A0">
        <w:rPr>
          <w:rFonts w:ascii="Arial" w:hAnsi="Arial" w:cs="Arial"/>
        </w:rPr>
        <w:t>s</w:t>
      </w:r>
      <w:r w:rsidR="006C0234" w:rsidRPr="007D77A0">
        <w:rPr>
          <w:rFonts w:ascii="Arial" w:hAnsi="Arial" w:cs="Arial"/>
        </w:rPr>
        <w:t xml:space="preserve"> the poor </w:t>
      </w:r>
      <w:r w:rsidR="00A21AE2" w:rsidRPr="007D77A0">
        <w:rPr>
          <w:rFonts w:ascii="Arial" w:hAnsi="Arial" w:cs="Arial"/>
        </w:rPr>
        <w:t xml:space="preserve">more than spending on tertiary hospitals as </w:t>
      </w:r>
      <w:r w:rsidRPr="007D77A0">
        <w:rPr>
          <w:rFonts w:ascii="Arial" w:hAnsi="Arial" w:cs="Arial"/>
        </w:rPr>
        <w:t>lowest and highest income groups received same share of government subsidy</w:t>
      </w:r>
      <w:r w:rsidR="006C0234" w:rsidRPr="007D77A0">
        <w:rPr>
          <w:rFonts w:ascii="Arial" w:hAnsi="Arial" w:cs="Arial"/>
        </w:rPr>
        <w:t>.</w:t>
      </w:r>
    </w:p>
    <w:p w14:paraId="31F4A895" w14:textId="77777777" w:rsidR="0055231E" w:rsidRPr="007D77A0" w:rsidRDefault="0055231E" w:rsidP="007D77A0">
      <w:pPr>
        <w:autoSpaceDE w:val="0"/>
        <w:autoSpaceDN w:val="0"/>
        <w:adjustRightInd w:val="0"/>
        <w:jc w:val="both"/>
        <w:rPr>
          <w:rFonts w:ascii="Arial" w:eastAsiaTheme="minorEastAsia" w:hAnsi="Arial" w:cs="Arial"/>
          <w:lang w:val="mn-MN"/>
        </w:rPr>
      </w:pPr>
    </w:p>
    <w:p w14:paraId="11F423FD" w14:textId="4728918F" w:rsidR="00DC2B21" w:rsidRPr="007D77A0" w:rsidRDefault="007D77A0" w:rsidP="007D77A0">
      <w:pPr>
        <w:pStyle w:val="Caption"/>
        <w:rPr>
          <w:rFonts w:ascii="Arial" w:hAnsi="Arial" w:cs="Arial"/>
          <w:b w:val="0"/>
          <w:sz w:val="22"/>
        </w:rPr>
      </w:pPr>
      <w:bookmarkStart w:id="59" w:name="_Toc310170103"/>
      <w:r w:rsidRPr="007D77A0">
        <w:rPr>
          <w:rFonts w:ascii="Arial" w:hAnsi="Arial" w:cs="Arial"/>
          <w:b w:val="0"/>
          <w:sz w:val="22"/>
        </w:rPr>
        <w:t xml:space="preserve">Table </w:t>
      </w:r>
      <w:r w:rsidR="00CB191B" w:rsidRPr="007D77A0">
        <w:rPr>
          <w:rFonts w:ascii="Arial" w:hAnsi="Arial" w:cs="Arial"/>
          <w:b w:val="0"/>
          <w:sz w:val="22"/>
        </w:rPr>
        <w:fldChar w:fldCharType="begin"/>
      </w:r>
      <w:r w:rsidRPr="007D77A0">
        <w:rPr>
          <w:rFonts w:ascii="Arial" w:hAnsi="Arial" w:cs="Arial"/>
          <w:b w:val="0"/>
          <w:sz w:val="22"/>
        </w:rPr>
        <w:instrText xml:space="preserve"> SEQ Table \* ARABIC </w:instrText>
      </w:r>
      <w:r w:rsidR="00CB191B" w:rsidRPr="007D77A0">
        <w:rPr>
          <w:rFonts w:ascii="Arial" w:hAnsi="Arial" w:cs="Arial"/>
          <w:b w:val="0"/>
          <w:sz w:val="22"/>
        </w:rPr>
        <w:fldChar w:fldCharType="separate"/>
      </w:r>
      <w:r w:rsidR="00327F97">
        <w:rPr>
          <w:rFonts w:ascii="Arial" w:hAnsi="Arial" w:cs="Arial"/>
          <w:b w:val="0"/>
          <w:noProof/>
          <w:sz w:val="22"/>
        </w:rPr>
        <w:t>20</w:t>
      </w:r>
      <w:r w:rsidR="00CB191B" w:rsidRPr="007D77A0">
        <w:rPr>
          <w:rFonts w:ascii="Arial" w:hAnsi="Arial" w:cs="Arial"/>
          <w:b w:val="0"/>
          <w:sz w:val="22"/>
        </w:rPr>
        <w:fldChar w:fldCharType="end"/>
      </w:r>
      <w:r w:rsidR="0045021C" w:rsidRPr="007D77A0">
        <w:rPr>
          <w:rFonts w:ascii="Arial" w:hAnsi="Arial" w:cs="Arial"/>
          <w:b w:val="0"/>
          <w:sz w:val="22"/>
        </w:rPr>
        <w:t xml:space="preserve">: </w:t>
      </w:r>
      <w:r>
        <w:rPr>
          <w:rFonts w:ascii="Arial" w:hAnsi="Arial" w:cs="Arial"/>
          <w:b w:val="0"/>
          <w:sz w:val="22"/>
        </w:rPr>
        <w:t>Distribution of b</w:t>
      </w:r>
      <w:r w:rsidR="009C21B8">
        <w:rPr>
          <w:rFonts w:ascii="Arial" w:hAnsi="Arial" w:cs="Arial"/>
          <w:b w:val="0"/>
          <w:sz w:val="22"/>
        </w:rPr>
        <w:t>enefit</w:t>
      </w:r>
      <w:r>
        <w:rPr>
          <w:rFonts w:ascii="Arial" w:hAnsi="Arial" w:cs="Arial"/>
          <w:b w:val="0"/>
          <w:sz w:val="22"/>
        </w:rPr>
        <w:t>s</w:t>
      </w:r>
      <w:r w:rsidRPr="007D77A0">
        <w:rPr>
          <w:rFonts w:ascii="Arial" w:hAnsi="Arial" w:cs="Arial"/>
          <w:b w:val="0"/>
          <w:sz w:val="22"/>
        </w:rPr>
        <w:t xml:space="preserve"> of government expenditure on health by level of health </w:t>
      </w:r>
      <w:r w:rsidR="00EF10DA">
        <w:rPr>
          <w:rFonts w:ascii="Arial" w:hAnsi="Arial" w:cs="Arial"/>
          <w:b w:val="0"/>
          <w:sz w:val="22"/>
        </w:rPr>
        <w:t>service</w:t>
      </w:r>
      <w:r w:rsidRPr="007D77A0">
        <w:rPr>
          <w:rFonts w:ascii="Arial" w:hAnsi="Arial" w:cs="Arial"/>
          <w:b w:val="0"/>
          <w:sz w:val="22"/>
        </w:rPr>
        <w:t xml:space="preserve"> delivery</w:t>
      </w:r>
      <w:r w:rsidR="005947B5">
        <w:rPr>
          <w:rFonts w:ascii="Arial" w:hAnsi="Arial" w:cs="Arial"/>
          <w:b w:val="0"/>
          <w:sz w:val="22"/>
        </w:rPr>
        <w:t>,</w:t>
      </w:r>
      <w:r w:rsidR="0043458D">
        <w:rPr>
          <w:rFonts w:ascii="Arial" w:hAnsi="Arial" w:cs="Arial"/>
          <w:b w:val="0"/>
          <w:sz w:val="22"/>
        </w:rPr>
        <w:t xml:space="preserve"> </w:t>
      </w:r>
      <w:r w:rsidR="005947B5">
        <w:rPr>
          <w:rFonts w:ascii="Arial" w:hAnsi="Arial" w:cs="Arial"/>
          <w:b w:val="0"/>
          <w:sz w:val="22"/>
        </w:rPr>
        <w:t>2012</w:t>
      </w:r>
      <w:bookmarkEnd w:id="59"/>
      <w:r>
        <w:rPr>
          <w:rFonts w:ascii="Arial" w:hAnsi="Arial" w:cs="Arial"/>
          <w:b w:val="0"/>
          <w:sz w:val="22"/>
        </w:rPr>
        <w:t xml:space="preserve"> </w:t>
      </w:r>
    </w:p>
    <w:tbl>
      <w:tblPr>
        <w:tblW w:w="9000" w:type="dxa"/>
        <w:tblInd w:w="108" w:type="dxa"/>
        <w:tblLook w:val="04A0" w:firstRow="1" w:lastRow="0" w:firstColumn="1" w:lastColumn="0" w:noHBand="0" w:noVBand="1"/>
      </w:tblPr>
      <w:tblGrid>
        <w:gridCol w:w="1320"/>
        <w:gridCol w:w="2366"/>
        <w:gridCol w:w="2410"/>
        <w:gridCol w:w="2904"/>
      </w:tblGrid>
      <w:tr w:rsidR="00A21AE2" w:rsidRPr="00A21AE2" w14:paraId="73346F18" w14:textId="77777777" w:rsidTr="00B344BE">
        <w:trPr>
          <w:trHeight w:val="512"/>
        </w:trPr>
        <w:tc>
          <w:tcPr>
            <w:tcW w:w="1320" w:type="dxa"/>
            <w:tcBorders>
              <w:top w:val="single" w:sz="4" w:space="0" w:color="auto"/>
              <w:left w:val="nil"/>
              <w:bottom w:val="single" w:sz="4" w:space="0" w:color="auto"/>
              <w:right w:val="nil"/>
            </w:tcBorders>
            <w:shd w:val="clear" w:color="auto" w:fill="auto"/>
            <w:noWrap/>
            <w:hideMark/>
          </w:tcPr>
          <w:p w14:paraId="5E155BCD" w14:textId="76F0B04D" w:rsidR="00A21AE2" w:rsidRDefault="005B3A94" w:rsidP="00B344BE">
            <w:pPr>
              <w:jc w:val="center"/>
              <w:rPr>
                <w:rFonts w:ascii="Arial Narrow" w:hAnsi="Arial Narrow" w:cs="Arial"/>
                <w:color w:val="000000"/>
                <w:sz w:val="22"/>
                <w:szCs w:val="22"/>
                <w:lang w:val="mn-MN" w:eastAsia="mn-MN"/>
              </w:rPr>
            </w:pPr>
            <w:r>
              <w:rPr>
                <w:rFonts w:ascii="Arial Narrow" w:hAnsi="Arial Narrow" w:cs="Arial"/>
                <w:color w:val="000000"/>
                <w:sz w:val="22"/>
                <w:szCs w:val="22"/>
                <w:lang w:val="mn-MN" w:eastAsia="mn-MN"/>
              </w:rPr>
              <w:t>Expenditure</w:t>
            </w:r>
          </w:p>
          <w:p w14:paraId="746FBED5" w14:textId="77777777" w:rsidR="005B3A94" w:rsidRPr="00A21AE2" w:rsidRDefault="005B3A94" w:rsidP="00B344BE">
            <w:pPr>
              <w:jc w:val="center"/>
              <w:rPr>
                <w:rFonts w:ascii="Arial Narrow" w:hAnsi="Arial Narrow" w:cs="Arial"/>
                <w:color w:val="000000"/>
                <w:sz w:val="22"/>
                <w:szCs w:val="22"/>
                <w:lang w:val="mn-MN" w:eastAsia="mn-MN"/>
              </w:rPr>
            </w:pPr>
            <w:r>
              <w:rPr>
                <w:rFonts w:ascii="Arial Narrow" w:hAnsi="Arial Narrow" w:cs="Arial"/>
                <w:color w:val="000000"/>
                <w:sz w:val="22"/>
                <w:szCs w:val="22"/>
                <w:lang w:val="mn-MN" w:eastAsia="mn-MN"/>
              </w:rPr>
              <w:t>quintile</w:t>
            </w:r>
          </w:p>
        </w:tc>
        <w:tc>
          <w:tcPr>
            <w:tcW w:w="2366" w:type="dxa"/>
            <w:tcBorders>
              <w:top w:val="single" w:sz="4" w:space="0" w:color="auto"/>
              <w:left w:val="nil"/>
              <w:bottom w:val="single" w:sz="4" w:space="0" w:color="auto"/>
              <w:right w:val="nil"/>
            </w:tcBorders>
            <w:shd w:val="clear" w:color="auto" w:fill="auto"/>
            <w:noWrap/>
            <w:hideMark/>
          </w:tcPr>
          <w:p w14:paraId="7DF8D8C7" w14:textId="77777777" w:rsidR="00A21AE2" w:rsidRPr="00A21AE2" w:rsidRDefault="00A21AE2" w:rsidP="00B344BE">
            <w:pPr>
              <w:jc w:val="center"/>
              <w:rPr>
                <w:rFonts w:ascii="Arial Narrow" w:hAnsi="Arial Narrow" w:cs="Arial"/>
                <w:color w:val="000000"/>
                <w:sz w:val="22"/>
                <w:szCs w:val="22"/>
                <w:lang w:val="mn-MN" w:eastAsia="mn-MN"/>
              </w:rPr>
            </w:pPr>
            <w:r w:rsidRPr="00A21AE2">
              <w:rPr>
                <w:rFonts w:ascii="Arial Narrow" w:hAnsi="Arial Narrow" w:cs="Arial"/>
                <w:color w:val="000000"/>
                <w:sz w:val="22"/>
                <w:szCs w:val="22"/>
                <w:lang w:val="mn-MN" w:eastAsia="mn-MN"/>
              </w:rPr>
              <w:t>Clinical hospitals and specialty centers</w:t>
            </w:r>
          </w:p>
        </w:tc>
        <w:tc>
          <w:tcPr>
            <w:tcW w:w="2410" w:type="dxa"/>
            <w:tcBorders>
              <w:top w:val="single" w:sz="4" w:space="0" w:color="auto"/>
              <w:left w:val="nil"/>
              <w:bottom w:val="single" w:sz="4" w:space="0" w:color="auto"/>
              <w:right w:val="nil"/>
            </w:tcBorders>
            <w:shd w:val="clear" w:color="auto" w:fill="auto"/>
            <w:noWrap/>
            <w:hideMark/>
          </w:tcPr>
          <w:p w14:paraId="4EA13D9B" w14:textId="77777777" w:rsidR="00A21AE2" w:rsidRPr="00A21AE2" w:rsidRDefault="00A21AE2" w:rsidP="00A21AE2">
            <w:pPr>
              <w:jc w:val="center"/>
              <w:rPr>
                <w:rFonts w:ascii="Arial Narrow" w:hAnsi="Arial Narrow" w:cs="Arial"/>
                <w:color w:val="000000"/>
                <w:sz w:val="22"/>
                <w:szCs w:val="22"/>
                <w:lang w:val="mn-MN" w:eastAsia="mn-MN"/>
              </w:rPr>
            </w:pPr>
            <w:r w:rsidRPr="00A21AE2">
              <w:rPr>
                <w:rFonts w:ascii="Arial Narrow" w:hAnsi="Arial Narrow" w:cs="Arial"/>
                <w:color w:val="000000"/>
                <w:sz w:val="22"/>
                <w:szCs w:val="22"/>
                <w:lang w:val="mn-MN" w:eastAsia="mn-MN"/>
              </w:rPr>
              <w:t>Aimag and district general hospitals</w:t>
            </w:r>
          </w:p>
        </w:tc>
        <w:tc>
          <w:tcPr>
            <w:tcW w:w="2904" w:type="dxa"/>
            <w:tcBorders>
              <w:top w:val="single" w:sz="4" w:space="0" w:color="auto"/>
              <w:left w:val="nil"/>
              <w:bottom w:val="single" w:sz="4" w:space="0" w:color="auto"/>
              <w:right w:val="nil"/>
            </w:tcBorders>
            <w:shd w:val="clear" w:color="auto" w:fill="auto"/>
            <w:noWrap/>
            <w:vAlign w:val="bottom"/>
            <w:hideMark/>
          </w:tcPr>
          <w:p w14:paraId="740CF954" w14:textId="7937D2FD" w:rsidR="00B344BE" w:rsidRDefault="00A21AE2" w:rsidP="00B344BE">
            <w:pPr>
              <w:jc w:val="center"/>
              <w:rPr>
                <w:rFonts w:ascii="Arial Narrow" w:hAnsi="Arial Narrow" w:cs="Arial"/>
                <w:color w:val="000000"/>
                <w:sz w:val="22"/>
                <w:szCs w:val="22"/>
                <w:lang w:val="mn-MN" w:eastAsia="mn-MN"/>
              </w:rPr>
            </w:pPr>
            <w:r w:rsidRPr="00A21AE2">
              <w:rPr>
                <w:rFonts w:ascii="Arial Narrow" w:hAnsi="Arial Narrow" w:cs="Arial"/>
                <w:color w:val="000000"/>
                <w:sz w:val="22"/>
                <w:szCs w:val="22"/>
                <w:lang w:val="mn-MN" w:eastAsia="mn-MN"/>
              </w:rPr>
              <w:t xml:space="preserve">Primary </w:t>
            </w:r>
            <w:r w:rsidR="00B344BE">
              <w:rPr>
                <w:rFonts w:ascii="Arial Narrow" w:hAnsi="Arial Narrow" w:cs="Arial"/>
                <w:color w:val="000000"/>
                <w:sz w:val="22"/>
                <w:szCs w:val="22"/>
                <w:lang w:val="mn-MN" w:eastAsia="mn-MN"/>
              </w:rPr>
              <w:t>health</w:t>
            </w:r>
          </w:p>
          <w:p w14:paraId="1EEC8845" w14:textId="0AA88485" w:rsidR="005B3A94" w:rsidRPr="00A21AE2" w:rsidRDefault="00A21AE2" w:rsidP="00B344BE">
            <w:pPr>
              <w:jc w:val="center"/>
              <w:rPr>
                <w:rFonts w:ascii="Arial Narrow" w:hAnsi="Arial Narrow" w:cs="Arial"/>
                <w:color w:val="000000"/>
                <w:sz w:val="22"/>
                <w:szCs w:val="22"/>
                <w:lang w:val="mn-MN" w:eastAsia="mn-MN"/>
              </w:rPr>
            </w:pPr>
            <w:r w:rsidRPr="00A21AE2">
              <w:rPr>
                <w:rFonts w:ascii="Arial Narrow" w:hAnsi="Arial Narrow" w:cs="Arial"/>
                <w:color w:val="000000"/>
                <w:sz w:val="22"/>
                <w:szCs w:val="22"/>
                <w:lang w:val="mn-MN" w:eastAsia="mn-MN"/>
              </w:rPr>
              <w:t>care facilities</w:t>
            </w:r>
          </w:p>
        </w:tc>
      </w:tr>
      <w:tr w:rsidR="00A21AE2" w:rsidRPr="00A21AE2" w14:paraId="2C220DFE" w14:textId="77777777" w:rsidTr="00B344BE">
        <w:trPr>
          <w:trHeight w:val="315"/>
        </w:trPr>
        <w:tc>
          <w:tcPr>
            <w:tcW w:w="1320" w:type="dxa"/>
            <w:tcBorders>
              <w:top w:val="single" w:sz="4" w:space="0" w:color="auto"/>
              <w:left w:val="nil"/>
              <w:bottom w:val="nil"/>
              <w:right w:val="nil"/>
            </w:tcBorders>
            <w:shd w:val="clear" w:color="auto" w:fill="auto"/>
            <w:noWrap/>
            <w:vAlign w:val="bottom"/>
            <w:hideMark/>
          </w:tcPr>
          <w:p w14:paraId="3D96D61E" w14:textId="30C60713" w:rsidR="00A21AE2" w:rsidRPr="00A21AE2" w:rsidRDefault="005B3A94" w:rsidP="00A21AE2">
            <w:pPr>
              <w:jc w:val="center"/>
              <w:rPr>
                <w:rFonts w:ascii="Arial Narrow" w:hAnsi="Arial Narrow" w:cs="Arial"/>
                <w:color w:val="000000"/>
                <w:sz w:val="22"/>
                <w:szCs w:val="22"/>
                <w:lang w:val="mn-MN" w:eastAsia="mn-MN"/>
              </w:rPr>
            </w:pPr>
            <w:r>
              <w:rPr>
                <w:rFonts w:ascii="Arial Narrow" w:hAnsi="Arial Narrow" w:cs="Arial"/>
                <w:color w:val="000000"/>
                <w:sz w:val="22"/>
                <w:szCs w:val="22"/>
                <w:lang w:val="mn-MN" w:eastAsia="mn-MN"/>
              </w:rPr>
              <w:t>1</w:t>
            </w:r>
          </w:p>
        </w:tc>
        <w:tc>
          <w:tcPr>
            <w:tcW w:w="2366" w:type="dxa"/>
            <w:tcBorders>
              <w:top w:val="single" w:sz="4" w:space="0" w:color="auto"/>
              <w:left w:val="nil"/>
              <w:bottom w:val="nil"/>
              <w:right w:val="nil"/>
            </w:tcBorders>
            <w:shd w:val="clear" w:color="auto" w:fill="auto"/>
            <w:noWrap/>
            <w:vAlign w:val="bottom"/>
            <w:hideMark/>
          </w:tcPr>
          <w:p w14:paraId="5EA1140A" w14:textId="77777777" w:rsidR="00A21AE2" w:rsidRPr="00A21AE2" w:rsidRDefault="00A21AE2" w:rsidP="00A21AE2">
            <w:pPr>
              <w:jc w:val="center"/>
              <w:rPr>
                <w:rFonts w:ascii="Arial Narrow" w:hAnsi="Arial Narrow" w:cs="Arial"/>
                <w:color w:val="000000"/>
                <w:sz w:val="22"/>
                <w:szCs w:val="22"/>
                <w:lang w:eastAsia="mn-MN"/>
              </w:rPr>
            </w:pPr>
            <w:r w:rsidRPr="00A21AE2">
              <w:rPr>
                <w:rFonts w:ascii="Arial Narrow" w:hAnsi="Arial Narrow" w:cs="Arial"/>
                <w:color w:val="000000"/>
                <w:sz w:val="22"/>
                <w:szCs w:val="22"/>
                <w:lang w:val="mn-MN" w:eastAsia="mn-MN"/>
              </w:rPr>
              <w:t>1.</w:t>
            </w:r>
            <w:r>
              <w:rPr>
                <w:rFonts w:ascii="Arial Narrow" w:hAnsi="Arial Narrow" w:cs="Arial"/>
                <w:color w:val="000000"/>
                <w:sz w:val="22"/>
                <w:szCs w:val="22"/>
                <w:lang w:eastAsia="mn-MN"/>
              </w:rPr>
              <w:t>8%</w:t>
            </w:r>
          </w:p>
        </w:tc>
        <w:tc>
          <w:tcPr>
            <w:tcW w:w="2410" w:type="dxa"/>
            <w:tcBorders>
              <w:top w:val="single" w:sz="4" w:space="0" w:color="auto"/>
              <w:left w:val="nil"/>
              <w:bottom w:val="nil"/>
              <w:right w:val="nil"/>
            </w:tcBorders>
            <w:shd w:val="clear" w:color="auto" w:fill="auto"/>
            <w:noWrap/>
            <w:vAlign w:val="bottom"/>
            <w:hideMark/>
          </w:tcPr>
          <w:p w14:paraId="648AA6FC" w14:textId="77777777" w:rsidR="00A21AE2" w:rsidRPr="00A21AE2" w:rsidRDefault="00A21AE2" w:rsidP="00A21AE2">
            <w:pPr>
              <w:jc w:val="center"/>
              <w:rPr>
                <w:rFonts w:ascii="Arial Narrow" w:hAnsi="Arial Narrow" w:cs="Arial"/>
                <w:color w:val="000000"/>
                <w:sz w:val="22"/>
                <w:szCs w:val="22"/>
                <w:lang w:eastAsia="mn-MN"/>
              </w:rPr>
            </w:pPr>
            <w:r w:rsidRPr="00A21AE2">
              <w:rPr>
                <w:rFonts w:ascii="Arial Narrow" w:hAnsi="Arial Narrow" w:cs="Arial"/>
                <w:color w:val="000000"/>
                <w:sz w:val="22"/>
                <w:szCs w:val="22"/>
                <w:lang w:val="mn-MN" w:eastAsia="mn-MN"/>
              </w:rPr>
              <w:t>4.</w:t>
            </w:r>
            <w:r>
              <w:rPr>
                <w:rFonts w:ascii="Arial Narrow" w:hAnsi="Arial Narrow" w:cs="Arial"/>
                <w:color w:val="000000"/>
                <w:sz w:val="22"/>
                <w:szCs w:val="22"/>
                <w:lang w:eastAsia="mn-MN"/>
              </w:rPr>
              <w:t>3%</w:t>
            </w:r>
          </w:p>
        </w:tc>
        <w:tc>
          <w:tcPr>
            <w:tcW w:w="2904" w:type="dxa"/>
            <w:tcBorders>
              <w:top w:val="single" w:sz="4" w:space="0" w:color="auto"/>
              <w:left w:val="nil"/>
              <w:bottom w:val="nil"/>
              <w:right w:val="nil"/>
            </w:tcBorders>
            <w:shd w:val="clear" w:color="auto" w:fill="auto"/>
            <w:noWrap/>
            <w:vAlign w:val="bottom"/>
            <w:hideMark/>
          </w:tcPr>
          <w:p w14:paraId="36350C35" w14:textId="77777777" w:rsidR="00A21AE2" w:rsidRPr="00A21AE2" w:rsidRDefault="00A21AE2" w:rsidP="00A21AE2">
            <w:pPr>
              <w:jc w:val="center"/>
              <w:rPr>
                <w:rFonts w:ascii="Arial Narrow" w:hAnsi="Arial Narrow" w:cs="Arial"/>
                <w:color w:val="000000"/>
                <w:sz w:val="22"/>
                <w:szCs w:val="22"/>
                <w:lang w:eastAsia="mn-MN"/>
              </w:rPr>
            </w:pPr>
            <w:r w:rsidRPr="00A21AE2">
              <w:rPr>
                <w:rFonts w:ascii="Arial Narrow" w:hAnsi="Arial Narrow" w:cs="Arial"/>
                <w:color w:val="000000"/>
                <w:sz w:val="22"/>
                <w:szCs w:val="22"/>
                <w:lang w:val="mn-MN" w:eastAsia="mn-MN"/>
              </w:rPr>
              <w:t>7.4</w:t>
            </w:r>
            <w:r>
              <w:rPr>
                <w:rFonts w:ascii="Arial Narrow" w:hAnsi="Arial Narrow" w:cs="Arial"/>
                <w:color w:val="000000"/>
                <w:sz w:val="22"/>
                <w:szCs w:val="22"/>
                <w:lang w:eastAsia="mn-MN"/>
              </w:rPr>
              <w:t>%</w:t>
            </w:r>
          </w:p>
        </w:tc>
      </w:tr>
      <w:tr w:rsidR="00A21AE2" w:rsidRPr="00A21AE2" w14:paraId="3A2E3891" w14:textId="77777777" w:rsidTr="00B344BE">
        <w:trPr>
          <w:trHeight w:val="315"/>
        </w:trPr>
        <w:tc>
          <w:tcPr>
            <w:tcW w:w="1320" w:type="dxa"/>
            <w:tcBorders>
              <w:top w:val="nil"/>
              <w:left w:val="nil"/>
              <w:bottom w:val="nil"/>
              <w:right w:val="nil"/>
            </w:tcBorders>
            <w:shd w:val="clear" w:color="auto" w:fill="auto"/>
            <w:noWrap/>
            <w:vAlign w:val="bottom"/>
            <w:hideMark/>
          </w:tcPr>
          <w:p w14:paraId="317FA0B7" w14:textId="77777777" w:rsidR="00A21AE2" w:rsidRPr="00A21AE2" w:rsidRDefault="00A21AE2" w:rsidP="00A21AE2">
            <w:pPr>
              <w:jc w:val="center"/>
              <w:rPr>
                <w:rFonts w:ascii="Arial Narrow" w:hAnsi="Arial Narrow" w:cs="Arial"/>
                <w:color w:val="000000"/>
                <w:sz w:val="22"/>
                <w:szCs w:val="22"/>
                <w:lang w:val="mn-MN" w:eastAsia="mn-MN"/>
              </w:rPr>
            </w:pPr>
            <w:r w:rsidRPr="00A21AE2">
              <w:rPr>
                <w:rFonts w:ascii="Arial Narrow" w:hAnsi="Arial Narrow" w:cs="Arial"/>
                <w:color w:val="000000"/>
                <w:sz w:val="22"/>
                <w:szCs w:val="22"/>
                <w:lang w:val="mn-MN" w:eastAsia="mn-MN"/>
              </w:rPr>
              <w:t>2</w:t>
            </w:r>
          </w:p>
        </w:tc>
        <w:tc>
          <w:tcPr>
            <w:tcW w:w="2366" w:type="dxa"/>
            <w:tcBorders>
              <w:top w:val="nil"/>
              <w:left w:val="nil"/>
              <w:bottom w:val="nil"/>
              <w:right w:val="nil"/>
            </w:tcBorders>
            <w:shd w:val="clear" w:color="auto" w:fill="auto"/>
            <w:noWrap/>
            <w:vAlign w:val="bottom"/>
            <w:hideMark/>
          </w:tcPr>
          <w:p w14:paraId="08456559" w14:textId="77777777" w:rsidR="00A21AE2" w:rsidRPr="00A21AE2" w:rsidRDefault="00A21AE2" w:rsidP="00A21AE2">
            <w:pPr>
              <w:jc w:val="center"/>
              <w:rPr>
                <w:rFonts w:ascii="Arial Narrow" w:hAnsi="Arial Narrow" w:cs="Arial"/>
                <w:color w:val="000000"/>
                <w:sz w:val="22"/>
                <w:szCs w:val="22"/>
                <w:lang w:eastAsia="mn-MN"/>
              </w:rPr>
            </w:pPr>
            <w:r w:rsidRPr="00A21AE2">
              <w:rPr>
                <w:rFonts w:ascii="Arial Narrow" w:hAnsi="Arial Narrow" w:cs="Arial"/>
                <w:color w:val="000000"/>
                <w:sz w:val="22"/>
                <w:szCs w:val="22"/>
                <w:lang w:val="mn-MN" w:eastAsia="mn-MN"/>
              </w:rPr>
              <w:t>4.</w:t>
            </w:r>
            <w:r>
              <w:rPr>
                <w:rFonts w:ascii="Arial Narrow" w:hAnsi="Arial Narrow" w:cs="Arial"/>
                <w:color w:val="000000"/>
                <w:sz w:val="22"/>
                <w:szCs w:val="22"/>
                <w:lang w:eastAsia="mn-MN"/>
              </w:rPr>
              <w:t>4%</w:t>
            </w:r>
          </w:p>
        </w:tc>
        <w:tc>
          <w:tcPr>
            <w:tcW w:w="2410" w:type="dxa"/>
            <w:tcBorders>
              <w:top w:val="nil"/>
              <w:left w:val="nil"/>
              <w:bottom w:val="nil"/>
              <w:right w:val="nil"/>
            </w:tcBorders>
            <w:shd w:val="clear" w:color="auto" w:fill="auto"/>
            <w:noWrap/>
            <w:vAlign w:val="bottom"/>
            <w:hideMark/>
          </w:tcPr>
          <w:p w14:paraId="694DCB24" w14:textId="77777777" w:rsidR="00A21AE2" w:rsidRPr="00A21AE2" w:rsidRDefault="00A21AE2" w:rsidP="00A21AE2">
            <w:pPr>
              <w:jc w:val="center"/>
              <w:rPr>
                <w:rFonts w:ascii="Arial Narrow" w:hAnsi="Arial Narrow" w:cs="Arial"/>
                <w:color w:val="000000"/>
                <w:sz w:val="22"/>
                <w:szCs w:val="22"/>
                <w:lang w:eastAsia="mn-MN"/>
              </w:rPr>
            </w:pPr>
            <w:r w:rsidRPr="00A21AE2">
              <w:rPr>
                <w:rFonts w:ascii="Arial Narrow" w:hAnsi="Arial Narrow" w:cs="Arial"/>
                <w:color w:val="000000"/>
                <w:sz w:val="22"/>
                <w:szCs w:val="22"/>
                <w:lang w:val="mn-MN" w:eastAsia="mn-MN"/>
              </w:rPr>
              <w:t>5.</w:t>
            </w:r>
            <w:r>
              <w:rPr>
                <w:rFonts w:ascii="Arial Narrow" w:hAnsi="Arial Narrow" w:cs="Arial"/>
                <w:color w:val="000000"/>
                <w:sz w:val="22"/>
                <w:szCs w:val="22"/>
                <w:lang w:eastAsia="mn-MN"/>
              </w:rPr>
              <w:t>4%</w:t>
            </w:r>
          </w:p>
        </w:tc>
        <w:tc>
          <w:tcPr>
            <w:tcW w:w="2904" w:type="dxa"/>
            <w:tcBorders>
              <w:top w:val="nil"/>
              <w:left w:val="nil"/>
              <w:bottom w:val="nil"/>
              <w:right w:val="nil"/>
            </w:tcBorders>
            <w:shd w:val="clear" w:color="auto" w:fill="auto"/>
            <w:noWrap/>
            <w:vAlign w:val="bottom"/>
            <w:hideMark/>
          </w:tcPr>
          <w:p w14:paraId="68770CAD" w14:textId="77777777" w:rsidR="00A21AE2" w:rsidRPr="00A21AE2" w:rsidRDefault="00A21AE2" w:rsidP="00A21AE2">
            <w:pPr>
              <w:jc w:val="center"/>
              <w:rPr>
                <w:rFonts w:ascii="Arial Narrow" w:hAnsi="Arial Narrow" w:cs="Arial"/>
                <w:color w:val="000000"/>
                <w:sz w:val="22"/>
                <w:szCs w:val="22"/>
                <w:lang w:eastAsia="mn-MN"/>
              </w:rPr>
            </w:pPr>
            <w:r w:rsidRPr="00A21AE2">
              <w:rPr>
                <w:rFonts w:ascii="Arial Narrow" w:hAnsi="Arial Narrow" w:cs="Arial"/>
                <w:color w:val="000000"/>
                <w:sz w:val="22"/>
                <w:szCs w:val="22"/>
                <w:lang w:val="mn-MN" w:eastAsia="mn-MN"/>
              </w:rPr>
              <w:t>7.4</w:t>
            </w:r>
            <w:r>
              <w:rPr>
                <w:rFonts w:ascii="Arial Narrow" w:hAnsi="Arial Narrow" w:cs="Arial"/>
                <w:color w:val="000000"/>
                <w:sz w:val="22"/>
                <w:szCs w:val="22"/>
                <w:lang w:eastAsia="mn-MN"/>
              </w:rPr>
              <w:t>%</w:t>
            </w:r>
          </w:p>
        </w:tc>
      </w:tr>
      <w:tr w:rsidR="00A21AE2" w:rsidRPr="00A21AE2" w14:paraId="73CFA29F" w14:textId="77777777" w:rsidTr="00B344BE">
        <w:trPr>
          <w:trHeight w:val="315"/>
        </w:trPr>
        <w:tc>
          <w:tcPr>
            <w:tcW w:w="1320" w:type="dxa"/>
            <w:tcBorders>
              <w:top w:val="nil"/>
              <w:left w:val="nil"/>
              <w:bottom w:val="nil"/>
              <w:right w:val="nil"/>
            </w:tcBorders>
            <w:shd w:val="clear" w:color="auto" w:fill="auto"/>
            <w:noWrap/>
            <w:vAlign w:val="bottom"/>
            <w:hideMark/>
          </w:tcPr>
          <w:p w14:paraId="1A3CE5D9" w14:textId="77777777" w:rsidR="00A21AE2" w:rsidRPr="00A21AE2" w:rsidRDefault="00A21AE2" w:rsidP="00A21AE2">
            <w:pPr>
              <w:jc w:val="center"/>
              <w:rPr>
                <w:rFonts w:ascii="Arial Narrow" w:hAnsi="Arial Narrow" w:cs="Arial"/>
                <w:color w:val="000000"/>
                <w:sz w:val="22"/>
                <w:szCs w:val="22"/>
                <w:lang w:val="mn-MN" w:eastAsia="mn-MN"/>
              </w:rPr>
            </w:pPr>
            <w:r w:rsidRPr="00A21AE2">
              <w:rPr>
                <w:rFonts w:ascii="Arial Narrow" w:hAnsi="Arial Narrow" w:cs="Arial"/>
                <w:color w:val="000000"/>
                <w:sz w:val="22"/>
                <w:szCs w:val="22"/>
                <w:lang w:val="mn-MN" w:eastAsia="mn-MN"/>
              </w:rPr>
              <w:t>3</w:t>
            </w:r>
          </w:p>
        </w:tc>
        <w:tc>
          <w:tcPr>
            <w:tcW w:w="2366" w:type="dxa"/>
            <w:tcBorders>
              <w:top w:val="nil"/>
              <w:left w:val="nil"/>
              <w:bottom w:val="nil"/>
              <w:right w:val="nil"/>
            </w:tcBorders>
            <w:shd w:val="clear" w:color="auto" w:fill="auto"/>
            <w:noWrap/>
            <w:vAlign w:val="bottom"/>
            <w:hideMark/>
          </w:tcPr>
          <w:p w14:paraId="2D4A8123" w14:textId="77777777" w:rsidR="00A21AE2" w:rsidRPr="00A21AE2" w:rsidRDefault="00A21AE2" w:rsidP="00A21AE2">
            <w:pPr>
              <w:jc w:val="center"/>
              <w:rPr>
                <w:rFonts w:ascii="Arial Narrow" w:hAnsi="Arial Narrow" w:cs="Arial"/>
                <w:color w:val="000000"/>
                <w:sz w:val="22"/>
                <w:szCs w:val="22"/>
                <w:lang w:eastAsia="mn-MN"/>
              </w:rPr>
            </w:pPr>
            <w:r w:rsidRPr="00A21AE2">
              <w:rPr>
                <w:rFonts w:ascii="Arial Narrow" w:hAnsi="Arial Narrow" w:cs="Arial"/>
                <w:color w:val="000000"/>
                <w:sz w:val="22"/>
                <w:szCs w:val="22"/>
                <w:lang w:val="mn-MN" w:eastAsia="mn-MN"/>
              </w:rPr>
              <w:t>4.8</w:t>
            </w:r>
            <w:r>
              <w:rPr>
                <w:rFonts w:ascii="Arial Narrow" w:hAnsi="Arial Narrow" w:cs="Arial"/>
                <w:color w:val="000000"/>
                <w:sz w:val="22"/>
                <w:szCs w:val="22"/>
                <w:lang w:eastAsia="mn-MN"/>
              </w:rPr>
              <w:t>%</w:t>
            </w:r>
          </w:p>
        </w:tc>
        <w:tc>
          <w:tcPr>
            <w:tcW w:w="2410" w:type="dxa"/>
            <w:tcBorders>
              <w:top w:val="nil"/>
              <w:left w:val="nil"/>
              <w:bottom w:val="nil"/>
              <w:right w:val="nil"/>
            </w:tcBorders>
            <w:shd w:val="clear" w:color="auto" w:fill="auto"/>
            <w:noWrap/>
            <w:vAlign w:val="bottom"/>
            <w:hideMark/>
          </w:tcPr>
          <w:p w14:paraId="1E48E43F" w14:textId="77777777" w:rsidR="00A21AE2" w:rsidRPr="00A21AE2" w:rsidRDefault="00A21AE2" w:rsidP="00A21AE2">
            <w:pPr>
              <w:jc w:val="center"/>
              <w:rPr>
                <w:rFonts w:ascii="Arial Narrow" w:hAnsi="Arial Narrow" w:cs="Arial"/>
                <w:color w:val="000000"/>
                <w:sz w:val="22"/>
                <w:szCs w:val="22"/>
                <w:lang w:eastAsia="mn-MN"/>
              </w:rPr>
            </w:pPr>
            <w:r w:rsidRPr="00A21AE2">
              <w:rPr>
                <w:rFonts w:ascii="Arial Narrow" w:hAnsi="Arial Narrow" w:cs="Arial"/>
                <w:color w:val="000000"/>
                <w:sz w:val="22"/>
                <w:szCs w:val="22"/>
                <w:lang w:val="mn-MN" w:eastAsia="mn-MN"/>
              </w:rPr>
              <w:t>7.</w:t>
            </w:r>
            <w:r>
              <w:rPr>
                <w:rFonts w:ascii="Arial Narrow" w:hAnsi="Arial Narrow" w:cs="Arial"/>
                <w:color w:val="000000"/>
                <w:sz w:val="22"/>
                <w:szCs w:val="22"/>
                <w:lang w:eastAsia="mn-MN"/>
              </w:rPr>
              <w:t>7%</w:t>
            </w:r>
          </w:p>
        </w:tc>
        <w:tc>
          <w:tcPr>
            <w:tcW w:w="2904" w:type="dxa"/>
            <w:tcBorders>
              <w:top w:val="nil"/>
              <w:left w:val="nil"/>
              <w:bottom w:val="nil"/>
              <w:right w:val="nil"/>
            </w:tcBorders>
            <w:shd w:val="clear" w:color="auto" w:fill="auto"/>
            <w:noWrap/>
            <w:vAlign w:val="bottom"/>
            <w:hideMark/>
          </w:tcPr>
          <w:p w14:paraId="6D691821" w14:textId="77777777" w:rsidR="00A21AE2" w:rsidRPr="00A21AE2" w:rsidRDefault="00A21AE2" w:rsidP="00A21AE2">
            <w:pPr>
              <w:jc w:val="center"/>
              <w:rPr>
                <w:rFonts w:ascii="Arial Narrow" w:hAnsi="Arial Narrow" w:cs="Arial"/>
                <w:color w:val="000000"/>
                <w:sz w:val="22"/>
                <w:szCs w:val="22"/>
                <w:lang w:eastAsia="mn-MN"/>
              </w:rPr>
            </w:pPr>
            <w:r w:rsidRPr="00A21AE2">
              <w:rPr>
                <w:rFonts w:ascii="Arial Narrow" w:hAnsi="Arial Narrow" w:cs="Arial"/>
                <w:color w:val="000000"/>
                <w:sz w:val="22"/>
                <w:szCs w:val="22"/>
                <w:lang w:val="mn-MN" w:eastAsia="mn-MN"/>
              </w:rPr>
              <w:t>7.</w:t>
            </w:r>
            <w:r>
              <w:rPr>
                <w:rFonts w:ascii="Arial Narrow" w:hAnsi="Arial Narrow" w:cs="Arial"/>
                <w:color w:val="000000"/>
                <w:sz w:val="22"/>
                <w:szCs w:val="22"/>
                <w:lang w:eastAsia="mn-MN"/>
              </w:rPr>
              <w:t>8%</w:t>
            </w:r>
          </w:p>
        </w:tc>
      </w:tr>
      <w:tr w:rsidR="00A21AE2" w:rsidRPr="00A21AE2" w14:paraId="22629ABB" w14:textId="77777777" w:rsidTr="00B344BE">
        <w:trPr>
          <w:trHeight w:val="315"/>
        </w:trPr>
        <w:tc>
          <w:tcPr>
            <w:tcW w:w="1320" w:type="dxa"/>
            <w:tcBorders>
              <w:top w:val="nil"/>
              <w:left w:val="nil"/>
              <w:bottom w:val="nil"/>
              <w:right w:val="nil"/>
            </w:tcBorders>
            <w:shd w:val="clear" w:color="auto" w:fill="auto"/>
            <w:noWrap/>
            <w:vAlign w:val="bottom"/>
            <w:hideMark/>
          </w:tcPr>
          <w:p w14:paraId="7F9E98AE" w14:textId="77777777" w:rsidR="00A21AE2" w:rsidRPr="00A21AE2" w:rsidRDefault="00A21AE2" w:rsidP="00A21AE2">
            <w:pPr>
              <w:jc w:val="center"/>
              <w:rPr>
                <w:rFonts w:ascii="Arial Narrow" w:hAnsi="Arial Narrow" w:cs="Arial"/>
                <w:color w:val="000000"/>
                <w:sz w:val="22"/>
                <w:szCs w:val="22"/>
                <w:lang w:val="mn-MN" w:eastAsia="mn-MN"/>
              </w:rPr>
            </w:pPr>
            <w:r w:rsidRPr="00A21AE2">
              <w:rPr>
                <w:rFonts w:ascii="Arial Narrow" w:hAnsi="Arial Narrow" w:cs="Arial"/>
                <w:color w:val="000000"/>
                <w:sz w:val="22"/>
                <w:szCs w:val="22"/>
                <w:lang w:val="mn-MN" w:eastAsia="mn-MN"/>
              </w:rPr>
              <w:t>4</w:t>
            </w:r>
          </w:p>
        </w:tc>
        <w:tc>
          <w:tcPr>
            <w:tcW w:w="2366" w:type="dxa"/>
            <w:tcBorders>
              <w:top w:val="nil"/>
              <w:left w:val="nil"/>
              <w:bottom w:val="nil"/>
              <w:right w:val="nil"/>
            </w:tcBorders>
            <w:shd w:val="clear" w:color="auto" w:fill="auto"/>
            <w:noWrap/>
            <w:vAlign w:val="bottom"/>
            <w:hideMark/>
          </w:tcPr>
          <w:p w14:paraId="02545336" w14:textId="77777777" w:rsidR="00A21AE2" w:rsidRPr="00A21AE2" w:rsidRDefault="00A21AE2" w:rsidP="00A21AE2">
            <w:pPr>
              <w:jc w:val="center"/>
              <w:rPr>
                <w:rFonts w:ascii="Arial Narrow" w:hAnsi="Arial Narrow" w:cs="Arial"/>
                <w:color w:val="000000"/>
                <w:sz w:val="22"/>
                <w:szCs w:val="22"/>
                <w:lang w:eastAsia="mn-MN"/>
              </w:rPr>
            </w:pPr>
            <w:r w:rsidRPr="00A21AE2">
              <w:rPr>
                <w:rFonts w:ascii="Arial Narrow" w:hAnsi="Arial Narrow" w:cs="Arial"/>
                <w:color w:val="000000"/>
                <w:sz w:val="22"/>
                <w:szCs w:val="22"/>
                <w:lang w:val="mn-MN" w:eastAsia="mn-MN"/>
              </w:rPr>
              <w:t>7.0</w:t>
            </w:r>
            <w:r>
              <w:rPr>
                <w:rFonts w:ascii="Arial Narrow" w:hAnsi="Arial Narrow" w:cs="Arial"/>
                <w:color w:val="000000"/>
                <w:sz w:val="22"/>
                <w:szCs w:val="22"/>
                <w:lang w:eastAsia="mn-MN"/>
              </w:rPr>
              <w:t>%</w:t>
            </w:r>
          </w:p>
        </w:tc>
        <w:tc>
          <w:tcPr>
            <w:tcW w:w="2410" w:type="dxa"/>
            <w:tcBorders>
              <w:top w:val="nil"/>
              <w:left w:val="nil"/>
              <w:bottom w:val="nil"/>
              <w:right w:val="nil"/>
            </w:tcBorders>
            <w:shd w:val="clear" w:color="auto" w:fill="auto"/>
            <w:noWrap/>
            <w:vAlign w:val="bottom"/>
            <w:hideMark/>
          </w:tcPr>
          <w:p w14:paraId="7808E5CD" w14:textId="77777777" w:rsidR="00A21AE2" w:rsidRPr="00A21AE2" w:rsidRDefault="00A21AE2" w:rsidP="00A21AE2">
            <w:pPr>
              <w:jc w:val="center"/>
              <w:rPr>
                <w:rFonts w:ascii="Arial Narrow" w:hAnsi="Arial Narrow" w:cs="Arial"/>
                <w:color w:val="000000"/>
                <w:sz w:val="22"/>
                <w:szCs w:val="22"/>
                <w:lang w:eastAsia="mn-MN"/>
              </w:rPr>
            </w:pPr>
            <w:r w:rsidRPr="00A21AE2">
              <w:rPr>
                <w:rFonts w:ascii="Arial Narrow" w:hAnsi="Arial Narrow" w:cs="Arial"/>
                <w:color w:val="000000"/>
                <w:sz w:val="22"/>
                <w:szCs w:val="22"/>
                <w:lang w:val="mn-MN" w:eastAsia="mn-MN"/>
              </w:rPr>
              <w:t>7.</w:t>
            </w:r>
            <w:r>
              <w:rPr>
                <w:rFonts w:ascii="Arial Narrow" w:hAnsi="Arial Narrow" w:cs="Arial"/>
                <w:color w:val="000000"/>
                <w:sz w:val="22"/>
                <w:szCs w:val="22"/>
                <w:lang w:eastAsia="mn-MN"/>
              </w:rPr>
              <w:t>5%</w:t>
            </w:r>
          </w:p>
        </w:tc>
        <w:tc>
          <w:tcPr>
            <w:tcW w:w="2904" w:type="dxa"/>
            <w:tcBorders>
              <w:top w:val="nil"/>
              <w:left w:val="nil"/>
              <w:bottom w:val="nil"/>
              <w:right w:val="nil"/>
            </w:tcBorders>
            <w:shd w:val="clear" w:color="auto" w:fill="auto"/>
            <w:noWrap/>
            <w:vAlign w:val="bottom"/>
            <w:hideMark/>
          </w:tcPr>
          <w:p w14:paraId="0864E99B" w14:textId="77777777" w:rsidR="00A21AE2" w:rsidRPr="00A21AE2" w:rsidRDefault="00A21AE2" w:rsidP="00A21AE2">
            <w:pPr>
              <w:jc w:val="center"/>
              <w:rPr>
                <w:rFonts w:ascii="Arial Narrow" w:hAnsi="Arial Narrow" w:cs="Arial"/>
                <w:color w:val="000000"/>
                <w:sz w:val="22"/>
                <w:szCs w:val="22"/>
                <w:lang w:eastAsia="mn-MN"/>
              </w:rPr>
            </w:pPr>
            <w:r w:rsidRPr="00A21AE2">
              <w:rPr>
                <w:rFonts w:ascii="Arial Narrow" w:hAnsi="Arial Narrow" w:cs="Arial"/>
                <w:color w:val="000000"/>
                <w:sz w:val="22"/>
                <w:szCs w:val="22"/>
                <w:lang w:val="mn-MN" w:eastAsia="mn-MN"/>
              </w:rPr>
              <w:t>8.7</w:t>
            </w:r>
            <w:r>
              <w:rPr>
                <w:rFonts w:ascii="Arial Narrow" w:hAnsi="Arial Narrow" w:cs="Arial"/>
                <w:color w:val="000000"/>
                <w:sz w:val="22"/>
                <w:szCs w:val="22"/>
                <w:lang w:eastAsia="mn-MN"/>
              </w:rPr>
              <w:t>%</w:t>
            </w:r>
          </w:p>
        </w:tc>
      </w:tr>
      <w:tr w:rsidR="00A21AE2" w:rsidRPr="00A21AE2" w14:paraId="5E5F292B" w14:textId="77777777" w:rsidTr="00B344BE">
        <w:trPr>
          <w:trHeight w:val="315"/>
        </w:trPr>
        <w:tc>
          <w:tcPr>
            <w:tcW w:w="1320" w:type="dxa"/>
            <w:tcBorders>
              <w:top w:val="nil"/>
              <w:left w:val="nil"/>
              <w:bottom w:val="single" w:sz="4" w:space="0" w:color="auto"/>
              <w:right w:val="nil"/>
            </w:tcBorders>
            <w:shd w:val="clear" w:color="auto" w:fill="auto"/>
            <w:noWrap/>
            <w:vAlign w:val="bottom"/>
            <w:hideMark/>
          </w:tcPr>
          <w:p w14:paraId="3BD6ACFC" w14:textId="77777777" w:rsidR="00A21AE2" w:rsidRPr="00A21AE2" w:rsidRDefault="00A21AE2" w:rsidP="00A21AE2">
            <w:pPr>
              <w:jc w:val="center"/>
              <w:rPr>
                <w:rFonts w:ascii="Arial Narrow" w:hAnsi="Arial Narrow" w:cs="Arial"/>
                <w:color w:val="000000"/>
                <w:sz w:val="22"/>
                <w:szCs w:val="22"/>
                <w:lang w:val="mn-MN" w:eastAsia="mn-MN"/>
              </w:rPr>
            </w:pPr>
            <w:r w:rsidRPr="00A21AE2">
              <w:rPr>
                <w:rFonts w:ascii="Arial Narrow" w:hAnsi="Arial Narrow" w:cs="Arial"/>
                <w:color w:val="000000"/>
                <w:sz w:val="22"/>
                <w:szCs w:val="22"/>
                <w:lang w:val="mn-MN" w:eastAsia="mn-MN"/>
              </w:rPr>
              <w:t>5</w:t>
            </w:r>
          </w:p>
        </w:tc>
        <w:tc>
          <w:tcPr>
            <w:tcW w:w="2366" w:type="dxa"/>
            <w:tcBorders>
              <w:top w:val="nil"/>
              <w:left w:val="nil"/>
              <w:bottom w:val="single" w:sz="4" w:space="0" w:color="auto"/>
              <w:right w:val="nil"/>
            </w:tcBorders>
            <w:shd w:val="clear" w:color="auto" w:fill="auto"/>
            <w:noWrap/>
            <w:vAlign w:val="bottom"/>
            <w:hideMark/>
          </w:tcPr>
          <w:p w14:paraId="35B70A1A" w14:textId="77777777" w:rsidR="00A21AE2" w:rsidRPr="00A21AE2" w:rsidRDefault="00A21AE2" w:rsidP="00A21AE2">
            <w:pPr>
              <w:jc w:val="center"/>
              <w:rPr>
                <w:rFonts w:ascii="Arial Narrow" w:hAnsi="Arial Narrow" w:cs="Arial"/>
                <w:color w:val="000000"/>
                <w:sz w:val="22"/>
                <w:szCs w:val="22"/>
                <w:lang w:eastAsia="mn-MN"/>
              </w:rPr>
            </w:pPr>
            <w:r w:rsidRPr="00A21AE2">
              <w:rPr>
                <w:rFonts w:ascii="Arial Narrow" w:hAnsi="Arial Narrow" w:cs="Arial"/>
                <w:color w:val="000000"/>
                <w:sz w:val="22"/>
                <w:szCs w:val="22"/>
                <w:lang w:val="mn-MN" w:eastAsia="mn-MN"/>
              </w:rPr>
              <w:t>11.</w:t>
            </w:r>
            <w:r>
              <w:rPr>
                <w:rFonts w:ascii="Arial Narrow" w:hAnsi="Arial Narrow" w:cs="Arial"/>
                <w:color w:val="000000"/>
                <w:sz w:val="22"/>
                <w:szCs w:val="22"/>
                <w:lang w:eastAsia="mn-MN"/>
              </w:rPr>
              <w:t>4%</w:t>
            </w:r>
          </w:p>
        </w:tc>
        <w:tc>
          <w:tcPr>
            <w:tcW w:w="2410" w:type="dxa"/>
            <w:tcBorders>
              <w:top w:val="nil"/>
              <w:left w:val="nil"/>
              <w:bottom w:val="single" w:sz="4" w:space="0" w:color="auto"/>
              <w:right w:val="nil"/>
            </w:tcBorders>
            <w:shd w:val="clear" w:color="auto" w:fill="auto"/>
            <w:noWrap/>
            <w:vAlign w:val="bottom"/>
            <w:hideMark/>
          </w:tcPr>
          <w:p w14:paraId="4A0B5705" w14:textId="77777777" w:rsidR="00A21AE2" w:rsidRPr="00A21AE2" w:rsidRDefault="00A21AE2" w:rsidP="00A21AE2">
            <w:pPr>
              <w:jc w:val="center"/>
              <w:rPr>
                <w:rFonts w:ascii="Arial Narrow" w:hAnsi="Arial Narrow" w:cs="Arial"/>
                <w:color w:val="000000"/>
                <w:sz w:val="22"/>
                <w:szCs w:val="22"/>
                <w:lang w:eastAsia="mn-MN"/>
              </w:rPr>
            </w:pPr>
            <w:r w:rsidRPr="00A21AE2">
              <w:rPr>
                <w:rFonts w:ascii="Arial Narrow" w:hAnsi="Arial Narrow" w:cs="Arial"/>
                <w:color w:val="000000"/>
                <w:sz w:val="22"/>
                <w:szCs w:val="22"/>
                <w:lang w:val="mn-MN" w:eastAsia="mn-MN"/>
              </w:rPr>
              <w:t>6.9</w:t>
            </w:r>
            <w:r>
              <w:rPr>
                <w:rFonts w:ascii="Arial Narrow" w:hAnsi="Arial Narrow" w:cs="Arial"/>
                <w:color w:val="000000"/>
                <w:sz w:val="22"/>
                <w:szCs w:val="22"/>
                <w:lang w:eastAsia="mn-MN"/>
              </w:rPr>
              <w:t>%</w:t>
            </w:r>
          </w:p>
        </w:tc>
        <w:tc>
          <w:tcPr>
            <w:tcW w:w="2904" w:type="dxa"/>
            <w:tcBorders>
              <w:top w:val="nil"/>
              <w:left w:val="nil"/>
              <w:bottom w:val="single" w:sz="4" w:space="0" w:color="auto"/>
              <w:right w:val="nil"/>
            </w:tcBorders>
            <w:shd w:val="clear" w:color="auto" w:fill="auto"/>
            <w:noWrap/>
            <w:vAlign w:val="bottom"/>
            <w:hideMark/>
          </w:tcPr>
          <w:p w14:paraId="301630E9" w14:textId="77777777" w:rsidR="00A21AE2" w:rsidRPr="00A21AE2" w:rsidRDefault="00A21AE2" w:rsidP="00A21AE2">
            <w:pPr>
              <w:jc w:val="center"/>
              <w:rPr>
                <w:rFonts w:ascii="Arial Narrow" w:hAnsi="Arial Narrow" w:cs="Arial"/>
                <w:color w:val="000000"/>
                <w:sz w:val="22"/>
                <w:szCs w:val="22"/>
                <w:lang w:eastAsia="mn-MN"/>
              </w:rPr>
            </w:pPr>
            <w:r w:rsidRPr="00A21AE2">
              <w:rPr>
                <w:rFonts w:ascii="Arial Narrow" w:hAnsi="Arial Narrow" w:cs="Arial"/>
                <w:color w:val="000000"/>
                <w:sz w:val="22"/>
                <w:szCs w:val="22"/>
                <w:lang w:val="mn-MN" w:eastAsia="mn-MN"/>
              </w:rPr>
              <w:t>7.</w:t>
            </w:r>
            <w:r>
              <w:rPr>
                <w:rFonts w:ascii="Arial Narrow" w:hAnsi="Arial Narrow" w:cs="Arial"/>
                <w:color w:val="000000"/>
                <w:sz w:val="22"/>
                <w:szCs w:val="22"/>
                <w:lang w:eastAsia="mn-MN"/>
              </w:rPr>
              <w:t>5%</w:t>
            </w:r>
          </w:p>
        </w:tc>
      </w:tr>
      <w:tr w:rsidR="00A21AE2" w:rsidRPr="00A21AE2" w14:paraId="1A0124EE" w14:textId="77777777" w:rsidTr="00B344BE">
        <w:trPr>
          <w:trHeight w:val="315"/>
        </w:trPr>
        <w:tc>
          <w:tcPr>
            <w:tcW w:w="1320" w:type="dxa"/>
            <w:tcBorders>
              <w:top w:val="single" w:sz="4" w:space="0" w:color="auto"/>
              <w:left w:val="nil"/>
              <w:bottom w:val="single" w:sz="4" w:space="0" w:color="auto"/>
              <w:right w:val="nil"/>
            </w:tcBorders>
            <w:shd w:val="clear" w:color="auto" w:fill="auto"/>
            <w:noWrap/>
            <w:vAlign w:val="bottom"/>
            <w:hideMark/>
          </w:tcPr>
          <w:p w14:paraId="03BB3E40" w14:textId="77777777" w:rsidR="00A21AE2" w:rsidRPr="00A21AE2" w:rsidRDefault="00A21AE2" w:rsidP="00A21AE2">
            <w:pPr>
              <w:jc w:val="center"/>
              <w:rPr>
                <w:rFonts w:ascii="Arial Narrow" w:hAnsi="Arial Narrow" w:cs="Arial"/>
                <w:color w:val="000000"/>
                <w:sz w:val="22"/>
                <w:szCs w:val="22"/>
                <w:lang w:val="mn-MN" w:eastAsia="mn-MN"/>
              </w:rPr>
            </w:pPr>
            <w:r w:rsidRPr="00A21AE2">
              <w:rPr>
                <w:rFonts w:ascii="Arial Narrow" w:hAnsi="Arial Narrow" w:cs="Arial"/>
                <w:color w:val="000000"/>
                <w:sz w:val="22"/>
                <w:szCs w:val="22"/>
                <w:lang w:val="mn-MN" w:eastAsia="mn-MN"/>
              </w:rPr>
              <w:t>Total</w:t>
            </w:r>
          </w:p>
        </w:tc>
        <w:tc>
          <w:tcPr>
            <w:tcW w:w="2366" w:type="dxa"/>
            <w:tcBorders>
              <w:top w:val="single" w:sz="4" w:space="0" w:color="auto"/>
              <w:left w:val="nil"/>
              <w:bottom w:val="single" w:sz="4" w:space="0" w:color="auto"/>
              <w:right w:val="nil"/>
            </w:tcBorders>
            <w:shd w:val="clear" w:color="auto" w:fill="auto"/>
            <w:noWrap/>
            <w:vAlign w:val="bottom"/>
            <w:hideMark/>
          </w:tcPr>
          <w:p w14:paraId="414FD8BE" w14:textId="77777777" w:rsidR="00A21AE2" w:rsidRPr="00A21AE2" w:rsidRDefault="00A21AE2" w:rsidP="00A21AE2">
            <w:pPr>
              <w:jc w:val="center"/>
              <w:rPr>
                <w:rFonts w:ascii="Arial Narrow" w:hAnsi="Arial Narrow" w:cs="Arial"/>
                <w:color w:val="000000"/>
                <w:sz w:val="22"/>
                <w:szCs w:val="22"/>
                <w:lang w:eastAsia="mn-MN"/>
              </w:rPr>
            </w:pPr>
            <w:r w:rsidRPr="00A21AE2">
              <w:rPr>
                <w:rFonts w:ascii="Arial Narrow" w:hAnsi="Arial Narrow" w:cs="Arial"/>
                <w:color w:val="000000"/>
                <w:sz w:val="22"/>
                <w:szCs w:val="22"/>
                <w:lang w:val="mn-MN" w:eastAsia="mn-MN"/>
              </w:rPr>
              <w:t>29.4</w:t>
            </w:r>
            <w:r>
              <w:rPr>
                <w:rFonts w:ascii="Arial Narrow" w:hAnsi="Arial Narrow" w:cs="Arial"/>
                <w:color w:val="000000"/>
                <w:sz w:val="22"/>
                <w:szCs w:val="22"/>
                <w:lang w:eastAsia="mn-MN"/>
              </w:rPr>
              <w:t>%</w:t>
            </w:r>
          </w:p>
        </w:tc>
        <w:tc>
          <w:tcPr>
            <w:tcW w:w="2410" w:type="dxa"/>
            <w:tcBorders>
              <w:top w:val="single" w:sz="4" w:space="0" w:color="auto"/>
              <w:left w:val="nil"/>
              <w:bottom w:val="single" w:sz="4" w:space="0" w:color="auto"/>
              <w:right w:val="nil"/>
            </w:tcBorders>
            <w:shd w:val="clear" w:color="auto" w:fill="auto"/>
            <w:noWrap/>
            <w:vAlign w:val="bottom"/>
            <w:hideMark/>
          </w:tcPr>
          <w:p w14:paraId="2F3AD368" w14:textId="77777777" w:rsidR="00A21AE2" w:rsidRPr="00A21AE2" w:rsidRDefault="00A21AE2" w:rsidP="00A21AE2">
            <w:pPr>
              <w:jc w:val="center"/>
              <w:rPr>
                <w:rFonts w:ascii="Arial Narrow" w:hAnsi="Arial Narrow" w:cs="Arial"/>
                <w:color w:val="000000"/>
                <w:sz w:val="22"/>
                <w:szCs w:val="22"/>
                <w:lang w:eastAsia="mn-MN"/>
              </w:rPr>
            </w:pPr>
            <w:r w:rsidRPr="00A21AE2">
              <w:rPr>
                <w:rFonts w:ascii="Arial Narrow" w:hAnsi="Arial Narrow" w:cs="Arial"/>
                <w:color w:val="000000"/>
                <w:sz w:val="22"/>
                <w:szCs w:val="22"/>
                <w:lang w:val="mn-MN" w:eastAsia="mn-MN"/>
              </w:rPr>
              <w:t>31.</w:t>
            </w:r>
            <w:r>
              <w:rPr>
                <w:rFonts w:ascii="Arial Narrow" w:hAnsi="Arial Narrow" w:cs="Arial"/>
                <w:color w:val="000000"/>
                <w:sz w:val="22"/>
                <w:szCs w:val="22"/>
                <w:lang w:eastAsia="mn-MN"/>
              </w:rPr>
              <w:t>7%</w:t>
            </w:r>
          </w:p>
        </w:tc>
        <w:tc>
          <w:tcPr>
            <w:tcW w:w="2904" w:type="dxa"/>
            <w:tcBorders>
              <w:top w:val="single" w:sz="4" w:space="0" w:color="auto"/>
              <w:left w:val="nil"/>
              <w:bottom w:val="single" w:sz="4" w:space="0" w:color="auto"/>
              <w:right w:val="nil"/>
            </w:tcBorders>
            <w:shd w:val="clear" w:color="auto" w:fill="auto"/>
            <w:noWrap/>
            <w:vAlign w:val="bottom"/>
            <w:hideMark/>
          </w:tcPr>
          <w:p w14:paraId="7ECD0336" w14:textId="77777777" w:rsidR="00A21AE2" w:rsidRPr="00A21AE2" w:rsidRDefault="00A21AE2" w:rsidP="00A21AE2">
            <w:pPr>
              <w:jc w:val="center"/>
              <w:rPr>
                <w:rFonts w:ascii="Arial Narrow" w:hAnsi="Arial Narrow" w:cs="Arial"/>
                <w:color w:val="000000"/>
                <w:sz w:val="22"/>
                <w:szCs w:val="22"/>
                <w:lang w:eastAsia="mn-MN"/>
              </w:rPr>
            </w:pPr>
            <w:r w:rsidRPr="00A21AE2">
              <w:rPr>
                <w:rFonts w:ascii="Arial Narrow" w:hAnsi="Arial Narrow" w:cs="Arial"/>
                <w:color w:val="000000"/>
                <w:sz w:val="22"/>
                <w:szCs w:val="22"/>
                <w:lang w:val="mn-MN" w:eastAsia="mn-MN"/>
              </w:rPr>
              <w:t>38.</w:t>
            </w:r>
            <w:r>
              <w:rPr>
                <w:rFonts w:ascii="Arial Narrow" w:hAnsi="Arial Narrow" w:cs="Arial"/>
                <w:color w:val="000000"/>
                <w:sz w:val="22"/>
                <w:szCs w:val="22"/>
                <w:lang w:eastAsia="mn-MN"/>
              </w:rPr>
              <w:t>9%</w:t>
            </w:r>
          </w:p>
        </w:tc>
      </w:tr>
    </w:tbl>
    <w:p w14:paraId="38F2911C" w14:textId="77777777" w:rsidR="003B034C" w:rsidRPr="008B7EA0" w:rsidRDefault="003B034C" w:rsidP="003B034C">
      <w:pPr>
        <w:rPr>
          <w:i/>
          <w:sz w:val="22"/>
          <w:lang w:val="en-GB"/>
        </w:rPr>
      </w:pPr>
      <w:r w:rsidRPr="008B7EA0">
        <w:rPr>
          <w:i/>
          <w:sz w:val="22"/>
          <w:lang w:val="en-GB"/>
        </w:rPr>
        <w:t>Source: Mongolia Household Socio-Economic Survey, 2012</w:t>
      </w:r>
    </w:p>
    <w:p w14:paraId="4CB5A00F" w14:textId="77777777" w:rsidR="00A21AE2" w:rsidRDefault="00A21AE2" w:rsidP="00A21AE2"/>
    <w:p w14:paraId="2836DF1D" w14:textId="22FDA55C" w:rsidR="009A68A8" w:rsidRDefault="00CD29E8" w:rsidP="00EF10DA">
      <w:pPr>
        <w:jc w:val="both"/>
        <w:rPr>
          <w:rFonts w:ascii="Arial" w:hAnsi="Arial"/>
        </w:rPr>
      </w:pPr>
      <w:r w:rsidRPr="00CD29E8">
        <w:rPr>
          <w:rFonts w:ascii="Arial" w:hAnsi="Arial"/>
        </w:rPr>
        <w:lastRenderedPageBreak/>
        <w:t xml:space="preserve">On the other hand, wealthy people benefit from clinical hospitals and specialty centers that provide tertiary </w:t>
      </w:r>
      <w:r w:rsidR="003148B5">
        <w:rPr>
          <w:rFonts w:ascii="Arial" w:hAnsi="Arial"/>
        </w:rPr>
        <w:t xml:space="preserve">level of health </w:t>
      </w:r>
      <w:r w:rsidRPr="00CD29E8">
        <w:rPr>
          <w:rFonts w:ascii="Arial" w:hAnsi="Arial"/>
        </w:rPr>
        <w:t>care</w:t>
      </w:r>
      <w:r w:rsidR="00EF10DA">
        <w:rPr>
          <w:rFonts w:ascii="Arial" w:hAnsi="Arial"/>
        </w:rPr>
        <w:t xml:space="preserve"> by</w:t>
      </w:r>
      <w:r w:rsidRPr="00CD29E8">
        <w:rPr>
          <w:rFonts w:ascii="Arial" w:hAnsi="Arial"/>
        </w:rPr>
        <w:t xml:space="preserve"> 6.3 times more than the lowest expenditure quintile. </w:t>
      </w:r>
    </w:p>
    <w:p w14:paraId="6967537B" w14:textId="77777777" w:rsidR="00DE14E1" w:rsidRPr="00EF10DA" w:rsidRDefault="00DE14E1" w:rsidP="00EF10DA">
      <w:pPr>
        <w:jc w:val="both"/>
        <w:rPr>
          <w:rFonts w:ascii="Arial" w:hAnsi="Arial"/>
        </w:rPr>
      </w:pPr>
    </w:p>
    <w:p w14:paraId="2578DD24" w14:textId="77777777" w:rsidR="000A1C2A" w:rsidRPr="007D77A0" w:rsidRDefault="007D77A0" w:rsidP="00736172">
      <w:pPr>
        <w:numPr>
          <w:ilvl w:val="0"/>
          <w:numId w:val="16"/>
        </w:numPr>
        <w:jc w:val="both"/>
        <w:rPr>
          <w:rFonts w:ascii="Arial" w:hAnsi="Arial" w:cs="Arial"/>
          <w:sz w:val="22"/>
        </w:rPr>
      </w:pPr>
      <w:r w:rsidRPr="007D77A0">
        <w:rPr>
          <w:rFonts w:ascii="Arial" w:hAnsi="Arial" w:cs="Arial"/>
          <w:sz w:val="22"/>
        </w:rPr>
        <w:t>B</w:t>
      </w:r>
      <w:r w:rsidR="000A1C2A" w:rsidRPr="007D77A0">
        <w:rPr>
          <w:rFonts w:ascii="Arial" w:hAnsi="Arial" w:cs="Arial"/>
          <w:sz w:val="22"/>
        </w:rPr>
        <w:t xml:space="preserve">enefit </w:t>
      </w:r>
      <w:r w:rsidRPr="007D77A0">
        <w:rPr>
          <w:rFonts w:ascii="Arial" w:hAnsi="Arial" w:cs="Arial"/>
          <w:sz w:val="22"/>
        </w:rPr>
        <w:t xml:space="preserve">and </w:t>
      </w:r>
      <w:r w:rsidR="000A1C2A" w:rsidRPr="007D77A0">
        <w:rPr>
          <w:rFonts w:ascii="Arial" w:hAnsi="Arial" w:cs="Arial"/>
          <w:sz w:val="22"/>
        </w:rPr>
        <w:t xml:space="preserve">incidences </w:t>
      </w:r>
      <w:r w:rsidRPr="007D77A0">
        <w:rPr>
          <w:rFonts w:ascii="Arial" w:hAnsi="Arial" w:cs="Arial"/>
          <w:sz w:val="22"/>
        </w:rPr>
        <w:t xml:space="preserve">of government expenditure on health </w:t>
      </w:r>
      <w:r w:rsidR="000A1C2A" w:rsidRPr="007D77A0">
        <w:rPr>
          <w:rFonts w:ascii="Arial" w:hAnsi="Arial" w:cs="Arial"/>
          <w:sz w:val="22"/>
        </w:rPr>
        <w:t xml:space="preserve">by </w:t>
      </w:r>
      <w:r w:rsidR="00C16568" w:rsidRPr="007D77A0">
        <w:rPr>
          <w:rFonts w:ascii="Arial" w:hAnsi="Arial" w:cs="Arial"/>
          <w:sz w:val="22"/>
        </w:rPr>
        <w:t>type</w:t>
      </w:r>
      <w:r w:rsidR="00CD29E8">
        <w:rPr>
          <w:rFonts w:ascii="Arial" w:hAnsi="Arial" w:cs="Arial"/>
          <w:sz w:val="22"/>
        </w:rPr>
        <w:t>s</w:t>
      </w:r>
      <w:r w:rsidR="00C16568" w:rsidRPr="007D77A0">
        <w:rPr>
          <w:rFonts w:ascii="Arial" w:hAnsi="Arial" w:cs="Arial"/>
          <w:sz w:val="22"/>
        </w:rPr>
        <w:t xml:space="preserve"> of services </w:t>
      </w:r>
    </w:p>
    <w:p w14:paraId="28C86946" w14:textId="77777777" w:rsidR="007D77A0" w:rsidRDefault="007D77A0" w:rsidP="006F4BF6">
      <w:pPr>
        <w:jc w:val="both"/>
      </w:pPr>
    </w:p>
    <w:p w14:paraId="2B7B68F0" w14:textId="6FCA0BBB" w:rsidR="006F4BF6" w:rsidRPr="006F4BF6" w:rsidRDefault="006F4BF6" w:rsidP="000A1C2A">
      <w:pPr>
        <w:jc w:val="both"/>
        <w:rPr>
          <w:rFonts w:ascii="Arial" w:hAnsi="Arial" w:cs="Arial"/>
        </w:rPr>
      </w:pPr>
      <w:r w:rsidRPr="006F4BF6">
        <w:rPr>
          <w:rFonts w:ascii="Arial" w:hAnsi="Arial" w:cs="Arial"/>
        </w:rPr>
        <w:t xml:space="preserve">The benefits </w:t>
      </w:r>
      <w:r w:rsidR="009C21B8">
        <w:rPr>
          <w:rFonts w:ascii="Arial" w:hAnsi="Arial" w:cs="Arial"/>
        </w:rPr>
        <w:t xml:space="preserve">from government spending </w:t>
      </w:r>
      <w:r w:rsidRPr="006F4BF6">
        <w:rPr>
          <w:rFonts w:ascii="Arial" w:hAnsi="Arial" w:cs="Arial"/>
        </w:rPr>
        <w:t xml:space="preserve">in outpatient and inpatient care </w:t>
      </w:r>
      <w:r>
        <w:rPr>
          <w:rFonts w:ascii="Arial" w:hAnsi="Arial" w:cs="Arial"/>
        </w:rPr>
        <w:t>increased as expenditure quintiles go up</w:t>
      </w:r>
      <w:r w:rsidR="009A68A8">
        <w:rPr>
          <w:rFonts w:ascii="Arial" w:hAnsi="Arial" w:cs="Arial"/>
        </w:rPr>
        <w:t xml:space="preserve"> (Figure 19)</w:t>
      </w:r>
      <w:r>
        <w:rPr>
          <w:rFonts w:ascii="Arial" w:hAnsi="Arial" w:cs="Arial"/>
        </w:rPr>
        <w:t xml:space="preserve">. </w:t>
      </w:r>
    </w:p>
    <w:p w14:paraId="3875961B" w14:textId="77777777" w:rsidR="006F4BF6" w:rsidRDefault="006F4BF6" w:rsidP="000A1C2A">
      <w:pPr>
        <w:jc w:val="both"/>
      </w:pPr>
    </w:p>
    <w:p w14:paraId="7EA2BCA1" w14:textId="54C819FD" w:rsidR="006F4BF6" w:rsidRPr="00327F97" w:rsidRDefault="006F4BF6" w:rsidP="00327F97">
      <w:pPr>
        <w:jc w:val="center"/>
        <w:rPr>
          <w:rFonts w:ascii="Arial" w:hAnsi="Arial" w:cs="Arial"/>
          <w:sz w:val="22"/>
          <w:szCs w:val="22"/>
        </w:rPr>
      </w:pPr>
      <w:bookmarkStart w:id="60" w:name="_Toc310170126"/>
      <w:r w:rsidRPr="0016795F">
        <w:rPr>
          <w:rFonts w:ascii="Arial" w:hAnsi="Arial" w:cs="Arial"/>
          <w:sz w:val="22"/>
          <w:szCs w:val="22"/>
        </w:rPr>
        <w:t xml:space="preserve">Figure </w:t>
      </w:r>
      <w:r w:rsidR="00CB191B" w:rsidRPr="0016795F">
        <w:rPr>
          <w:rFonts w:ascii="Arial" w:hAnsi="Arial" w:cs="Arial"/>
          <w:sz w:val="22"/>
          <w:szCs w:val="22"/>
        </w:rPr>
        <w:fldChar w:fldCharType="begin"/>
      </w:r>
      <w:r w:rsidRPr="0016795F">
        <w:rPr>
          <w:rFonts w:ascii="Arial" w:hAnsi="Arial" w:cs="Arial"/>
          <w:sz w:val="22"/>
          <w:szCs w:val="22"/>
        </w:rPr>
        <w:instrText xml:space="preserve"> SEQ Figure \* ARABIC </w:instrText>
      </w:r>
      <w:r w:rsidR="00CB191B" w:rsidRPr="0016795F">
        <w:rPr>
          <w:rFonts w:ascii="Arial" w:hAnsi="Arial" w:cs="Arial"/>
          <w:sz w:val="22"/>
          <w:szCs w:val="22"/>
        </w:rPr>
        <w:fldChar w:fldCharType="separate"/>
      </w:r>
      <w:r w:rsidR="009A68A8">
        <w:rPr>
          <w:rFonts w:ascii="Arial" w:hAnsi="Arial" w:cs="Arial"/>
          <w:noProof/>
          <w:sz w:val="22"/>
          <w:szCs w:val="22"/>
        </w:rPr>
        <w:t>19</w:t>
      </w:r>
      <w:r w:rsidR="00CB191B" w:rsidRPr="0016795F">
        <w:rPr>
          <w:rFonts w:ascii="Arial" w:hAnsi="Arial" w:cs="Arial"/>
          <w:sz w:val="22"/>
          <w:szCs w:val="22"/>
        </w:rPr>
        <w:fldChar w:fldCharType="end"/>
      </w:r>
      <w:r w:rsidRPr="0016795F">
        <w:rPr>
          <w:rFonts w:ascii="Arial" w:hAnsi="Arial" w:cs="Arial"/>
          <w:sz w:val="22"/>
          <w:szCs w:val="22"/>
        </w:rPr>
        <w:t xml:space="preserve">: Percentage share of </w:t>
      </w:r>
      <w:r>
        <w:rPr>
          <w:rFonts w:ascii="Arial" w:hAnsi="Arial" w:cs="Arial"/>
          <w:sz w:val="22"/>
          <w:szCs w:val="22"/>
        </w:rPr>
        <w:t>government</w:t>
      </w:r>
      <w:r w:rsidRPr="0016795F">
        <w:rPr>
          <w:rFonts w:ascii="Arial" w:hAnsi="Arial" w:cs="Arial"/>
          <w:sz w:val="22"/>
          <w:szCs w:val="22"/>
        </w:rPr>
        <w:t xml:space="preserve"> benefits</w:t>
      </w:r>
      <w:r>
        <w:rPr>
          <w:rFonts w:ascii="Arial" w:hAnsi="Arial" w:cs="Arial"/>
          <w:sz w:val="22"/>
          <w:szCs w:val="22"/>
        </w:rPr>
        <w:t xml:space="preserve"> by</w:t>
      </w:r>
      <w:r w:rsidRPr="0016795F">
        <w:rPr>
          <w:rFonts w:ascii="Arial" w:hAnsi="Arial" w:cs="Arial"/>
          <w:sz w:val="22"/>
          <w:szCs w:val="22"/>
        </w:rPr>
        <w:t xml:space="preserve"> outpatient and inpatient </w:t>
      </w:r>
      <w:r>
        <w:rPr>
          <w:rFonts w:ascii="Arial" w:hAnsi="Arial" w:cs="Arial"/>
          <w:sz w:val="22"/>
          <w:szCs w:val="22"/>
        </w:rPr>
        <w:t>care and expenditure quintile</w:t>
      </w:r>
      <w:r w:rsidR="005947B5">
        <w:rPr>
          <w:rFonts w:ascii="Arial" w:hAnsi="Arial" w:cs="Arial"/>
          <w:sz w:val="22"/>
          <w:szCs w:val="22"/>
        </w:rPr>
        <w:t>,</w:t>
      </w:r>
      <w:r w:rsidR="009C21B8">
        <w:rPr>
          <w:rFonts w:ascii="Arial" w:hAnsi="Arial" w:cs="Arial"/>
          <w:sz w:val="22"/>
          <w:szCs w:val="22"/>
        </w:rPr>
        <w:t xml:space="preserve"> </w:t>
      </w:r>
      <w:r w:rsidR="005947B5">
        <w:rPr>
          <w:rFonts w:ascii="Arial" w:hAnsi="Arial" w:cs="Arial"/>
          <w:sz w:val="22"/>
          <w:szCs w:val="22"/>
        </w:rPr>
        <w:t>2012</w:t>
      </w:r>
      <w:bookmarkEnd w:id="60"/>
    </w:p>
    <w:p w14:paraId="442B78D4" w14:textId="394B5801" w:rsidR="006F4BF6" w:rsidRDefault="00DE14E1" w:rsidP="00BC1616">
      <w:pPr>
        <w:ind w:left="360"/>
        <w:jc w:val="center"/>
      </w:pPr>
      <w:r w:rsidRPr="00DE14E1">
        <w:rPr>
          <w:noProof/>
        </w:rPr>
        <w:drawing>
          <wp:inline distT="0" distB="0" distL="0" distR="0" wp14:anchorId="3B88094C" wp14:editId="7076DE94">
            <wp:extent cx="5490210" cy="2515013"/>
            <wp:effectExtent l="0" t="0" r="0" b="0"/>
            <wp:docPr id="4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490210" cy="2515013"/>
                    </a:xfrm>
                    <a:prstGeom prst="rect">
                      <a:avLst/>
                    </a:prstGeom>
                    <a:noFill/>
                    <a:ln>
                      <a:noFill/>
                    </a:ln>
                  </pic:spPr>
                </pic:pic>
              </a:graphicData>
            </a:graphic>
          </wp:inline>
        </w:drawing>
      </w:r>
    </w:p>
    <w:p w14:paraId="52C73F19" w14:textId="77777777" w:rsidR="00BC1616" w:rsidRPr="008B7EA0" w:rsidRDefault="00BC1616" w:rsidP="00BC1616">
      <w:pPr>
        <w:rPr>
          <w:i/>
          <w:sz w:val="22"/>
          <w:lang w:val="en-GB"/>
        </w:rPr>
      </w:pPr>
      <w:r>
        <w:rPr>
          <w:i/>
          <w:sz w:val="22"/>
          <w:lang w:val="en-GB"/>
        </w:rPr>
        <w:t xml:space="preserve">        </w:t>
      </w:r>
      <w:r w:rsidRPr="008B7EA0">
        <w:rPr>
          <w:i/>
          <w:sz w:val="22"/>
          <w:lang w:val="en-GB"/>
        </w:rPr>
        <w:t>Source: Mongolia Household Socio-Economic Survey, 2012</w:t>
      </w:r>
    </w:p>
    <w:p w14:paraId="40CC7301" w14:textId="77777777" w:rsidR="006F4BF6" w:rsidRDefault="006F4BF6" w:rsidP="006F4BF6">
      <w:pPr>
        <w:jc w:val="both"/>
        <w:rPr>
          <w:lang w:val="en-GB"/>
        </w:rPr>
      </w:pPr>
    </w:p>
    <w:p w14:paraId="64257CAB" w14:textId="77777777" w:rsidR="000D0B06" w:rsidRDefault="000D0B06" w:rsidP="006F4BF6">
      <w:pPr>
        <w:jc w:val="both"/>
        <w:rPr>
          <w:lang w:val="en-GB"/>
        </w:rPr>
      </w:pPr>
    </w:p>
    <w:p w14:paraId="7E64CDCB" w14:textId="02524691" w:rsidR="006F4BF6" w:rsidRPr="00947050" w:rsidRDefault="000D0B06" w:rsidP="00736172">
      <w:pPr>
        <w:numPr>
          <w:ilvl w:val="0"/>
          <w:numId w:val="16"/>
        </w:numPr>
        <w:jc w:val="both"/>
        <w:rPr>
          <w:rFonts w:ascii="Arial" w:hAnsi="Arial"/>
          <w:sz w:val="22"/>
        </w:rPr>
      </w:pPr>
      <w:r>
        <w:rPr>
          <w:rFonts w:ascii="Arial" w:hAnsi="Arial"/>
          <w:sz w:val="22"/>
        </w:rPr>
        <w:t>Estimation</w:t>
      </w:r>
      <w:r w:rsidR="006F4BF6" w:rsidRPr="00947050">
        <w:rPr>
          <w:rFonts w:ascii="Arial" w:hAnsi="Arial"/>
          <w:sz w:val="22"/>
        </w:rPr>
        <w:t xml:space="preserve"> of distribution of benefits. </w:t>
      </w:r>
    </w:p>
    <w:p w14:paraId="7C37DC2E" w14:textId="77777777" w:rsidR="006F4BF6" w:rsidRDefault="006F4BF6" w:rsidP="006F4BF6">
      <w:pPr>
        <w:jc w:val="both"/>
      </w:pPr>
    </w:p>
    <w:p w14:paraId="0606BF3C" w14:textId="3CB4799E" w:rsidR="006F4BF6" w:rsidRPr="006F4BF6" w:rsidRDefault="006F4BF6" w:rsidP="006F4BF6">
      <w:pPr>
        <w:jc w:val="both"/>
      </w:pPr>
      <w:r w:rsidRPr="006F4BF6">
        <w:rPr>
          <w:rFonts w:ascii="Arial" w:hAnsi="Arial" w:cs="Arial"/>
        </w:rPr>
        <w:t xml:space="preserve">On average, per capita government subsidy was 6157 MNT in 2012. One third of total per capita subsidy </w:t>
      </w:r>
      <w:r w:rsidR="0031333B">
        <w:rPr>
          <w:rFonts w:ascii="Arial" w:hAnsi="Arial" w:cs="Arial"/>
        </w:rPr>
        <w:t>spent</w:t>
      </w:r>
      <w:r w:rsidRPr="006F4BF6">
        <w:rPr>
          <w:rFonts w:ascii="Arial" w:hAnsi="Arial" w:cs="Arial"/>
        </w:rPr>
        <w:t xml:space="preserve"> for outpatient care and the rest for inpatient care. The costing studies do not provide disaggregation of data for </w:t>
      </w:r>
      <w:r w:rsidR="00EF10DA">
        <w:rPr>
          <w:rFonts w:ascii="Arial" w:hAnsi="Arial" w:cs="Arial"/>
        </w:rPr>
        <w:t xml:space="preserve">ancillary </w:t>
      </w:r>
      <w:r w:rsidRPr="006F4BF6">
        <w:rPr>
          <w:rFonts w:ascii="Arial" w:hAnsi="Arial" w:cs="Arial"/>
        </w:rPr>
        <w:t>and other services such as medicine</w:t>
      </w:r>
      <w:r w:rsidR="00327F97">
        <w:rPr>
          <w:rFonts w:ascii="Arial" w:hAnsi="Arial" w:cs="Arial"/>
        </w:rPr>
        <w:t xml:space="preserve"> (Table 21</w:t>
      </w:r>
      <w:r w:rsidR="009A68A8">
        <w:rPr>
          <w:rFonts w:ascii="Arial" w:hAnsi="Arial" w:cs="Arial"/>
        </w:rPr>
        <w:t>)</w:t>
      </w:r>
      <w:r w:rsidRPr="006F4BF6">
        <w:rPr>
          <w:rFonts w:ascii="Arial" w:hAnsi="Arial" w:cs="Arial"/>
        </w:rPr>
        <w:t>.</w:t>
      </w:r>
    </w:p>
    <w:p w14:paraId="4BE31146" w14:textId="77777777" w:rsidR="005B3A94" w:rsidRDefault="005B3A94" w:rsidP="002A7DD5">
      <w:pPr>
        <w:pStyle w:val="Caption"/>
        <w:spacing w:after="0"/>
        <w:rPr>
          <w:rFonts w:ascii="Arial" w:hAnsi="Arial" w:cs="Arial"/>
          <w:b w:val="0"/>
          <w:sz w:val="22"/>
          <w:szCs w:val="22"/>
        </w:rPr>
      </w:pPr>
    </w:p>
    <w:p w14:paraId="611A9846" w14:textId="77777777" w:rsidR="006F4BF6" w:rsidRPr="00F04E27" w:rsidRDefault="006F4BF6" w:rsidP="006F4BF6">
      <w:pPr>
        <w:pStyle w:val="Caption"/>
        <w:rPr>
          <w:rFonts w:ascii="Arial" w:hAnsi="Arial" w:cs="Arial"/>
          <w:b w:val="0"/>
          <w:sz w:val="22"/>
          <w:szCs w:val="22"/>
        </w:rPr>
      </w:pPr>
      <w:bookmarkStart w:id="61" w:name="_Toc310170104"/>
      <w:r w:rsidRPr="00F04E27">
        <w:rPr>
          <w:rFonts w:ascii="Arial" w:hAnsi="Arial" w:cs="Arial"/>
          <w:b w:val="0"/>
          <w:sz w:val="22"/>
          <w:szCs w:val="22"/>
        </w:rPr>
        <w:t xml:space="preserve">Table </w:t>
      </w:r>
      <w:r w:rsidR="00CB191B" w:rsidRPr="00F04E27">
        <w:rPr>
          <w:rFonts w:ascii="Arial" w:hAnsi="Arial" w:cs="Arial"/>
          <w:b w:val="0"/>
          <w:sz w:val="22"/>
          <w:szCs w:val="22"/>
        </w:rPr>
        <w:fldChar w:fldCharType="begin"/>
      </w:r>
      <w:r w:rsidRPr="00F04E27">
        <w:rPr>
          <w:rFonts w:ascii="Arial" w:hAnsi="Arial" w:cs="Arial"/>
          <w:b w:val="0"/>
          <w:sz w:val="22"/>
          <w:szCs w:val="22"/>
        </w:rPr>
        <w:instrText xml:space="preserve"> SEQ Table \* ARABIC </w:instrText>
      </w:r>
      <w:r w:rsidR="00CB191B" w:rsidRPr="00F04E27">
        <w:rPr>
          <w:rFonts w:ascii="Arial" w:hAnsi="Arial" w:cs="Arial"/>
          <w:b w:val="0"/>
          <w:sz w:val="22"/>
          <w:szCs w:val="22"/>
        </w:rPr>
        <w:fldChar w:fldCharType="separate"/>
      </w:r>
      <w:r w:rsidR="00327F97">
        <w:rPr>
          <w:rFonts w:ascii="Arial" w:hAnsi="Arial" w:cs="Arial"/>
          <w:b w:val="0"/>
          <w:noProof/>
          <w:sz w:val="22"/>
          <w:szCs w:val="22"/>
        </w:rPr>
        <w:t>21</w:t>
      </w:r>
      <w:r w:rsidR="00CB191B" w:rsidRPr="00F04E27">
        <w:rPr>
          <w:rFonts w:ascii="Arial" w:hAnsi="Arial" w:cs="Arial"/>
          <w:b w:val="0"/>
          <w:sz w:val="22"/>
          <w:szCs w:val="22"/>
        </w:rPr>
        <w:fldChar w:fldCharType="end"/>
      </w:r>
      <w:r w:rsidRPr="00F04E27">
        <w:rPr>
          <w:rFonts w:ascii="Arial" w:hAnsi="Arial" w:cs="Arial"/>
          <w:b w:val="0"/>
          <w:sz w:val="22"/>
          <w:szCs w:val="22"/>
        </w:rPr>
        <w:t xml:space="preserve">: Mean per capita benefit in health by </w:t>
      </w:r>
      <w:r w:rsidRPr="00F04E27">
        <w:rPr>
          <w:rFonts w:ascii="Arial" w:hAnsi="Arial" w:cs="Arial"/>
          <w:b w:val="0"/>
          <w:sz w:val="22"/>
          <w:szCs w:val="22"/>
          <w:lang w:val="en-GB"/>
        </w:rPr>
        <w:t>types of health services</w:t>
      </w:r>
      <w:r w:rsidR="005947B5">
        <w:rPr>
          <w:rFonts w:ascii="Arial" w:hAnsi="Arial" w:cs="Arial"/>
          <w:b w:val="0"/>
          <w:sz w:val="22"/>
          <w:szCs w:val="22"/>
          <w:lang w:val="en-GB"/>
        </w:rPr>
        <w:t>,</w:t>
      </w:r>
      <w:r w:rsidR="002A7DD5">
        <w:rPr>
          <w:rFonts w:ascii="Arial" w:hAnsi="Arial" w:cs="Arial"/>
          <w:b w:val="0"/>
          <w:sz w:val="22"/>
          <w:szCs w:val="22"/>
          <w:lang w:val="en-GB"/>
        </w:rPr>
        <w:t xml:space="preserve"> </w:t>
      </w:r>
      <w:r w:rsidR="005947B5">
        <w:rPr>
          <w:rFonts w:ascii="Arial" w:hAnsi="Arial" w:cs="Arial"/>
          <w:b w:val="0"/>
          <w:sz w:val="22"/>
          <w:szCs w:val="22"/>
          <w:lang w:val="en-GB"/>
        </w:rPr>
        <w:t>2012</w:t>
      </w:r>
      <w:bookmarkEnd w:id="61"/>
    </w:p>
    <w:tbl>
      <w:tblPr>
        <w:tblW w:w="7579" w:type="dxa"/>
        <w:tblInd w:w="100" w:type="dxa"/>
        <w:tblLook w:val="04A0" w:firstRow="1" w:lastRow="0" w:firstColumn="1" w:lastColumn="0" w:noHBand="0" w:noVBand="1"/>
      </w:tblPr>
      <w:tblGrid>
        <w:gridCol w:w="3127"/>
        <w:gridCol w:w="1080"/>
        <w:gridCol w:w="1212"/>
        <w:gridCol w:w="1080"/>
        <w:gridCol w:w="1080"/>
      </w:tblGrid>
      <w:tr w:rsidR="006F4BF6" w:rsidRPr="00DF1A38" w14:paraId="455F6C39" w14:textId="77777777" w:rsidTr="009712D5">
        <w:trPr>
          <w:trHeight w:val="315"/>
        </w:trPr>
        <w:tc>
          <w:tcPr>
            <w:tcW w:w="3127" w:type="dxa"/>
            <w:tcBorders>
              <w:top w:val="single" w:sz="4" w:space="0" w:color="auto"/>
              <w:left w:val="nil"/>
              <w:bottom w:val="nil"/>
              <w:right w:val="nil"/>
            </w:tcBorders>
            <w:shd w:val="clear" w:color="auto" w:fill="auto"/>
            <w:noWrap/>
            <w:vAlign w:val="bottom"/>
            <w:hideMark/>
          </w:tcPr>
          <w:p w14:paraId="54509A35" w14:textId="77777777" w:rsidR="006F4BF6" w:rsidRPr="006F4BF6" w:rsidRDefault="006F4BF6" w:rsidP="009712D5">
            <w:pPr>
              <w:rPr>
                <w:rFonts w:ascii="Arial Narrow" w:hAnsi="Arial Narrow"/>
                <w:color w:val="000000"/>
                <w:sz w:val="20"/>
                <w:szCs w:val="22"/>
                <w:lang w:val="mn-MN" w:eastAsia="mn-MN"/>
              </w:rPr>
            </w:pPr>
          </w:p>
        </w:tc>
        <w:tc>
          <w:tcPr>
            <w:tcW w:w="1080" w:type="dxa"/>
            <w:tcBorders>
              <w:top w:val="single" w:sz="4" w:space="0" w:color="auto"/>
              <w:left w:val="nil"/>
              <w:bottom w:val="nil"/>
              <w:right w:val="nil"/>
            </w:tcBorders>
            <w:shd w:val="clear" w:color="auto" w:fill="auto"/>
            <w:noWrap/>
            <w:vAlign w:val="bottom"/>
            <w:hideMark/>
          </w:tcPr>
          <w:p w14:paraId="3338C8DC" w14:textId="77777777" w:rsidR="006F4BF6" w:rsidRPr="006F4BF6" w:rsidRDefault="006F4BF6" w:rsidP="009712D5">
            <w:pPr>
              <w:rPr>
                <w:rFonts w:ascii="Arial Narrow" w:hAnsi="Arial Narrow"/>
                <w:color w:val="000000"/>
                <w:sz w:val="20"/>
                <w:szCs w:val="22"/>
                <w:lang w:val="mn-MN" w:eastAsia="mn-MN"/>
              </w:rPr>
            </w:pPr>
          </w:p>
        </w:tc>
        <w:tc>
          <w:tcPr>
            <w:tcW w:w="1212" w:type="dxa"/>
            <w:tcBorders>
              <w:top w:val="single" w:sz="4" w:space="0" w:color="auto"/>
              <w:left w:val="nil"/>
              <w:bottom w:val="nil"/>
              <w:right w:val="nil"/>
            </w:tcBorders>
            <w:shd w:val="clear" w:color="auto" w:fill="auto"/>
            <w:noWrap/>
            <w:vAlign w:val="bottom"/>
            <w:hideMark/>
          </w:tcPr>
          <w:p w14:paraId="247E5F17" w14:textId="77777777" w:rsidR="006F4BF6" w:rsidRPr="006F4BF6" w:rsidRDefault="006F4BF6" w:rsidP="009712D5">
            <w:pPr>
              <w:rPr>
                <w:rFonts w:ascii="Arial Narrow" w:hAnsi="Arial Narrow"/>
                <w:color w:val="000000"/>
                <w:sz w:val="20"/>
                <w:szCs w:val="22"/>
                <w:lang w:val="mn-MN" w:eastAsia="mn-MN"/>
              </w:rPr>
            </w:pPr>
            <w:r w:rsidRPr="006F4BF6">
              <w:rPr>
                <w:rFonts w:ascii="Arial Narrow" w:hAnsi="Arial Narrow"/>
                <w:color w:val="000000"/>
                <w:sz w:val="20"/>
                <w:szCs w:val="22"/>
                <w:lang w:val="mn-MN" w:eastAsia="mn-MN"/>
              </w:rPr>
              <w:t>Linearized</w:t>
            </w:r>
          </w:p>
        </w:tc>
        <w:tc>
          <w:tcPr>
            <w:tcW w:w="1080" w:type="dxa"/>
            <w:tcBorders>
              <w:top w:val="single" w:sz="4" w:space="0" w:color="auto"/>
              <w:left w:val="nil"/>
              <w:bottom w:val="nil"/>
              <w:right w:val="nil"/>
            </w:tcBorders>
            <w:shd w:val="clear" w:color="auto" w:fill="auto"/>
            <w:noWrap/>
            <w:vAlign w:val="bottom"/>
            <w:hideMark/>
          </w:tcPr>
          <w:p w14:paraId="1F12AD8E" w14:textId="77777777" w:rsidR="006F4BF6" w:rsidRPr="006F4BF6" w:rsidRDefault="006F4BF6" w:rsidP="009712D5">
            <w:pPr>
              <w:rPr>
                <w:rFonts w:ascii="Arial Narrow" w:hAnsi="Arial Narrow"/>
                <w:color w:val="000000"/>
                <w:sz w:val="20"/>
                <w:szCs w:val="22"/>
                <w:lang w:val="mn-MN" w:eastAsia="mn-MN"/>
              </w:rPr>
            </w:pPr>
          </w:p>
        </w:tc>
        <w:tc>
          <w:tcPr>
            <w:tcW w:w="1080" w:type="dxa"/>
            <w:tcBorders>
              <w:top w:val="single" w:sz="4" w:space="0" w:color="auto"/>
              <w:left w:val="nil"/>
              <w:bottom w:val="nil"/>
              <w:right w:val="nil"/>
            </w:tcBorders>
            <w:shd w:val="clear" w:color="auto" w:fill="auto"/>
            <w:noWrap/>
            <w:vAlign w:val="bottom"/>
            <w:hideMark/>
          </w:tcPr>
          <w:p w14:paraId="2A98DCE8" w14:textId="77777777" w:rsidR="006F4BF6" w:rsidRPr="006F4BF6" w:rsidRDefault="006F4BF6" w:rsidP="009712D5">
            <w:pPr>
              <w:rPr>
                <w:rFonts w:ascii="Arial Narrow" w:hAnsi="Arial Narrow"/>
                <w:color w:val="000000"/>
                <w:sz w:val="20"/>
                <w:szCs w:val="22"/>
                <w:lang w:val="mn-MN" w:eastAsia="mn-MN"/>
              </w:rPr>
            </w:pPr>
          </w:p>
        </w:tc>
      </w:tr>
      <w:tr w:rsidR="006F4BF6" w:rsidRPr="00DF1A38" w14:paraId="39C297CB" w14:textId="77777777" w:rsidTr="009712D5">
        <w:trPr>
          <w:trHeight w:val="315"/>
        </w:trPr>
        <w:tc>
          <w:tcPr>
            <w:tcW w:w="3127" w:type="dxa"/>
            <w:tcBorders>
              <w:top w:val="nil"/>
              <w:left w:val="nil"/>
              <w:bottom w:val="single" w:sz="4" w:space="0" w:color="auto"/>
              <w:right w:val="nil"/>
            </w:tcBorders>
            <w:shd w:val="clear" w:color="auto" w:fill="auto"/>
            <w:noWrap/>
            <w:vAlign w:val="bottom"/>
            <w:hideMark/>
          </w:tcPr>
          <w:p w14:paraId="78C7AC88" w14:textId="77777777" w:rsidR="006F4BF6" w:rsidRPr="006F4BF6" w:rsidRDefault="006F4BF6" w:rsidP="009712D5">
            <w:pPr>
              <w:rPr>
                <w:rFonts w:ascii="Arial Narrow" w:hAnsi="Arial Narrow"/>
                <w:color w:val="000000"/>
                <w:sz w:val="20"/>
                <w:szCs w:val="22"/>
                <w:lang w:val="mn-MN" w:eastAsia="mn-MN"/>
              </w:rPr>
            </w:pPr>
          </w:p>
        </w:tc>
        <w:tc>
          <w:tcPr>
            <w:tcW w:w="1080" w:type="dxa"/>
            <w:tcBorders>
              <w:top w:val="nil"/>
              <w:left w:val="nil"/>
              <w:bottom w:val="single" w:sz="4" w:space="0" w:color="auto"/>
              <w:right w:val="nil"/>
            </w:tcBorders>
            <w:shd w:val="clear" w:color="auto" w:fill="auto"/>
            <w:noWrap/>
            <w:vAlign w:val="bottom"/>
            <w:hideMark/>
          </w:tcPr>
          <w:p w14:paraId="1F32D7D7" w14:textId="77777777" w:rsidR="006F4BF6" w:rsidRPr="006F4BF6" w:rsidRDefault="006F4BF6" w:rsidP="009712D5">
            <w:pPr>
              <w:rPr>
                <w:rFonts w:ascii="Arial Narrow" w:hAnsi="Arial Narrow"/>
                <w:color w:val="000000"/>
                <w:sz w:val="20"/>
                <w:szCs w:val="22"/>
                <w:lang w:val="mn-MN" w:eastAsia="mn-MN"/>
              </w:rPr>
            </w:pPr>
            <w:r w:rsidRPr="006F4BF6">
              <w:rPr>
                <w:rFonts w:ascii="Arial Narrow" w:hAnsi="Arial Narrow"/>
                <w:color w:val="000000"/>
                <w:sz w:val="20"/>
                <w:szCs w:val="22"/>
                <w:lang w:val="mn-MN" w:eastAsia="mn-MN"/>
              </w:rPr>
              <w:t>Mean</w:t>
            </w:r>
          </w:p>
        </w:tc>
        <w:tc>
          <w:tcPr>
            <w:tcW w:w="1212" w:type="dxa"/>
            <w:tcBorders>
              <w:top w:val="nil"/>
              <w:left w:val="nil"/>
              <w:bottom w:val="single" w:sz="4" w:space="0" w:color="auto"/>
              <w:right w:val="nil"/>
            </w:tcBorders>
            <w:shd w:val="clear" w:color="auto" w:fill="auto"/>
            <w:noWrap/>
            <w:vAlign w:val="bottom"/>
            <w:hideMark/>
          </w:tcPr>
          <w:p w14:paraId="7C8F2573" w14:textId="77777777" w:rsidR="006F4BF6" w:rsidRPr="006F4BF6" w:rsidRDefault="006F4BF6" w:rsidP="009712D5">
            <w:pPr>
              <w:rPr>
                <w:rFonts w:ascii="Arial Narrow" w:hAnsi="Arial Narrow"/>
                <w:color w:val="000000"/>
                <w:sz w:val="20"/>
                <w:szCs w:val="22"/>
                <w:lang w:val="mn-MN" w:eastAsia="mn-MN"/>
              </w:rPr>
            </w:pPr>
            <w:r w:rsidRPr="006F4BF6">
              <w:rPr>
                <w:rFonts w:ascii="Arial Narrow" w:hAnsi="Arial Narrow"/>
                <w:color w:val="000000"/>
                <w:sz w:val="20"/>
                <w:szCs w:val="22"/>
                <w:lang w:val="mn-MN" w:eastAsia="mn-MN"/>
              </w:rPr>
              <w:t>Std. Err.</w:t>
            </w:r>
          </w:p>
        </w:tc>
        <w:tc>
          <w:tcPr>
            <w:tcW w:w="1080" w:type="dxa"/>
            <w:tcBorders>
              <w:top w:val="nil"/>
              <w:left w:val="nil"/>
              <w:bottom w:val="single" w:sz="4" w:space="0" w:color="auto"/>
              <w:right w:val="nil"/>
            </w:tcBorders>
            <w:shd w:val="clear" w:color="auto" w:fill="auto"/>
            <w:noWrap/>
            <w:vAlign w:val="bottom"/>
            <w:hideMark/>
          </w:tcPr>
          <w:p w14:paraId="1A9C9E85" w14:textId="77777777" w:rsidR="006F4BF6" w:rsidRPr="006F4BF6" w:rsidRDefault="006F4BF6" w:rsidP="009712D5">
            <w:pPr>
              <w:rPr>
                <w:rFonts w:ascii="Arial Narrow" w:hAnsi="Arial Narrow"/>
                <w:color w:val="000000"/>
                <w:sz w:val="20"/>
                <w:szCs w:val="22"/>
                <w:lang w:val="mn-MN" w:eastAsia="mn-MN"/>
              </w:rPr>
            </w:pPr>
            <w:r w:rsidRPr="006F4BF6">
              <w:rPr>
                <w:rFonts w:ascii="Arial Narrow" w:hAnsi="Arial Narrow"/>
                <w:color w:val="000000"/>
                <w:sz w:val="20"/>
                <w:szCs w:val="22"/>
                <w:lang w:val="mn-MN" w:eastAsia="mn-MN"/>
              </w:rPr>
              <w:t>[95% Conf.</w:t>
            </w:r>
          </w:p>
        </w:tc>
        <w:tc>
          <w:tcPr>
            <w:tcW w:w="1080" w:type="dxa"/>
            <w:tcBorders>
              <w:top w:val="nil"/>
              <w:left w:val="nil"/>
              <w:bottom w:val="single" w:sz="4" w:space="0" w:color="auto"/>
              <w:right w:val="nil"/>
            </w:tcBorders>
            <w:shd w:val="clear" w:color="auto" w:fill="auto"/>
            <w:noWrap/>
            <w:vAlign w:val="bottom"/>
            <w:hideMark/>
          </w:tcPr>
          <w:p w14:paraId="057A23F8" w14:textId="77777777" w:rsidR="006F4BF6" w:rsidRPr="006F4BF6" w:rsidRDefault="006F4BF6" w:rsidP="009712D5">
            <w:pPr>
              <w:rPr>
                <w:rFonts w:ascii="Arial Narrow" w:hAnsi="Arial Narrow"/>
                <w:color w:val="000000"/>
                <w:sz w:val="20"/>
                <w:szCs w:val="22"/>
                <w:lang w:val="mn-MN" w:eastAsia="mn-MN"/>
              </w:rPr>
            </w:pPr>
            <w:r w:rsidRPr="006F4BF6">
              <w:rPr>
                <w:rFonts w:ascii="Arial Narrow" w:hAnsi="Arial Narrow"/>
                <w:color w:val="000000"/>
                <w:sz w:val="20"/>
                <w:szCs w:val="22"/>
                <w:lang w:val="mn-MN" w:eastAsia="mn-MN"/>
              </w:rPr>
              <w:t>Interval]</w:t>
            </w:r>
          </w:p>
        </w:tc>
      </w:tr>
      <w:tr w:rsidR="006F4BF6" w:rsidRPr="00DF1A38" w14:paraId="0B005BC0" w14:textId="77777777" w:rsidTr="009712D5">
        <w:trPr>
          <w:trHeight w:val="315"/>
        </w:trPr>
        <w:tc>
          <w:tcPr>
            <w:tcW w:w="3127" w:type="dxa"/>
            <w:tcBorders>
              <w:top w:val="nil"/>
              <w:left w:val="nil"/>
              <w:bottom w:val="nil"/>
              <w:right w:val="nil"/>
            </w:tcBorders>
            <w:shd w:val="clear" w:color="auto" w:fill="auto"/>
            <w:noWrap/>
            <w:vAlign w:val="bottom"/>
            <w:hideMark/>
          </w:tcPr>
          <w:p w14:paraId="69617713" w14:textId="77777777" w:rsidR="006F4BF6" w:rsidRPr="006F4BF6" w:rsidRDefault="001E456B" w:rsidP="009712D5">
            <w:pPr>
              <w:rPr>
                <w:rFonts w:ascii="Arial Narrow" w:hAnsi="Arial Narrow"/>
                <w:color w:val="000000"/>
                <w:sz w:val="20"/>
                <w:szCs w:val="22"/>
                <w:lang w:val="mn-MN" w:eastAsia="mn-MN"/>
              </w:rPr>
            </w:pPr>
            <w:r>
              <w:rPr>
                <w:rFonts w:ascii="Arial Narrow" w:hAnsi="Arial Narrow"/>
                <w:color w:val="000000"/>
                <w:sz w:val="20"/>
                <w:szCs w:val="22"/>
                <w:lang w:eastAsia="mn-MN"/>
              </w:rPr>
              <w:t>O</w:t>
            </w:r>
            <w:r w:rsidR="006F4BF6" w:rsidRPr="006F4BF6">
              <w:rPr>
                <w:rFonts w:ascii="Arial Narrow" w:hAnsi="Arial Narrow"/>
                <w:color w:val="000000"/>
                <w:sz w:val="20"/>
                <w:szCs w:val="22"/>
                <w:lang w:eastAsia="mn-MN"/>
              </w:rPr>
              <w:t>utpatient care</w:t>
            </w:r>
          </w:p>
        </w:tc>
        <w:tc>
          <w:tcPr>
            <w:tcW w:w="1080" w:type="dxa"/>
            <w:tcBorders>
              <w:top w:val="nil"/>
              <w:left w:val="nil"/>
              <w:bottom w:val="nil"/>
              <w:right w:val="nil"/>
            </w:tcBorders>
            <w:shd w:val="clear" w:color="auto" w:fill="auto"/>
            <w:noWrap/>
            <w:vAlign w:val="bottom"/>
            <w:hideMark/>
          </w:tcPr>
          <w:p w14:paraId="5B21FD8D" w14:textId="77777777" w:rsidR="006F4BF6" w:rsidRPr="006F4BF6" w:rsidRDefault="006F4BF6" w:rsidP="009712D5">
            <w:pPr>
              <w:jc w:val="center"/>
              <w:rPr>
                <w:rFonts w:ascii="Arial Narrow" w:hAnsi="Arial Narrow"/>
                <w:color w:val="000000"/>
                <w:sz w:val="20"/>
                <w:szCs w:val="22"/>
              </w:rPr>
            </w:pPr>
            <w:r w:rsidRPr="006F4BF6">
              <w:rPr>
                <w:rFonts w:ascii="Arial Narrow" w:hAnsi="Arial Narrow"/>
                <w:color w:val="000000"/>
                <w:sz w:val="20"/>
                <w:szCs w:val="22"/>
              </w:rPr>
              <w:t>1986</w:t>
            </w:r>
          </w:p>
        </w:tc>
        <w:tc>
          <w:tcPr>
            <w:tcW w:w="1212" w:type="dxa"/>
            <w:tcBorders>
              <w:top w:val="nil"/>
              <w:left w:val="nil"/>
              <w:bottom w:val="nil"/>
              <w:right w:val="nil"/>
            </w:tcBorders>
            <w:shd w:val="clear" w:color="auto" w:fill="auto"/>
            <w:noWrap/>
            <w:vAlign w:val="bottom"/>
            <w:hideMark/>
          </w:tcPr>
          <w:p w14:paraId="4208E868" w14:textId="77777777" w:rsidR="006F4BF6" w:rsidRPr="006F4BF6" w:rsidRDefault="006F4BF6" w:rsidP="009712D5">
            <w:pPr>
              <w:jc w:val="center"/>
              <w:rPr>
                <w:rFonts w:ascii="Arial Narrow" w:hAnsi="Arial Narrow"/>
                <w:color w:val="000000"/>
                <w:sz w:val="20"/>
                <w:szCs w:val="22"/>
              </w:rPr>
            </w:pPr>
            <w:r w:rsidRPr="006F4BF6">
              <w:rPr>
                <w:rFonts w:ascii="Arial Narrow" w:hAnsi="Arial Narrow"/>
                <w:color w:val="000000"/>
                <w:sz w:val="20"/>
                <w:szCs w:val="22"/>
              </w:rPr>
              <w:t>44</w:t>
            </w:r>
          </w:p>
        </w:tc>
        <w:tc>
          <w:tcPr>
            <w:tcW w:w="1080" w:type="dxa"/>
            <w:tcBorders>
              <w:top w:val="nil"/>
              <w:left w:val="nil"/>
              <w:bottom w:val="nil"/>
              <w:right w:val="nil"/>
            </w:tcBorders>
            <w:shd w:val="clear" w:color="auto" w:fill="auto"/>
            <w:noWrap/>
            <w:vAlign w:val="bottom"/>
            <w:hideMark/>
          </w:tcPr>
          <w:p w14:paraId="6AC8C3FB" w14:textId="77777777" w:rsidR="006F4BF6" w:rsidRPr="006F4BF6" w:rsidRDefault="006F4BF6" w:rsidP="009712D5">
            <w:pPr>
              <w:jc w:val="center"/>
              <w:rPr>
                <w:rFonts w:ascii="Arial Narrow" w:hAnsi="Arial Narrow"/>
                <w:color w:val="000000"/>
                <w:sz w:val="20"/>
                <w:szCs w:val="22"/>
              </w:rPr>
            </w:pPr>
            <w:r w:rsidRPr="006F4BF6">
              <w:rPr>
                <w:rFonts w:ascii="Arial Narrow" w:hAnsi="Arial Narrow"/>
                <w:color w:val="000000"/>
                <w:sz w:val="20"/>
                <w:szCs w:val="22"/>
              </w:rPr>
              <w:t>1899</w:t>
            </w:r>
          </w:p>
        </w:tc>
        <w:tc>
          <w:tcPr>
            <w:tcW w:w="1080" w:type="dxa"/>
            <w:tcBorders>
              <w:top w:val="nil"/>
              <w:left w:val="nil"/>
              <w:bottom w:val="nil"/>
              <w:right w:val="nil"/>
            </w:tcBorders>
            <w:shd w:val="clear" w:color="auto" w:fill="auto"/>
            <w:noWrap/>
            <w:vAlign w:val="bottom"/>
            <w:hideMark/>
          </w:tcPr>
          <w:p w14:paraId="33136B19" w14:textId="77777777" w:rsidR="006F4BF6" w:rsidRPr="006F4BF6" w:rsidRDefault="006F4BF6" w:rsidP="009712D5">
            <w:pPr>
              <w:jc w:val="center"/>
              <w:rPr>
                <w:rFonts w:ascii="Arial Narrow" w:hAnsi="Arial Narrow"/>
                <w:color w:val="000000"/>
                <w:sz w:val="20"/>
                <w:szCs w:val="22"/>
              </w:rPr>
            </w:pPr>
            <w:r w:rsidRPr="006F4BF6">
              <w:rPr>
                <w:rFonts w:ascii="Arial Narrow" w:hAnsi="Arial Narrow"/>
                <w:color w:val="000000"/>
                <w:sz w:val="20"/>
                <w:szCs w:val="22"/>
              </w:rPr>
              <w:t>2073</w:t>
            </w:r>
          </w:p>
        </w:tc>
      </w:tr>
      <w:tr w:rsidR="006F4BF6" w:rsidRPr="00DF1A38" w14:paraId="37732417" w14:textId="77777777" w:rsidTr="009712D5">
        <w:trPr>
          <w:trHeight w:val="315"/>
        </w:trPr>
        <w:tc>
          <w:tcPr>
            <w:tcW w:w="3127" w:type="dxa"/>
            <w:tcBorders>
              <w:top w:val="nil"/>
              <w:left w:val="nil"/>
              <w:bottom w:val="single" w:sz="4" w:space="0" w:color="auto"/>
              <w:right w:val="nil"/>
            </w:tcBorders>
            <w:shd w:val="clear" w:color="auto" w:fill="auto"/>
            <w:noWrap/>
            <w:vAlign w:val="bottom"/>
            <w:hideMark/>
          </w:tcPr>
          <w:p w14:paraId="27CC9B09" w14:textId="77777777" w:rsidR="006F4BF6" w:rsidRPr="006F4BF6" w:rsidRDefault="001E456B" w:rsidP="009712D5">
            <w:pPr>
              <w:rPr>
                <w:rFonts w:ascii="Arial Narrow" w:hAnsi="Arial Narrow"/>
                <w:color w:val="000000"/>
                <w:sz w:val="20"/>
                <w:szCs w:val="22"/>
                <w:lang w:val="mn-MN" w:eastAsia="mn-MN"/>
              </w:rPr>
            </w:pPr>
            <w:r>
              <w:rPr>
                <w:rFonts w:ascii="Arial Narrow" w:hAnsi="Arial Narrow"/>
                <w:color w:val="000000"/>
                <w:sz w:val="20"/>
                <w:szCs w:val="22"/>
                <w:lang w:eastAsia="mn-MN"/>
              </w:rPr>
              <w:t>I</w:t>
            </w:r>
            <w:r w:rsidR="006F4BF6" w:rsidRPr="006F4BF6">
              <w:rPr>
                <w:rFonts w:ascii="Arial Narrow" w:hAnsi="Arial Narrow"/>
                <w:color w:val="000000"/>
                <w:sz w:val="20"/>
                <w:szCs w:val="22"/>
                <w:lang w:val="mn-MN" w:eastAsia="mn-MN"/>
              </w:rPr>
              <w:t>npatient care</w:t>
            </w:r>
          </w:p>
        </w:tc>
        <w:tc>
          <w:tcPr>
            <w:tcW w:w="1080" w:type="dxa"/>
            <w:tcBorders>
              <w:top w:val="nil"/>
              <w:left w:val="nil"/>
              <w:bottom w:val="single" w:sz="4" w:space="0" w:color="auto"/>
              <w:right w:val="nil"/>
            </w:tcBorders>
            <w:shd w:val="clear" w:color="auto" w:fill="auto"/>
            <w:noWrap/>
            <w:vAlign w:val="bottom"/>
            <w:hideMark/>
          </w:tcPr>
          <w:p w14:paraId="6F646A47" w14:textId="77777777" w:rsidR="006F4BF6" w:rsidRPr="006F4BF6" w:rsidRDefault="006F4BF6" w:rsidP="009712D5">
            <w:pPr>
              <w:jc w:val="center"/>
              <w:rPr>
                <w:rFonts w:ascii="Arial Narrow" w:hAnsi="Arial Narrow"/>
                <w:color w:val="000000"/>
                <w:sz w:val="20"/>
                <w:szCs w:val="22"/>
              </w:rPr>
            </w:pPr>
            <w:r w:rsidRPr="006F4BF6">
              <w:rPr>
                <w:rFonts w:ascii="Arial Narrow" w:hAnsi="Arial Narrow"/>
                <w:color w:val="000000"/>
                <w:sz w:val="20"/>
                <w:szCs w:val="22"/>
              </w:rPr>
              <w:t>4171</w:t>
            </w:r>
          </w:p>
        </w:tc>
        <w:tc>
          <w:tcPr>
            <w:tcW w:w="1212" w:type="dxa"/>
            <w:tcBorders>
              <w:top w:val="nil"/>
              <w:left w:val="nil"/>
              <w:bottom w:val="single" w:sz="4" w:space="0" w:color="auto"/>
              <w:right w:val="nil"/>
            </w:tcBorders>
            <w:shd w:val="clear" w:color="auto" w:fill="auto"/>
            <w:noWrap/>
            <w:vAlign w:val="bottom"/>
            <w:hideMark/>
          </w:tcPr>
          <w:p w14:paraId="7A4E26F7" w14:textId="77777777" w:rsidR="006F4BF6" w:rsidRPr="006F4BF6" w:rsidRDefault="006F4BF6" w:rsidP="009712D5">
            <w:pPr>
              <w:jc w:val="center"/>
              <w:rPr>
                <w:rFonts w:ascii="Arial Narrow" w:hAnsi="Arial Narrow"/>
                <w:color w:val="000000"/>
                <w:sz w:val="20"/>
                <w:szCs w:val="22"/>
              </w:rPr>
            </w:pPr>
            <w:r w:rsidRPr="006F4BF6">
              <w:rPr>
                <w:rFonts w:ascii="Arial Narrow" w:hAnsi="Arial Narrow"/>
                <w:color w:val="000000"/>
                <w:sz w:val="20"/>
                <w:szCs w:val="22"/>
              </w:rPr>
              <w:t>106</w:t>
            </w:r>
          </w:p>
        </w:tc>
        <w:tc>
          <w:tcPr>
            <w:tcW w:w="1080" w:type="dxa"/>
            <w:tcBorders>
              <w:top w:val="nil"/>
              <w:left w:val="nil"/>
              <w:bottom w:val="single" w:sz="4" w:space="0" w:color="auto"/>
              <w:right w:val="nil"/>
            </w:tcBorders>
            <w:shd w:val="clear" w:color="auto" w:fill="auto"/>
            <w:noWrap/>
            <w:vAlign w:val="bottom"/>
            <w:hideMark/>
          </w:tcPr>
          <w:p w14:paraId="2339D7A1" w14:textId="77777777" w:rsidR="006F4BF6" w:rsidRPr="006F4BF6" w:rsidRDefault="006F4BF6" w:rsidP="009712D5">
            <w:pPr>
              <w:jc w:val="center"/>
              <w:rPr>
                <w:rFonts w:ascii="Arial Narrow" w:hAnsi="Arial Narrow"/>
                <w:color w:val="000000"/>
                <w:sz w:val="20"/>
                <w:szCs w:val="22"/>
              </w:rPr>
            </w:pPr>
            <w:r w:rsidRPr="006F4BF6">
              <w:rPr>
                <w:rFonts w:ascii="Arial Narrow" w:hAnsi="Arial Narrow"/>
                <w:color w:val="000000"/>
                <w:sz w:val="20"/>
                <w:szCs w:val="22"/>
              </w:rPr>
              <w:t>3964</w:t>
            </w:r>
          </w:p>
        </w:tc>
        <w:tc>
          <w:tcPr>
            <w:tcW w:w="1080" w:type="dxa"/>
            <w:tcBorders>
              <w:top w:val="nil"/>
              <w:left w:val="nil"/>
              <w:bottom w:val="single" w:sz="4" w:space="0" w:color="auto"/>
              <w:right w:val="nil"/>
            </w:tcBorders>
            <w:shd w:val="clear" w:color="auto" w:fill="auto"/>
            <w:noWrap/>
            <w:vAlign w:val="bottom"/>
            <w:hideMark/>
          </w:tcPr>
          <w:p w14:paraId="7D1205BD" w14:textId="77777777" w:rsidR="006F4BF6" w:rsidRPr="006F4BF6" w:rsidRDefault="006F4BF6" w:rsidP="009712D5">
            <w:pPr>
              <w:jc w:val="center"/>
              <w:rPr>
                <w:rFonts w:ascii="Arial Narrow" w:hAnsi="Arial Narrow"/>
                <w:color w:val="000000"/>
                <w:sz w:val="20"/>
                <w:szCs w:val="22"/>
              </w:rPr>
            </w:pPr>
            <w:r w:rsidRPr="006F4BF6">
              <w:rPr>
                <w:rFonts w:ascii="Arial Narrow" w:hAnsi="Arial Narrow"/>
                <w:color w:val="000000"/>
                <w:sz w:val="20"/>
                <w:szCs w:val="22"/>
              </w:rPr>
              <w:t>4379</w:t>
            </w:r>
          </w:p>
        </w:tc>
      </w:tr>
      <w:tr w:rsidR="006F4BF6" w:rsidRPr="00DF1A38" w14:paraId="6310DF2D" w14:textId="77777777" w:rsidTr="009712D5">
        <w:trPr>
          <w:trHeight w:val="315"/>
        </w:trPr>
        <w:tc>
          <w:tcPr>
            <w:tcW w:w="3127" w:type="dxa"/>
            <w:tcBorders>
              <w:top w:val="single" w:sz="4" w:space="0" w:color="auto"/>
              <w:left w:val="nil"/>
              <w:bottom w:val="single" w:sz="4" w:space="0" w:color="auto"/>
              <w:right w:val="nil"/>
            </w:tcBorders>
            <w:shd w:val="clear" w:color="auto" w:fill="auto"/>
            <w:noWrap/>
            <w:vAlign w:val="bottom"/>
            <w:hideMark/>
          </w:tcPr>
          <w:p w14:paraId="573C46B8" w14:textId="77777777" w:rsidR="006F4BF6" w:rsidRPr="006F4BF6" w:rsidRDefault="006F4BF6" w:rsidP="009712D5">
            <w:pPr>
              <w:rPr>
                <w:rFonts w:ascii="Arial Narrow" w:hAnsi="Arial Narrow"/>
                <w:color w:val="000000"/>
                <w:sz w:val="20"/>
                <w:szCs w:val="22"/>
                <w:lang w:val="mn-MN" w:eastAsia="mn-MN"/>
              </w:rPr>
            </w:pPr>
            <w:r w:rsidRPr="006F4BF6">
              <w:rPr>
                <w:rFonts w:ascii="Arial Narrow" w:hAnsi="Arial Narrow"/>
                <w:color w:val="000000"/>
                <w:sz w:val="20"/>
                <w:szCs w:val="22"/>
                <w:lang w:val="mn-MN" w:eastAsia="mn-MN"/>
              </w:rPr>
              <w:t>Total subsidy</w:t>
            </w:r>
          </w:p>
        </w:tc>
        <w:tc>
          <w:tcPr>
            <w:tcW w:w="1080" w:type="dxa"/>
            <w:tcBorders>
              <w:top w:val="single" w:sz="4" w:space="0" w:color="auto"/>
              <w:left w:val="nil"/>
              <w:bottom w:val="single" w:sz="4" w:space="0" w:color="auto"/>
              <w:right w:val="nil"/>
            </w:tcBorders>
            <w:shd w:val="clear" w:color="auto" w:fill="auto"/>
            <w:noWrap/>
            <w:vAlign w:val="bottom"/>
            <w:hideMark/>
          </w:tcPr>
          <w:p w14:paraId="3E71DBCF" w14:textId="77777777" w:rsidR="006F4BF6" w:rsidRPr="006F4BF6" w:rsidRDefault="006F4BF6" w:rsidP="009712D5">
            <w:pPr>
              <w:jc w:val="center"/>
              <w:rPr>
                <w:rFonts w:ascii="Arial Narrow" w:hAnsi="Arial Narrow"/>
                <w:color w:val="000000"/>
                <w:sz w:val="20"/>
                <w:szCs w:val="22"/>
              </w:rPr>
            </w:pPr>
            <w:r w:rsidRPr="006F4BF6">
              <w:rPr>
                <w:rFonts w:ascii="Arial Narrow" w:hAnsi="Arial Narrow"/>
                <w:color w:val="000000"/>
                <w:sz w:val="20"/>
                <w:szCs w:val="22"/>
              </w:rPr>
              <w:t>6157</w:t>
            </w:r>
          </w:p>
        </w:tc>
        <w:tc>
          <w:tcPr>
            <w:tcW w:w="1212" w:type="dxa"/>
            <w:tcBorders>
              <w:top w:val="single" w:sz="4" w:space="0" w:color="auto"/>
              <w:left w:val="nil"/>
              <w:bottom w:val="single" w:sz="4" w:space="0" w:color="auto"/>
              <w:right w:val="nil"/>
            </w:tcBorders>
            <w:shd w:val="clear" w:color="auto" w:fill="auto"/>
            <w:noWrap/>
            <w:vAlign w:val="bottom"/>
            <w:hideMark/>
          </w:tcPr>
          <w:p w14:paraId="310A5B4F" w14:textId="77777777" w:rsidR="006F4BF6" w:rsidRPr="006F4BF6" w:rsidRDefault="006F4BF6" w:rsidP="009712D5">
            <w:pPr>
              <w:jc w:val="center"/>
              <w:rPr>
                <w:rFonts w:ascii="Arial Narrow" w:hAnsi="Arial Narrow"/>
                <w:color w:val="000000"/>
                <w:sz w:val="20"/>
                <w:szCs w:val="22"/>
              </w:rPr>
            </w:pPr>
            <w:r w:rsidRPr="006F4BF6">
              <w:rPr>
                <w:rFonts w:ascii="Arial Narrow" w:hAnsi="Arial Narrow"/>
                <w:color w:val="000000"/>
                <w:sz w:val="20"/>
                <w:szCs w:val="22"/>
              </w:rPr>
              <w:t>124</w:t>
            </w:r>
          </w:p>
        </w:tc>
        <w:tc>
          <w:tcPr>
            <w:tcW w:w="1080" w:type="dxa"/>
            <w:tcBorders>
              <w:top w:val="single" w:sz="4" w:space="0" w:color="auto"/>
              <w:left w:val="nil"/>
              <w:bottom w:val="single" w:sz="4" w:space="0" w:color="auto"/>
              <w:right w:val="nil"/>
            </w:tcBorders>
            <w:shd w:val="clear" w:color="auto" w:fill="auto"/>
            <w:noWrap/>
            <w:vAlign w:val="bottom"/>
            <w:hideMark/>
          </w:tcPr>
          <w:p w14:paraId="755DA7A2" w14:textId="77777777" w:rsidR="006F4BF6" w:rsidRPr="006F4BF6" w:rsidRDefault="006F4BF6" w:rsidP="009712D5">
            <w:pPr>
              <w:jc w:val="center"/>
              <w:rPr>
                <w:rFonts w:ascii="Arial Narrow" w:hAnsi="Arial Narrow"/>
                <w:color w:val="000000"/>
                <w:sz w:val="20"/>
                <w:szCs w:val="22"/>
              </w:rPr>
            </w:pPr>
            <w:r w:rsidRPr="006F4BF6">
              <w:rPr>
                <w:rFonts w:ascii="Arial Narrow" w:hAnsi="Arial Narrow"/>
                <w:color w:val="000000"/>
                <w:sz w:val="20"/>
                <w:szCs w:val="22"/>
              </w:rPr>
              <w:t>5915</w:t>
            </w:r>
          </w:p>
        </w:tc>
        <w:tc>
          <w:tcPr>
            <w:tcW w:w="1080" w:type="dxa"/>
            <w:tcBorders>
              <w:top w:val="single" w:sz="4" w:space="0" w:color="auto"/>
              <w:left w:val="nil"/>
              <w:bottom w:val="single" w:sz="4" w:space="0" w:color="auto"/>
              <w:right w:val="nil"/>
            </w:tcBorders>
            <w:shd w:val="clear" w:color="auto" w:fill="auto"/>
            <w:noWrap/>
            <w:vAlign w:val="bottom"/>
            <w:hideMark/>
          </w:tcPr>
          <w:p w14:paraId="24F4EC10" w14:textId="77777777" w:rsidR="006F4BF6" w:rsidRPr="006F4BF6" w:rsidRDefault="006F4BF6" w:rsidP="009712D5">
            <w:pPr>
              <w:jc w:val="center"/>
              <w:rPr>
                <w:rFonts w:ascii="Arial Narrow" w:hAnsi="Arial Narrow"/>
                <w:color w:val="000000"/>
                <w:sz w:val="20"/>
                <w:szCs w:val="22"/>
              </w:rPr>
            </w:pPr>
            <w:r w:rsidRPr="006F4BF6">
              <w:rPr>
                <w:rFonts w:ascii="Arial Narrow" w:hAnsi="Arial Narrow"/>
                <w:color w:val="000000"/>
                <w:sz w:val="20"/>
                <w:szCs w:val="22"/>
              </w:rPr>
              <w:t>6400</w:t>
            </w:r>
          </w:p>
        </w:tc>
      </w:tr>
    </w:tbl>
    <w:p w14:paraId="194EB87C" w14:textId="77777777" w:rsidR="003B034C" w:rsidRPr="008B7EA0" w:rsidRDefault="003B034C" w:rsidP="003B034C">
      <w:pPr>
        <w:rPr>
          <w:i/>
          <w:sz w:val="22"/>
          <w:lang w:val="en-GB"/>
        </w:rPr>
      </w:pPr>
      <w:r w:rsidRPr="008B7EA0">
        <w:rPr>
          <w:i/>
          <w:sz w:val="22"/>
          <w:lang w:val="en-GB"/>
        </w:rPr>
        <w:t>Source: Mongolia Household Socio-Economic Survey, 2012</w:t>
      </w:r>
    </w:p>
    <w:p w14:paraId="7C083F8A" w14:textId="77777777" w:rsidR="006F4BF6" w:rsidRDefault="006F4BF6" w:rsidP="000A1C2A">
      <w:pPr>
        <w:jc w:val="both"/>
      </w:pPr>
    </w:p>
    <w:p w14:paraId="086FD43C" w14:textId="77777777" w:rsidR="003E4843" w:rsidRDefault="003E4843" w:rsidP="006F4BF6">
      <w:pPr>
        <w:rPr>
          <w:rFonts w:ascii="Arial" w:hAnsi="Arial" w:cs="Arial"/>
          <w:iCs/>
          <w:sz w:val="22"/>
          <w:szCs w:val="22"/>
        </w:rPr>
      </w:pPr>
    </w:p>
    <w:p w14:paraId="452DC349" w14:textId="77777777" w:rsidR="003E4843" w:rsidRDefault="003E4843" w:rsidP="006F4BF6">
      <w:pPr>
        <w:rPr>
          <w:rFonts w:ascii="Arial" w:hAnsi="Arial" w:cs="Arial"/>
          <w:iCs/>
          <w:sz w:val="22"/>
          <w:szCs w:val="22"/>
        </w:rPr>
      </w:pPr>
    </w:p>
    <w:p w14:paraId="637A90CF" w14:textId="77777777" w:rsidR="000A1C2A" w:rsidRPr="00F04E27" w:rsidRDefault="000A1C2A" w:rsidP="006F4BF6">
      <w:pPr>
        <w:rPr>
          <w:rFonts w:ascii="Arial" w:hAnsi="Arial" w:cs="Arial"/>
          <w:sz w:val="22"/>
          <w:szCs w:val="22"/>
          <w:lang w:val="en-GB"/>
        </w:rPr>
      </w:pPr>
      <w:bookmarkStart w:id="62" w:name="_Toc310170105"/>
      <w:r w:rsidRPr="00F04E27">
        <w:rPr>
          <w:rFonts w:ascii="Arial" w:hAnsi="Arial" w:cs="Arial"/>
          <w:iCs/>
          <w:sz w:val="22"/>
          <w:szCs w:val="22"/>
        </w:rPr>
        <w:lastRenderedPageBreak/>
        <w:t xml:space="preserve">Table </w:t>
      </w:r>
      <w:r w:rsidR="00CB191B" w:rsidRPr="00F04E27">
        <w:rPr>
          <w:rFonts w:ascii="Arial" w:hAnsi="Arial" w:cs="Arial"/>
          <w:iCs/>
          <w:sz w:val="22"/>
          <w:szCs w:val="22"/>
        </w:rPr>
        <w:fldChar w:fldCharType="begin"/>
      </w:r>
      <w:r w:rsidRPr="00F04E27">
        <w:rPr>
          <w:rFonts w:ascii="Arial" w:hAnsi="Arial" w:cs="Arial"/>
          <w:iCs/>
          <w:sz w:val="22"/>
          <w:szCs w:val="22"/>
        </w:rPr>
        <w:instrText xml:space="preserve"> SEQ Table \* ARABIC </w:instrText>
      </w:r>
      <w:r w:rsidR="00CB191B" w:rsidRPr="00F04E27">
        <w:rPr>
          <w:rFonts w:ascii="Arial" w:hAnsi="Arial" w:cs="Arial"/>
          <w:iCs/>
          <w:sz w:val="22"/>
          <w:szCs w:val="22"/>
        </w:rPr>
        <w:fldChar w:fldCharType="separate"/>
      </w:r>
      <w:r w:rsidR="00A912E8">
        <w:rPr>
          <w:rFonts w:ascii="Arial" w:hAnsi="Arial" w:cs="Arial"/>
          <w:iCs/>
          <w:noProof/>
          <w:sz w:val="22"/>
          <w:szCs w:val="22"/>
        </w:rPr>
        <w:t>22</w:t>
      </w:r>
      <w:r w:rsidR="00CB191B" w:rsidRPr="00F04E27">
        <w:rPr>
          <w:rFonts w:ascii="Arial" w:hAnsi="Arial" w:cs="Arial"/>
          <w:iCs/>
          <w:sz w:val="22"/>
          <w:szCs w:val="22"/>
        </w:rPr>
        <w:fldChar w:fldCharType="end"/>
      </w:r>
      <w:r w:rsidRPr="00F04E27">
        <w:rPr>
          <w:rFonts w:ascii="Arial" w:hAnsi="Arial" w:cs="Arial"/>
          <w:iCs/>
          <w:sz w:val="22"/>
          <w:szCs w:val="22"/>
        </w:rPr>
        <w:t xml:space="preserve">: </w:t>
      </w:r>
      <w:r w:rsidR="006F4BF6" w:rsidRPr="00F04E27">
        <w:rPr>
          <w:rFonts w:ascii="Arial" w:hAnsi="Arial" w:cs="Arial"/>
          <w:iCs/>
          <w:sz w:val="22"/>
          <w:szCs w:val="22"/>
        </w:rPr>
        <w:t xml:space="preserve">Mean per capita </w:t>
      </w:r>
      <w:r w:rsidR="006F4BF6" w:rsidRPr="00F04E27">
        <w:rPr>
          <w:rFonts w:ascii="Arial" w:hAnsi="Arial" w:cs="Arial"/>
          <w:sz w:val="22"/>
          <w:szCs w:val="22"/>
          <w:lang w:val="en-GB"/>
        </w:rPr>
        <w:t>b</w:t>
      </w:r>
      <w:r w:rsidRPr="00F04E27">
        <w:rPr>
          <w:rFonts w:ascii="Arial" w:hAnsi="Arial" w:cs="Arial"/>
          <w:sz w:val="22"/>
          <w:szCs w:val="22"/>
          <w:lang w:val="en-GB"/>
        </w:rPr>
        <w:t xml:space="preserve">enefit </w:t>
      </w:r>
      <w:r w:rsidR="006F4BF6" w:rsidRPr="00F04E27">
        <w:rPr>
          <w:rFonts w:ascii="Arial" w:hAnsi="Arial" w:cs="Arial"/>
          <w:sz w:val="22"/>
          <w:szCs w:val="22"/>
          <w:lang w:val="en-GB"/>
        </w:rPr>
        <w:t xml:space="preserve">in health </w:t>
      </w:r>
      <w:r w:rsidRPr="00F04E27">
        <w:rPr>
          <w:rFonts w:ascii="Arial" w:hAnsi="Arial" w:cs="Arial"/>
          <w:sz w:val="22"/>
          <w:szCs w:val="22"/>
          <w:lang w:val="en-GB"/>
        </w:rPr>
        <w:t>by types of health services</w:t>
      </w:r>
      <w:r w:rsidR="006F4BF6" w:rsidRPr="00F04E27">
        <w:rPr>
          <w:rFonts w:ascii="Arial" w:hAnsi="Arial" w:cs="Arial"/>
          <w:sz w:val="22"/>
          <w:szCs w:val="22"/>
          <w:lang w:val="en-GB"/>
        </w:rPr>
        <w:t xml:space="preserve"> and expenditure quintile</w:t>
      </w:r>
      <w:r w:rsidR="005947B5">
        <w:rPr>
          <w:rFonts w:ascii="Arial" w:hAnsi="Arial" w:cs="Arial"/>
          <w:sz w:val="22"/>
          <w:szCs w:val="22"/>
          <w:lang w:val="en-GB"/>
        </w:rPr>
        <w:t>,</w:t>
      </w:r>
      <w:r w:rsidR="0055231E">
        <w:rPr>
          <w:rFonts w:ascii="Arial" w:hAnsi="Arial" w:cs="Arial"/>
          <w:sz w:val="22"/>
          <w:szCs w:val="22"/>
          <w:lang w:val="en-GB"/>
        </w:rPr>
        <w:t xml:space="preserve"> </w:t>
      </w:r>
      <w:r w:rsidR="005947B5">
        <w:rPr>
          <w:rFonts w:ascii="Arial" w:hAnsi="Arial" w:cs="Arial"/>
          <w:sz w:val="22"/>
          <w:szCs w:val="22"/>
          <w:lang w:val="en-GB"/>
        </w:rPr>
        <w:t>2012</w:t>
      </w:r>
      <w:bookmarkEnd w:id="62"/>
    </w:p>
    <w:p w14:paraId="701242D1" w14:textId="77777777" w:rsidR="000A1C2A" w:rsidRDefault="000A1C2A" w:rsidP="000A1C2A">
      <w:pPr>
        <w:jc w:val="both"/>
        <w:rPr>
          <w:lang w:val="en-GB"/>
        </w:rPr>
      </w:pPr>
    </w:p>
    <w:tbl>
      <w:tblPr>
        <w:tblW w:w="1018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5"/>
        <w:gridCol w:w="1147"/>
        <w:gridCol w:w="1148"/>
        <w:gridCol w:w="1147"/>
        <w:gridCol w:w="1148"/>
        <w:gridCol w:w="1148"/>
        <w:gridCol w:w="1147"/>
        <w:gridCol w:w="1148"/>
        <w:gridCol w:w="1148"/>
      </w:tblGrid>
      <w:tr w:rsidR="000A1C2A" w:rsidRPr="006E1452" w14:paraId="78C4A90E" w14:textId="77777777" w:rsidTr="0043458D">
        <w:trPr>
          <w:trHeight w:val="280"/>
        </w:trPr>
        <w:tc>
          <w:tcPr>
            <w:tcW w:w="1005" w:type="dxa"/>
            <w:tcBorders>
              <w:top w:val="single" w:sz="4" w:space="0" w:color="auto"/>
              <w:left w:val="nil"/>
              <w:bottom w:val="single" w:sz="4" w:space="0" w:color="auto"/>
              <w:right w:val="nil"/>
            </w:tcBorders>
            <w:shd w:val="clear" w:color="auto" w:fill="auto"/>
            <w:noWrap/>
            <w:vAlign w:val="bottom"/>
          </w:tcPr>
          <w:p w14:paraId="079A422B" w14:textId="77777777" w:rsidR="000A1C2A" w:rsidRPr="006F4BF6" w:rsidRDefault="000A1C2A" w:rsidP="00DC36C5">
            <w:pPr>
              <w:jc w:val="center"/>
              <w:rPr>
                <w:rFonts w:ascii="Arial Narrow" w:hAnsi="Arial Narrow"/>
                <w:color w:val="000000"/>
                <w:sz w:val="20"/>
                <w:szCs w:val="20"/>
              </w:rPr>
            </w:pPr>
          </w:p>
        </w:tc>
        <w:tc>
          <w:tcPr>
            <w:tcW w:w="4590" w:type="dxa"/>
            <w:gridSpan w:val="4"/>
            <w:tcBorders>
              <w:top w:val="single" w:sz="4" w:space="0" w:color="auto"/>
              <w:left w:val="nil"/>
              <w:bottom w:val="single" w:sz="4" w:space="0" w:color="auto"/>
              <w:right w:val="nil"/>
            </w:tcBorders>
            <w:shd w:val="clear" w:color="auto" w:fill="auto"/>
            <w:noWrap/>
            <w:vAlign w:val="bottom"/>
          </w:tcPr>
          <w:p w14:paraId="43E91103" w14:textId="77777777" w:rsidR="000A1C2A" w:rsidRPr="006F4BF6" w:rsidRDefault="000A1C2A" w:rsidP="00DC36C5">
            <w:pPr>
              <w:jc w:val="center"/>
              <w:rPr>
                <w:rFonts w:ascii="Arial Narrow" w:hAnsi="Arial Narrow"/>
                <w:color w:val="000000"/>
                <w:sz w:val="20"/>
                <w:szCs w:val="20"/>
              </w:rPr>
            </w:pPr>
            <w:r w:rsidRPr="006F4BF6">
              <w:rPr>
                <w:rFonts w:ascii="Arial Narrow" w:hAnsi="Arial Narrow"/>
                <w:color w:val="000000"/>
                <w:sz w:val="20"/>
                <w:szCs w:val="20"/>
              </w:rPr>
              <w:t>Public subsidy for outpatient care</w:t>
            </w:r>
          </w:p>
        </w:tc>
        <w:tc>
          <w:tcPr>
            <w:tcW w:w="4591" w:type="dxa"/>
            <w:gridSpan w:val="4"/>
            <w:tcBorders>
              <w:top w:val="single" w:sz="4" w:space="0" w:color="auto"/>
              <w:left w:val="nil"/>
              <w:bottom w:val="single" w:sz="4" w:space="0" w:color="auto"/>
              <w:right w:val="nil"/>
            </w:tcBorders>
            <w:shd w:val="clear" w:color="auto" w:fill="auto"/>
            <w:noWrap/>
            <w:vAlign w:val="bottom"/>
          </w:tcPr>
          <w:p w14:paraId="5F3E6C11" w14:textId="77777777" w:rsidR="000A1C2A" w:rsidRPr="006F4BF6" w:rsidRDefault="000A1C2A" w:rsidP="00DC36C5">
            <w:pPr>
              <w:jc w:val="center"/>
              <w:rPr>
                <w:rFonts w:ascii="Arial Narrow" w:hAnsi="Arial Narrow"/>
                <w:color w:val="000000"/>
                <w:sz w:val="20"/>
                <w:szCs w:val="20"/>
              </w:rPr>
            </w:pPr>
            <w:r w:rsidRPr="006F4BF6">
              <w:rPr>
                <w:rFonts w:ascii="Arial Narrow" w:hAnsi="Arial Narrow"/>
                <w:color w:val="000000"/>
                <w:sz w:val="20"/>
                <w:szCs w:val="20"/>
              </w:rPr>
              <w:t>Public subsidy for inpatient care</w:t>
            </w:r>
          </w:p>
        </w:tc>
      </w:tr>
      <w:tr w:rsidR="000A1C2A" w:rsidRPr="006E1452" w14:paraId="7E4E390D" w14:textId="77777777" w:rsidTr="0043458D">
        <w:trPr>
          <w:trHeight w:val="280"/>
        </w:trPr>
        <w:tc>
          <w:tcPr>
            <w:tcW w:w="1005" w:type="dxa"/>
            <w:tcBorders>
              <w:top w:val="single" w:sz="4" w:space="0" w:color="auto"/>
              <w:left w:val="nil"/>
              <w:bottom w:val="nil"/>
              <w:right w:val="nil"/>
            </w:tcBorders>
            <w:shd w:val="clear" w:color="auto" w:fill="auto"/>
            <w:noWrap/>
            <w:vAlign w:val="bottom"/>
            <w:hideMark/>
          </w:tcPr>
          <w:p w14:paraId="2B9678F8" w14:textId="77777777" w:rsidR="000A1C2A" w:rsidRPr="006F4BF6" w:rsidRDefault="000A1C2A" w:rsidP="00DC36C5">
            <w:pPr>
              <w:jc w:val="center"/>
              <w:rPr>
                <w:rFonts w:ascii="Arial Narrow" w:hAnsi="Arial Narrow"/>
                <w:color w:val="000000"/>
                <w:sz w:val="20"/>
                <w:szCs w:val="20"/>
              </w:rPr>
            </w:pPr>
            <w:r w:rsidRPr="006F4BF6">
              <w:rPr>
                <w:rFonts w:ascii="Arial Narrow" w:hAnsi="Arial Narrow"/>
                <w:color w:val="000000"/>
                <w:sz w:val="20"/>
                <w:szCs w:val="20"/>
              </w:rPr>
              <w:t>Wealth quintile</w:t>
            </w:r>
          </w:p>
        </w:tc>
        <w:tc>
          <w:tcPr>
            <w:tcW w:w="1147" w:type="dxa"/>
            <w:tcBorders>
              <w:top w:val="single" w:sz="4" w:space="0" w:color="auto"/>
              <w:left w:val="nil"/>
              <w:bottom w:val="single" w:sz="4" w:space="0" w:color="auto"/>
              <w:right w:val="nil"/>
            </w:tcBorders>
            <w:shd w:val="clear" w:color="auto" w:fill="auto"/>
            <w:noWrap/>
            <w:vAlign w:val="bottom"/>
            <w:hideMark/>
          </w:tcPr>
          <w:p w14:paraId="46AB97BD" w14:textId="77777777" w:rsidR="000A1C2A" w:rsidRPr="006F4BF6" w:rsidRDefault="000A1C2A" w:rsidP="006F4BF6">
            <w:pPr>
              <w:jc w:val="center"/>
              <w:rPr>
                <w:rFonts w:ascii="Arial Narrow" w:hAnsi="Arial Narrow"/>
                <w:color w:val="000000"/>
                <w:sz w:val="20"/>
                <w:szCs w:val="20"/>
              </w:rPr>
            </w:pPr>
            <w:r w:rsidRPr="006F4BF6">
              <w:rPr>
                <w:rFonts w:ascii="Arial Narrow" w:hAnsi="Arial Narrow"/>
                <w:color w:val="000000"/>
                <w:sz w:val="20"/>
                <w:szCs w:val="20"/>
              </w:rPr>
              <w:t>Mean</w:t>
            </w:r>
          </w:p>
        </w:tc>
        <w:tc>
          <w:tcPr>
            <w:tcW w:w="1148" w:type="dxa"/>
            <w:tcBorders>
              <w:top w:val="single" w:sz="4" w:space="0" w:color="auto"/>
              <w:left w:val="nil"/>
              <w:bottom w:val="single" w:sz="4" w:space="0" w:color="auto"/>
              <w:right w:val="nil"/>
            </w:tcBorders>
            <w:shd w:val="clear" w:color="auto" w:fill="auto"/>
            <w:noWrap/>
            <w:vAlign w:val="bottom"/>
            <w:hideMark/>
          </w:tcPr>
          <w:p w14:paraId="3FE8F8BD" w14:textId="77777777" w:rsidR="000A1C2A" w:rsidRPr="006F4BF6" w:rsidRDefault="000A1C2A" w:rsidP="006F4BF6">
            <w:pPr>
              <w:jc w:val="center"/>
              <w:rPr>
                <w:rFonts w:ascii="Arial Narrow" w:hAnsi="Arial Narrow"/>
                <w:color w:val="000000"/>
                <w:sz w:val="20"/>
                <w:szCs w:val="20"/>
              </w:rPr>
            </w:pPr>
            <w:r w:rsidRPr="006F4BF6">
              <w:rPr>
                <w:rFonts w:ascii="Arial Narrow" w:hAnsi="Arial Narrow"/>
                <w:color w:val="000000"/>
                <w:sz w:val="20"/>
                <w:szCs w:val="20"/>
              </w:rPr>
              <w:t>Std. Err.</w:t>
            </w:r>
          </w:p>
        </w:tc>
        <w:tc>
          <w:tcPr>
            <w:tcW w:w="1147" w:type="dxa"/>
            <w:tcBorders>
              <w:top w:val="single" w:sz="4" w:space="0" w:color="auto"/>
              <w:left w:val="nil"/>
              <w:bottom w:val="single" w:sz="4" w:space="0" w:color="auto"/>
              <w:right w:val="nil"/>
            </w:tcBorders>
            <w:shd w:val="clear" w:color="auto" w:fill="auto"/>
            <w:noWrap/>
            <w:vAlign w:val="bottom"/>
            <w:hideMark/>
          </w:tcPr>
          <w:p w14:paraId="679B44A6" w14:textId="77777777" w:rsidR="000A1C2A" w:rsidRPr="006F4BF6" w:rsidRDefault="000A1C2A" w:rsidP="006F4BF6">
            <w:pPr>
              <w:jc w:val="center"/>
              <w:rPr>
                <w:rFonts w:ascii="Arial Narrow" w:hAnsi="Arial Narrow"/>
                <w:color w:val="000000"/>
                <w:sz w:val="20"/>
                <w:szCs w:val="20"/>
              </w:rPr>
            </w:pPr>
            <w:r w:rsidRPr="006F4BF6">
              <w:rPr>
                <w:rFonts w:ascii="Arial Narrow" w:hAnsi="Arial Narrow"/>
                <w:color w:val="000000"/>
                <w:sz w:val="20"/>
                <w:szCs w:val="20"/>
              </w:rPr>
              <w:t>[95% Conf.</w:t>
            </w:r>
          </w:p>
        </w:tc>
        <w:tc>
          <w:tcPr>
            <w:tcW w:w="1148" w:type="dxa"/>
            <w:tcBorders>
              <w:top w:val="single" w:sz="4" w:space="0" w:color="auto"/>
              <w:left w:val="nil"/>
              <w:bottom w:val="single" w:sz="4" w:space="0" w:color="auto"/>
              <w:right w:val="nil"/>
            </w:tcBorders>
            <w:shd w:val="clear" w:color="auto" w:fill="auto"/>
            <w:noWrap/>
            <w:vAlign w:val="bottom"/>
            <w:hideMark/>
          </w:tcPr>
          <w:p w14:paraId="4AA573EA" w14:textId="77777777" w:rsidR="000A1C2A" w:rsidRPr="006F4BF6" w:rsidRDefault="000A1C2A" w:rsidP="006F4BF6">
            <w:pPr>
              <w:jc w:val="center"/>
              <w:rPr>
                <w:rFonts w:ascii="Arial Narrow" w:hAnsi="Arial Narrow"/>
                <w:color w:val="000000"/>
                <w:sz w:val="20"/>
                <w:szCs w:val="20"/>
              </w:rPr>
            </w:pPr>
            <w:r w:rsidRPr="006F4BF6">
              <w:rPr>
                <w:rFonts w:ascii="Arial Narrow" w:hAnsi="Arial Narrow"/>
                <w:color w:val="000000"/>
                <w:sz w:val="20"/>
                <w:szCs w:val="20"/>
              </w:rPr>
              <w:t>Interval]</w:t>
            </w:r>
          </w:p>
        </w:tc>
        <w:tc>
          <w:tcPr>
            <w:tcW w:w="1148" w:type="dxa"/>
            <w:tcBorders>
              <w:top w:val="single" w:sz="4" w:space="0" w:color="auto"/>
              <w:left w:val="nil"/>
              <w:bottom w:val="single" w:sz="4" w:space="0" w:color="auto"/>
              <w:right w:val="nil"/>
            </w:tcBorders>
            <w:shd w:val="clear" w:color="auto" w:fill="auto"/>
            <w:noWrap/>
            <w:vAlign w:val="bottom"/>
            <w:hideMark/>
          </w:tcPr>
          <w:p w14:paraId="485CA928" w14:textId="77777777" w:rsidR="000A1C2A" w:rsidRPr="006F4BF6" w:rsidRDefault="000A1C2A" w:rsidP="006F4BF6">
            <w:pPr>
              <w:jc w:val="center"/>
              <w:rPr>
                <w:rFonts w:ascii="Arial Narrow" w:hAnsi="Arial Narrow"/>
                <w:color w:val="000000"/>
                <w:sz w:val="20"/>
                <w:szCs w:val="20"/>
              </w:rPr>
            </w:pPr>
            <w:r w:rsidRPr="006F4BF6">
              <w:rPr>
                <w:rFonts w:ascii="Arial Narrow" w:hAnsi="Arial Narrow"/>
                <w:color w:val="000000"/>
                <w:sz w:val="20"/>
                <w:szCs w:val="20"/>
              </w:rPr>
              <w:t>Mean</w:t>
            </w:r>
          </w:p>
        </w:tc>
        <w:tc>
          <w:tcPr>
            <w:tcW w:w="1147" w:type="dxa"/>
            <w:tcBorders>
              <w:top w:val="single" w:sz="4" w:space="0" w:color="auto"/>
              <w:left w:val="nil"/>
              <w:bottom w:val="single" w:sz="4" w:space="0" w:color="auto"/>
              <w:right w:val="nil"/>
            </w:tcBorders>
            <w:shd w:val="clear" w:color="auto" w:fill="auto"/>
            <w:noWrap/>
            <w:vAlign w:val="bottom"/>
            <w:hideMark/>
          </w:tcPr>
          <w:p w14:paraId="25D23282" w14:textId="77777777" w:rsidR="000A1C2A" w:rsidRPr="006F4BF6" w:rsidRDefault="000A1C2A" w:rsidP="006F4BF6">
            <w:pPr>
              <w:jc w:val="center"/>
              <w:rPr>
                <w:rFonts w:ascii="Arial Narrow" w:hAnsi="Arial Narrow"/>
                <w:color w:val="000000"/>
                <w:sz w:val="20"/>
                <w:szCs w:val="20"/>
              </w:rPr>
            </w:pPr>
            <w:r w:rsidRPr="006F4BF6">
              <w:rPr>
                <w:rFonts w:ascii="Arial Narrow" w:hAnsi="Arial Narrow"/>
                <w:color w:val="000000"/>
                <w:sz w:val="20"/>
                <w:szCs w:val="20"/>
              </w:rPr>
              <w:t>Std. Err.</w:t>
            </w:r>
          </w:p>
        </w:tc>
        <w:tc>
          <w:tcPr>
            <w:tcW w:w="1148" w:type="dxa"/>
            <w:tcBorders>
              <w:top w:val="single" w:sz="4" w:space="0" w:color="auto"/>
              <w:left w:val="nil"/>
              <w:bottom w:val="single" w:sz="4" w:space="0" w:color="auto"/>
              <w:right w:val="nil"/>
            </w:tcBorders>
            <w:shd w:val="clear" w:color="auto" w:fill="auto"/>
            <w:noWrap/>
            <w:vAlign w:val="bottom"/>
            <w:hideMark/>
          </w:tcPr>
          <w:p w14:paraId="0BE869F0" w14:textId="77777777" w:rsidR="000A1C2A" w:rsidRPr="006F4BF6" w:rsidRDefault="000A1C2A" w:rsidP="006F4BF6">
            <w:pPr>
              <w:jc w:val="center"/>
              <w:rPr>
                <w:rFonts w:ascii="Arial Narrow" w:hAnsi="Arial Narrow"/>
                <w:color w:val="000000"/>
                <w:sz w:val="20"/>
                <w:szCs w:val="20"/>
              </w:rPr>
            </w:pPr>
            <w:r w:rsidRPr="006F4BF6">
              <w:rPr>
                <w:rFonts w:ascii="Arial Narrow" w:hAnsi="Arial Narrow"/>
                <w:color w:val="000000"/>
                <w:sz w:val="20"/>
                <w:szCs w:val="20"/>
              </w:rPr>
              <w:t>[95% Conf.</w:t>
            </w:r>
          </w:p>
        </w:tc>
        <w:tc>
          <w:tcPr>
            <w:tcW w:w="1148" w:type="dxa"/>
            <w:tcBorders>
              <w:top w:val="single" w:sz="4" w:space="0" w:color="auto"/>
              <w:left w:val="nil"/>
              <w:bottom w:val="single" w:sz="4" w:space="0" w:color="auto"/>
              <w:right w:val="nil"/>
            </w:tcBorders>
            <w:shd w:val="clear" w:color="auto" w:fill="auto"/>
            <w:noWrap/>
            <w:vAlign w:val="bottom"/>
            <w:hideMark/>
          </w:tcPr>
          <w:p w14:paraId="6E34E551" w14:textId="77777777" w:rsidR="000A1C2A" w:rsidRPr="006F4BF6" w:rsidRDefault="000A1C2A" w:rsidP="006F4BF6">
            <w:pPr>
              <w:jc w:val="center"/>
              <w:rPr>
                <w:rFonts w:ascii="Arial Narrow" w:hAnsi="Arial Narrow"/>
                <w:color w:val="000000"/>
                <w:sz w:val="20"/>
                <w:szCs w:val="20"/>
              </w:rPr>
            </w:pPr>
            <w:r w:rsidRPr="006F4BF6">
              <w:rPr>
                <w:rFonts w:ascii="Arial Narrow" w:hAnsi="Arial Narrow"/>
                <w:color w:val="000000"/>
                <w:sz w:val="20"/>
                <w:szCs w:val="20"/>
              </w:rPr>
              <w:t>Interval]</w:t>
            </w:r>
          </w:p>
        </w:tc>
      </w:tr>
      <w:tr w:rsidR="006F4BF6" w:rsidRPr="006E1452" w14:paraId="067FD6CC" w14:textId="77777777" w:rsidTr="0043458D">
        <w:trPr>
          <w:trHeight w:val="280"/>
        </w:trPr>
        <w:tc>
          <w:tcPr>
            <w:tcW w:w="1005" w:type="dxa"/>
            <w:tcBorders>
              <w:top w:val="nil"/>
              <w:left w:val="nil"/>
              <w:bottom w:val="nil"/>
              <w:right w:val="nil"/>
            </w:tcBorders>
            <w:shd w:val="clear" w:color="auto" w:fill="auto"/>
            <w:noWrap/>
            <w:vAlign w:val="bottom"/>
            <w:hideMark/>
          </w:tcPr>
          <w:p w14:paraId="19EFA5D4" w14:textId="77777777" w:rsidR="006F4BF6" w:rsidRPr="006F4BF6" w:rsidRDefault="006F4BF6" w:rsidP="00DC36C5">
            <w:pPr>
              <w:jc w:val="center"/>
              <w:rPr>
                <w:rFonts w:ascii="Arial Narrow" w:hAnsi="Arial Narrow"/>
                <w:color w:val="000000"/>
                <w:sz w:val="20"/>
                <w:szCs w:val="20"/>
              </w:rPr>
            </w:pPr>
            <w:r w:rsidRPr="006F4BF6">
              <w:rPr>
                <w:rFonts w:ascii="Arial Narrow" w:hAnsi="Arial Narrow"/>
                <w:color w:val="000000"/>
                <w:sz w:val="20"/>
                <w:szCs w:val="20"/>
              </w:rPr>
              <w:t>1</w:t>
            </w:r>
          </w:p>
        </w:tc>
        <w:tc>
          <w:tcPr>
            <w:tcW w:w="1147" w:type="dxa"/>
            <w:tcBorders>
              <w:top w:val="single" w:sz="4" w:space="0" w:color="auto"/>
              <w:left w:val="nil"/>
              <w:bottom w:val="nil"/>
              <w:right w:val="nil"/>
            </w:tcBorders>
            <w:shd w:val="clear" w:color="auto" w:fill="auto"/>
            <w:noWrap/>
            <w:vAlign w:val="bottom"/>
            <w:hideMark/>
          </w:tcPr>
          <w:p w14:paraId="19B98478"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1338</w:t>
            </w:r>
          </w:p>
        </w:tc>
        <w:tc>
          <w:tcPr>
            <w:tcW w:w="1148" w:type="dxa"/>
            <w:tcBorders>
              <w:top w:val="single" w:sz="4" w:space="0" w:color="auto"/>
              <w:left w:val="nil"/>
              <w:bottom w:val="nil"/>
              <w:right w:val="nil"/>
            </w:tcBorders>
            <w:shd w:val="clear" w:color="auto" w:fill="auto"/>
            <w:noWrap/>
            <w:vAlign w:val="bottom"/>
            <w:hideMark/>
          </w:tcPr>
          <w:p w14:paraId="7D1BA9E2"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76</w:t>
            </w:r>
          </w:p>
        </w:tc>
        <w:tc>
          <w:tcPr>
            <w:tcW w:w="1147" w:type="dxa"/>
            <w:tcBorders>
              <w:top w:val="single" w:sz="4" w:space="0" w:color="auto"/>
              <w:left w:val="nil"/>
              <w:bottom w:val="nil"/>
              <w:right w:val="nil"/>
            </w:tcBorders>
            <w:shd w:val="clear" w:color="auto" w:fill="auto"/>
            <w:noWrap/>
            <w:vAlign w:val="bottom"/>
            <w:hideMark/>
          </w:tcPr>
          <w:p w14:paraId="29514F72"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1189</w:t>
            </w:r>
          </w:p>
        </w:tc>
        <w:tc>
          <w:tcPr>
            <w:tcW w:w="1148" w:type="dxa"/>
            <w:tcBorders>
              <w:top w:val="single" w:sz="4" w:space="0" w:color="auto"/>
              <w:left w:val="nil"/>
              <w:bottom w:val="nil"/>
              <w:right w:val="nil"/>
            </w:tcBorders>
            <w:shd w:val="clear" w:color="auto" w:fill="auto"/>
            <w:noWrap/>
            <w:vAlign w:val="bottom"/>
            <w:hideMark/>
          </w:tcPr>
          <w:p w14:paraId="2F618422"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1486</w:t>
            </w:r>
          </w:p>
        </w:tc>
        <w:tc>
          <w:tcPr>
            <w:tcW w:w="1148" w:type="dxa"/>
            <w:tcBorders>
              <w:top w:val="single" w:sz="4" w:space="0" w:color="auto"/>
              <w:left w:val="nil"/>
              <w:bottom w:val="nil"/>
              <w:right w:val="nil"/>
            </w:tcBorders>
            <w:shd w:val="clear" w:color="auto" w:fill="auto"/>
            <w:noWrap/>
            <w:vAlign w:val="bottom"/>
            <w:hideMark/>
          </w:tcPr>
          <w:p w14:paraId="4B16DD46"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2771</w:t>
            </w:r>
          </w:p>
        </w:tc>
        <w:tc>
          <w:tcPr>
            <w:tcW w:w="1147" w:type="dxa"/>
            <w:tcBorders>
              <w:top w:val="single" w:sz="4" w:space="0" w:color="auto"/>
              <w:left w:val="nil"/>
              <w:bottom w:val="nil"/>
              <w:right w:val="nil"/>
            </w:tcBorders>
            <w:shd w:val="clear" w:color="auto" w:fill="auto"/>
            <w:noWrap/>
            <w:vAlign w:val="bottom"/>
            <w:hideMark/>
          </w:tcPr>
          <w:p w14:paraId="4733A6DD"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136</w:t>
            </w:r>
          </w:p>
        </w:tc>
        <w:tc>
          <w:tcPr>
            <w:tcW w:w="1148" w:type="dxa"/>
            <w:tcBorders>
              <w:top w:val="single" w:sz="4" w:space="0" w:color="auto"/>
              <w:left w:val="nil"/>
              <w:bottom w:val="nil"/>
              <w:right w:val="nil"/>
            </w:tcBorders>
            <w:shd w:val="clear" w:color="auto" w:fill="auto"/>
            <w:noWrap/>
            <w:vAlign w:val="bottom"/>
            <w:hideMark/>
          </w:tcPr>
          <w:p w14:paraId="23953D5C"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2504</w:t>
            </w:r>
          </w:p>
        </w:tc>
        <w:tc>
          <w:tcPr>
            <w:tcW w:w="1148" w:type="dxa"/>
            <w:tcBorders>
              <w:top w:val="single" w:sz="4" w:space="0" w:color="auto"/>
              <w:left w:val="nil"/>
              <w:bottom w:val="nil"/>
              <w:right w:val="nil"/>
            </w:tcBorders>
            <w:shd w:val="clear" w:color="auto" w:fill="auto"/>
            <w:noWrap/>
            <w:vAlign w:val="bottom"/>
            <w:hideMark/>
          </w:tcPr>
          <w:p w14:paraId="2F5FBA6E"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3038</w:t>
            </w:r>
          </w:p>
        </w:tc>
      </w:tr>
      <w:tr w:rsidR="006F4BF6" w:rsidRPr="006E1452" w14:paraId="7070625E" w14:textId="77777777" w:rsidTr="0043458D">
        <w:trPr>
          <w:trHeight w:val="280"/>
        </w:trPr>
        <w:tc>
          <w:tcPr>
            <w:tcW w:w="1005" w:type="dxa"/>
            <w:tcBorders>
              <w:top w:val="nil"/>
              <w:left w:val="nil"/>
              <w:bottom w:val="nil"/>
              <w:right w:val="nil"/>
            </w:tcBorders>
            <w:shd w:val="clear" w:color="auto" w:fill="auto"/>
            <w:noWrap/>
            <w:vAlign w:val="bottom"/>
            <w:hideMark/>
          </w:tcPr>
          <w:p w14:paraId="715FF280" w14:textId="77777777" w:rsidR="006F4BF6" w:rsidRPr="006F4BF6" w:rsidRDefault="006F4BF6" w:rsidP="00DC36C5">
            <w:pPr>
              <w:jc w:val="center"/>
              <w:rPr>
                <w:rFonts w:ascii="Arial Narrow" w:hAnsi="Arial Narrow"/>
                <w:color w:val="000000"/>
                <w:sz w:val="20"/>
                <w:szCs w:val="20"/>
              </w:rPr>
            </w:pPr>
            <w:r w:rsidRPr="006F4BF6">
              <w:rPr>
                <w:rFonts w:ascii="Arial Narrow" w:hAnsi="Arial Narrow"/>
                <w:color w:val="000000"/>
                <w:sz w:val="20"/>
                <w:szCs w:val="20"/>
              </w:rPr>
              <w:t>2</w:t>
            </w:r>
          </w:p>
        </w:tc>
        <w:tc>
          <w:tcPr>
            <w:tcW w:w="1147" w:type="dxa"/>
            <w:tcBorders>
              <w:top w:val="nil"/>
              <w:left w:val="nil"/>
              <w:bottom w:val="nil"/>
              <w:right w:val="nil"/>
            </w:tcBorders>
            <w:shd w:val="clear" w:color="auto" w:fill="auto"/>
            <w:noWrap/>
            <w:vAlign w:val="bottom"/>
            <w:hideMark/>
          </w:tcPr>
          <w:p w14:paraId="08E700A7"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1710</w:t>
            </w:r>
          </w:p>
        </w:tc>
        <w:tc>
          <w:tcPr>
            <w:tcW w:w="1148" w:type="dxa"/>
            <w:tcBorders>
              <w:top w:val="nil"/>
              <w:left w:val="nil"/>
              <w:bottom w:val="nil"/>
              <w:right w:val="nil"/>
            </w:tcBorders>
            <w:shd w:val="clear" w:color="auto" w:fill="auto"/>
            <w:noWrap/>
            <w:vAlign w:val="bottom"/>
            <w:hideMark/>
          </w:tcPr>
          <w:p w14:paraId="2110CCBA"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88</w:t>
            </w:r>
          </w:p>
        </w:tc>
        <w:tc>
          <w:tcPr>
            <w:tcW w:w="1147" w:type="dxa"/>
            <w:tcBorders>
              <w:top w:val="nil"/>
              <w:left w:val="nil"/>
              <w:bottom w:val="nil"/>
              <w:right w:val="nil"/>
            </w:tcBorders>
            <w:shd w:val="clear" w:color="auto" w:fill="auto"/>
            <w:noWrap/>
            <w:vAlign w:val="bottom"/>
            <w:hideMark/>
          </w:tcPr>
          <w:p w14:paraId="1C8ACF0B"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1537</w:t>
            </w:r>
          </w:p>
        </w:tc>
        <w:tc>
          <w:tcPr>
            <w:tcW w:w="1148" w:type="dxa"/>
            <w:tcBorders>
              <w:top w:val="nil"/>
              <w:left w:val="nil"/>
              <w:bottom w:val="nil"/>
              <w:right w:val="nil"/>
            </w:tcBorders>
            <w:shd w:val="clear" w:color="auto" w:fill="auto"/>
            <w:noWrap/>
            <w:vAlign w:val="bottom"/>
            <w:hideMark/>
          </w:tcPr>
          <w:p w14:paraId="143599D0"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1883</w:t>
            </w:r>
          </w:p>
        </w:tc>
        <w:tc>
          <w:tcPr>
            <w:tcW w:w="1148" w:type="dxa"/>
            <w:tcBorders>
              <w:top w:val="nil"/>
              <w:left w:val="nil"/>
              <w:bottom w:val="nil"/>
              <w:right w:val="nil"/>
            </w:tcBorders>
            <w:shd w:val="clear" w:color="auto" w:fill="auto"/>
            <w:noWrap/>
            <w:vAlign w:val="bottom"/>
            <w:hideMark/>
          </w:tcPr>
          <w:p w14:paraId="675A789B"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3884</w:t>
            </w:r>
          </w:p>
        </w:tc>
        <w:tc>
          <w:tcPr>
            <w:tcW w:w="1147" w:type="dxa"/>
            <w:tcBorders>
              <w:top w:val="nil"/>
              <w:left w:val="nil"/>
              <w:bottom w:val="nil"/>
              <w:right w:val="nil"/>
            </w:tcBorders>
            <w:shd w:val="clear" w:color="auto" w:fill="auto"/>
            <w:noWrap/>
            <w:vAlign w:val="bottom"/>
            <w:hideMark/>
          </w:tcPr>
          <w:p w14:paraId="14D1CD6B"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230</w:t>
            </w:r>
          </w:p>
        </w:tc>
        <w:tc>
          <w:tcPr>
            <w:tcW w:w="1148" w:type="dxa"/>
            <w:tcBorders>
              <w:top w:val="nil"/>
              <w:left w:val="nil"/>
              <w:bottom w:val="nil"/>
              <w:right w:val="nil"/>
            </w:tcBorders>
            <w:shd w:val="clear" w:color="auto" w:fill="auto"/>
            <w:noWrap/>
            <w:vAlign w:val="bottom"/>
            <w:hideMark/>
          </w:tcPr>
          <w:p w14:paraId="4FC2460E"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3434</w:t>
            </w:r>
          </w:p>
        </w:tc>
        <w:tc>
          <w:tcPr>
            <w:tcW w:w="1148" w:type="dxa"/>
            <w:tcBorders>
              <w:top w:val="nil"/>
              <w:left w:val="nil"/>
              <w:bottom w:val="nil"/>
              <w:right w:val="nil"/>
            </w:tcBorders>
            <w:shd w:val="clear" w:color="auto" w:fill="auto"/>
            <w:noWrap/>
            <w:vAlign w:val="bottom"/>
            <w:hideMark/>
          </w:tcPr>
          <w:p w14:paraId="6B066C29"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4335</w:t>
            </w:r>
          </w:p>
        </w:tc>
      </w:tr>
      <w:tr w:rsidR="006F4BF6" w:rsidRPr="006E1452" w14:paraId="5F83A7FE" w14:textId="77777777" w:rsidTr="0043458D">
        <w:trPr>
          <w:trHeight w:val="280"/>
        </w:trPr>
        <w:tc>
          <w:tcPr>
            <w:tcW w:w="1005" w:type="dxa"/>
            <w:tcBorders>
              <w:top w:val="nil"/>
              <w:left w:val="nil"/>
              <w:bottom w:val="nil"/>
              <w:right w:val="nil"/>
            </w:tcBorders>
            <w:shd w:val="clear" w:color="auto" w:fill="auto"/>
            <w:noWrap/>
            <w:vAlign w:val="bottom"/>
            <w:hideMark/>
          </w:tcPr>
          <w:p w14:paraId="227AAB8F" w14:textId="77777777" w:rsidR="006F4BF6" w:rsidRPr="006F4BF6" w:rsidRDefault="006F4BF6" w:rsidP="00DC36C5">
            <w:pPr>
              <w:jc w:val="center"/>
              <w:rPr>
                <w:rFonts w:ascii="Arial Narrow" w:hAnsi="Arial Narrow"/>
                <w:color w:val="000000"/>
                <w:sz w:val="20"/>
                <w:szCs w:val="20"/>
              </w:rPr>
            </w:pPr>
            <w:r w:rsidRPr="006F4BF6">
              <w:rPr>
                <w:rFonts w:ascii="Arial Narrow" w:hAnsi="Arial Narrow"/>
                <w:color w:val="000000"/>
                <w:sz w:val="20"/>
                <w:szCs w:val="20"/>
              </w:rPr>
              <w:t>3</w:t>
            </w:r>
          </w:p>
        </w:tc>
        <w:tc>
          <w:tcPr>
            <w:tcW w:w="1147" w:type="dxa"/>
            <w:tcBorders>
              <w:top w:val="nil"/>
              <w:left w:val="nil"/>
              <w:bottom w:val="nil"/>
              <w:right w:val="nil"/>
            </w:tcBorders>
            <w:shd w:val="clear" w:color="auto" w:fill="auto"/>
            <w:noWrap/>
            <w:vAlign w:val="bottom"/>
            <w:hideMark/>
          </w:tcPr>
          <w:p w14:paraId="571446B8"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2015</w:t>
            </w:r>
          </w:p>
        </w:tc>
        <w:tc>
          <w:tcPr>
            <w:tcW w:w="1148" w:type="dxa"/>
            <w:tcBorders>
              <w:top w:val="nil"/>
              <w:left w:val="nil"/>
              <w:bottom w:val="nil"/>
              <w:right w:val="nil"/>
            </w:tcBorders>
            <w:shd w:val="clear" w:color="auto" w:fill="auto"/>
            <w:noWrap/>
            <w:vAlign w:val="bottom"/>
            <w:hideMark/>
          </w:tcPr>
          <w:p w14:paraId="3FE9DC68"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100</w:t>
            </w:r>
          </w:p>
        </w:tc>
        <w:tc>
          <w:tcPr>
            <w:tcW w:w="1147" w:type="dxa"/>
            <w:tcBorders>
              <w:top w:val="nil"/>
              <w:left w:val="nil"/>
              <w:bottom w:val="nil"/>
              <w:right w:val="nil"/>
            </w:tcBorders>
            <w:shd w:val="clear" w:color="auto" w:fill="auto"/>
            <w:noWrap/>
            <w:vAlign w:val="bottom"/>
            <w:hideMark/>
          </w:tcPr>
          <w:p w14:paraId="09B95A46"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1818</w:t>
            </w:r>
          </w:p>
        </w:tc>
        <w:tc>
          <w:tcPr>
            <w:tcW w:w="1148" w:type="dxa"/>
            <w:tcBorders>
              <w:top w:val="nil"/>
              <w:left w:val="nil"/>
              <w:bottom w:val="nil"/>
              <w:right w:val="nil"/>
            </w:tcBorders>
            <w:shd w:val="clear" w:color="auto" w:fill="auto"/>
            <w:noWrap/>
            <w:vAlign w:val="bottom"/>
            <w:hideMark/>
          </w:tcPr>
          <w:p w14:paraId="26C8F6C3"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2211</w:t>
            </w:r>
          </w:p>
        </w:tc>
        <w:tc>
          <w:tcPr>
            <w:tcW w:w="1148" w:type="dxa"/>
            <w:tcBorders>
              <w:top w:val="nil"/>
              <w:left w:val="nil"/>
              <w:bottom w:val="nil"/>
              <w:right w:val="nil"/>
            </w:tcBorders>
            <w:shd w:val="clear" w:color="auto" w:fill="auto"/>
            <w:noWrap/>
            <w:vAlign w:val="bottom"/>
            <w:hideMark/>
          </w:tcPr>
          <w:p w14:paraId="06AF6DB0"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4291</w:t>
            </w:r>
          </w:p>
        </w:tc>
        <w:tc>
          <w:tcPr>
            <w:tcW w:w="1147" w:type="dxa"/>
            <w:tcBorders>
              <w:top w:val="nil"/>
              <w:left w:val="nil"/>
              <w:bottom w:val="nil"/>
              <w:right w:val="nil"/>
            </w:tcBorders>
            <w:shd w:val="clear" w:color="auto" w:fill="auto"/>
            <w:noWrap/>
            <w:vAlign w:val="bottom"/>
            <w:hideMark/>
          </w:tcPr>
          <w:p w14:paraId="130F9A0F"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215</w:t>
            </w:r>
          </w:p>
        </w:tc>
        <w:tc>
          <w:tcPr>
            <w:tcW w:w="1148" w:type="dxa"/>
            <w:tcBorders>
              <w:top w:val="nil"/>
              <w:left w:val="nil"/>
              <w:bottom w:val="nil"/>
              <w:right w:val="nil"/>
            </w:tcBorders>
            <w:shd w:val="clear" w:color="auto" w:fill="auto"/>
            <w:noWrap/>
            <w:vAlign w:val="bottom"/>
            <w:hideMark/>
          </w:tcPr>
          <w:p w14:paraId="5895EFDD"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3870</w:t>
            </w:r>
          </w:p>
        </w:tc>
        <w:tc>
          <w:tcPr>
            <w:tcW w:w="1148" w:type="dxa"/>
            <w:tcBorders>
              <w:top w:val="nil"/>
              <w:left w:val="nil"/>
              <w:bottom w:val="nil"/>
              <w:right w:val="nil"/>
            </w:tcBorders>
            <w:shd w:val="clear" w:color="auto" w:fill="auto"/>
            <w:noWrap/>
            <w:vAlign w:val="bottom"/>
            <w:hideMark/>
          </w:tcPr>
          <w:p w14:paraId="0B1FD6E4"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4712</w:t>
            </w:r>
          </w:p>
        </w:tc>
      </w:tr>
      <w:tr w:rsidR="006F4BF6" w:rsidRPr="006E1452" w14:paraId="6A96ADC9" w14:textId="77777777" w:rsidTr="0043458D">
        <w:trPr>
          <w:trHeight w:val="280"/>
        </w:trPr>
        <w:tc>
          <w:tcPr>
            <w:tcW w:w="1005" w:type="dxa"/>
            <w:tcBorders>
              <w:top w:val="nil"/>
              <w:left w:val="nil"/>
              <w:bottom w:val="nil"/>
              <w:right w:val="nil"/>
            </w:tcBorders>
            <w:shd w:val="clear" w:color="auto" w:fill="auto"/>
            <w:noWrap/>
            <w:vAlign w:val="bottom"/>
            <w:hideMark/>
          </w:tcPr>
          <w:p w14:paraId="58D099D5" w14:textId="77777777" w:rsidR="006F4BF6" w:rsidRPr="006F4BF6" w:rsidRDefault="006F4BF6" w:rsidP="00DC36C5">
            <w:pPr>
              <w:jc w:val="center"/>
              <w:rPr>
                <w:rFonts w:ascii="Arial Narrow" w:hAnsi="Arial Narrow"/>
                <w:color w:val="000000"/>
                <w:sz w:val="20"/>
                <w:szCs w:val="20"/>
              </w:rPr>
            </w:pPr>
            <w:r w:rsidRPr="006F4BF6">
              <w:rPr>
                <w:rFonts w:ascii="Arial Narrow" w:hAnsi="Arial Narrow"/>
                <w:color w:val="000000"/>
                <w:sz w:val="20"/>
                <w:szCs w:val="20"/>
              </w:rPr>
              <w:t>4</w:t>
            </w:r>
          </w:p>
        </w:tc>
        <w:tc>
          <w:tcPr>
            <w:tcW w:w="1147" w:type="dxa"/>
            <w:tcBorders>
              <w:top w:val="nil"/>
              <w:left w:val="nil"/>
              <w:bottom w:val="nil"/>
              <w:right w:val="nil"/>
            </w:tcBorders>
            <w:shd w:val="clear" w:color="auto" w:fill="auto"/>
            <w:noWrap/>
            <w:vAlign w:val="bottom"/>
            <w:hideMark/>
          </w:tcPr>
          <w:p w14:paraId="55AA630F"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2309</w:t>
            </w:r>
          </w:p>
        </w:tc>
        <w:tc>
          <w:tcPr>
            <w:tcW w:w="1148" w:type="dxa"/>
            <w:tcBorders>
              <w:top w:val="nil"/>
              <w:left w:val="nil"/>
              <w:bottom w:val="nil"/>
              <w:right w:val="nil"/>
            </w:tcBorders>
            <w:shd w:val="clear" w:color="auto" w:fill="auto"/>
            <w:noWrap/>
            <w:vAlign w:val="bottom"/>
            <w:hideMark/>
          </w:tcPr>
          <w:p w14:paraId="04A718C2"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109</w:t>
            </w:r>
          </w:p>
        </w:tc>
        <w:tc>
          <w:tcPr>
            <w:tcW w:w="1147" w:type="dxa"/>
            <w:tcBorders>
              <w:top w:val="nil"/>
              <w:left w:val="nil"/>
              <w:bottom w:val="nil"/>
              <w:right w:val="nil"/>
            </w:tcBorders>
            <w:shd w:val="clear" w:color="auto" w:fill="auto"/>
            <w:noWrap/>
            <w:vAlign w:val="bottom"/>
            <w:hideMark/>
          </w:tcPr>
          <w:p w14:paraId="196D89F2"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2096</w:t>
            </w:r>
          </w:p>
        </w:tc>
        <w:tc>
          <w:tcPr>
            <w:tcW w:w="1148" w:type="dxa"/>
            <w:tcBorders>
              <w:top w:val="nil"/>
              <w:left w:val="nil"/>
              <w:bottom w:val="nil"/>
              <w:right w:val="nil"/>
            </w:tcBorders>
            <w:shd w:val="clear" w:color="auto" w:fill="auto"/>
            <w:noWrap/>
            <w:vAlign w:val="bottom"/>
            <w:hideMark/>
          </w:tcPr>
          <w:p w14:paraId="1A51B69F"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2523</w:t>
            </w:r>
          </w:p>
        </w:tc>
        <w:tc>
          <w:tcPr>
            <w:tcW w:w="1148" w:type="dxa"/>
            <w:tcBorders>
              <w:top w:val="nil"/>
              <w:left w:val="nil"/>
              <w:bottom w:val="nil"/>
              <w:right w:val="nil"/>
            </w:tcBorders>
            <w:shd w:val="clear" w:color="auto" w:fill="auto"/>
            <w:noWrap/>
            <w:vAlign w:val="bottom"/>
            <w:hideMark/>
          </w:tcPr>
          <w:p w14:paraId="4BD7C3F5"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4944</w:t>
            </w:r>
          </w:p>
        </w:tc>
        <w:tc>
          <w:tcPr>
            <w:tcW w:w="1147" w:type="dxa"/>
            <w:tcBorders>
              <w:top w:val="nil"/>
              <w:left w:val="nil"/>
              <w:bottom w:val="nil"/>
              <w:right w:val="nil"/>
            </w:tcBorders>
            <w:shd w:val="clear" w:color="auto" w:fill="auto"/>
            <w:noWrap/>
            <w:vAlign w:val="bottom"/>
            <w:hideMark/>
          </w:tcPr>
          <w:p w14:paraId="2F8571CF"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324</w:t>
            </w:r>
          </w:p>
        </w:tc>
        <w:tc>
          <w:tcPr>
            <w:tcW w:w="1148" w:type="dxa"/>
            <w:tcBorders>
              <w:top w:val="nil"/>
              <w:left w:val="nil"/>
              <w:bottom w:val="nil"/>
              <w:right w:val="nil"/>
            </w:tcBorders>
            <w:shd w:val="clear" w:color="auto" w:fill="auto"/>
            <w:noWrap/>
            <w:vAlign w:val="bottom"/>
            <w:hideMark/>
          </w:tcPr>
          <w:p w14:paraId="2D6BE9F1"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4308</w:t>
            </w:r>
          </w:p>
        </w:tc>
        <w:tc>
          <w:tcPr>
            <w:tcW w:w="1148" w:type="dxa"/>
            <w:tcBorders>
              <w:top w:val="nil"/>
              <w:left w:val="nil"/>
              <w:bottom w:val="nil"/>
              <w:right w:val="nil"/>
            </w:tcBorders>
            <w:shd w:val="clear" w:color="auto" w:fill="auto"/>
            <w:noWrap/>
            <w:vAlign w:val="bottom"/>
            <w:hideMark/>
          </w:tcPr>
          <w:p w14:paraId="1FFA90EE"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5579</w:t>
            </w:r>
          </w:p>
        </w:tc>
      </w:tr>
      <w:tr w:rsidR="006F4BF6" w:rsidRPr="006E1452" w14:paraId="23A4C044" w14:textId="77777777" w:rsidTr="0043458D">
        <w:trPr>
          <w:trHeight w:val="280"/>
        </w:trPr>
        <w:tc>
          <w:tcPr>
            <w:tcW w:w="1005" w:type="dxa"/>
            <w:tcBorders>
              <w:top w:val="nil"/>
              <w:left w:val="nil"/>
              <w:bottom w:val="single" w:sz="4" w:space="0" w:color="auto"/>
              <w:right w:val="nil"/>
            </w:tcBorders>
            <w:shd w:val="clear" w:color="auto" w:fill="auto"/>
            <w:noWrap/>
            <w:vAlign w:val="bottom"/>
            <w:hideMark/>
          </w:tcPr>
          <w:p w14:paraId="3195E21F" w14:textId="77777777" w:rsidR="006F4BF6" w:rsidRPr="006F4BF6" w:rsidRDefault="006F4BF6" w:rsidP="00DC36C5">
            <w:pPr>
              <w:jc w:val="center"/>
              <w:rPr>
                <w:rFonts w:ascii="Arial Narrow" w:hAnsi="Arial Narrow"/>
                <w:color w:val="000000"/>
                <w:sz w:val="20"/>
                <w:szCs w:val="20"/>
              </w:rPr>
            </w:pPr>
            <w:r w:rsidRPr="006F4BF6">
              <w:rPr>
                <w:rFonts w:ascii="Arial Narrow" w:hAnsi="Arial Narrow"/>
                <w:color w:val="000000"/>
                <w:sz w:val="20"/>
                <w:szCs w:val="20"/>
              </w:rPr>
              <w:t>5</w:t>
            </w:r>
          </w:p>
        </w:tc>
        <w:tc>
          <w:tcPr>
            <w:tcW w:w="1147" w:type="dxa"/>
            <w:tcBorders>
              <w:top w:val="nil"/>
              <w:left w:val="nil"/>
              <w:bottom w:val="single" w:sz="4" w:space="0" w:color="auto"/>
              <w:right w:val="nil"/>
            </w:tcBorders>
            <w:shd w:val="clear" w:color="auto" w:fill="auto"/>
            <w:noWrap/>
            <w:vAlign w:val="bottom"/>
            <w:hideMark/>
          </w:tcPr>
          <w:p w14:paraId="5E107A87"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2566</w:t>
            </w:r>
          </w:p>
        </w:tc>
        <w:tc>
          <w:tcPr>
            <w:tcW w:w="1148" w:type="dxa"/>
            <w:tcBorders>
              <w:top w:val="nil"/>
              <w:left w:val="nil"/>
              <w:bottom w:val="single" w:sz="4" w:space="0" w:color="auto"/>
              <w:right w:val="nil"/>
            </w:tcBorders>
            <w:shd w:val="clear" w:color="auto" w:fill="auto"/>
            <w:noWrap/>
            <w:vAlign w:val="bottom"/>
            <w:hideMark/>
          </w:tcPr>
          <w:p w14:paraId="393980E2"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117</w:t>
            </w:r>
          </w:p>
        </w:tc>
        <w:tc>
          <w:tcPr>
            <w:tcW w:w="1147" w:type="dxa"/>
            <w:tcBorders>
              <w:top w:val="nil"/>
              <w:left w:val="nil"/>
              <w:bottom w:val="single" w:sz="4" w:space="0" w:color="auto"/>
              <w:right w:val="nil"/>
            </w:tcBorders>
            <w:shd w:val="clear" w:color="auto" w:fill="auto"/>
            <w:noWrap/>
            <w:vAlign w:val="bottom"/>
            <w:hideMark/>
          </w:tcPr>
          <w:p w14:paraId="6E1230E5"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2338</w:t>
            </w:r>
          </w:p>
        </w:tc>
        <w:tc>
          <w:tcPr>
            <w:tcW w:w="1148" w:type="dxa"/>
            <w:tcBorders>
              <w:top w:val="nil"/>
              <w:left w:val="nil"/>
              <w:bottom w:val="single" w:sz="4" w:space="0" w:color="auto"/>
              <w:right w:val="nil"/>
            </w:tcBorders>
            <w:shd w:val="clear" w:color="auto" w:fill="auto"/>
            <w:noWrap/>
            <w:vAlign w:val="bottom"/>
            <w:hideMark/>
          </w:tcPr>
          <w:p w14:paraId="4AEAB661"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2795</w:t>
            </w:r>
          </w:p>
        </w:tc>
        <w:tc>
          <w:tcPr>
            <w:tcW w:w="1148" w:type="dxa"/>
            <w:tcBorders>
              <w:top w:val="nil"/>
              <w:left w:val="nil"/>
              <w:bottom w:val="single" w:sz="4" w:space="0" w:color="auto"/>
              <w:right w:val="nil"/>
            </w:tcBorders>
            <w:shd w:val="clear" w:color="auto" w:fill="auto"/>
            <w:noWrap/>
            <w:vAlign w:val="bottom"/>
            <w:hideMark/>
          </w:tcPr>
          <w:p w14:paraId="29638460"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4967</w:t>
            </w:r>
          </w:p>
        </w:tc>
        <w:tc>
          <w:tcPr>
            <w:tcW w:w="1147" w:type="dxa"/>
            <w:tcBorders>
              <w:top w:val="nil"/>
              <w:left w:val="nil"/>
              <w:bottom w:val="single" w:sz="4" w:space="0" w:color="auto"/>
              <w:right w:val="nil"/>
            </w:tcBorders>
            <w:shd w:val="clear" w:color="auto" w:fill="auto"/>
            <w:noWrap/>
            <w:vAlign w:val="bottom"/>
            <w:hideMark/>
          </w:tcPr>
          <w:p w14:paraId="69DA283F"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239</w:t>
            </w:r>
          </w:p>
        </w:tc>
        <w:tc>
          <w:tcPr>
            <w:tcW w:w="1148" w:type="dxa"/>
            <w:tcBorders>
              <w:top w:val="nil"/>
              <w:left w:val="nil"/>
              <w:bottom w:val="single" w:sz="4" w:space="0" w:color="auto"/>
              <w:right w:val="nil"/>
            </w:tcBorders>
            <w:shd w:val="clear" w:color="auto" w:fill="auto"/>
            <w:noWrap/>
            <w:vAlign w:val="bottom"/>
            <w:hideMark/>
          </w:tcPr>
          <w:p w14:paraId="7146DCC3"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4499</w:t>
            </w:r>
          </w:p>
        </w:tc>
        <w:tc>
          <w:tcPr>
            <w:tcW w:w="1148" w:type="dxa"/>
            <w:tcBorders>
              <w:top w:val="nil"/>
              <w:left w:val="nil"/>
              <w:bottom w:val="single" w:sz="4" w:space="0" w:color="auto"/>
              <w:right w:val="nil"/>
            </w:tcBorders>
            <w:shd w:val="clear" w:color="auto" w:fill="auto"/>
            <w:noWrap/>
            <w:vAlign w:val="bottom"/>
            <w:hideMark/>
          </w:tcPr>
          <w:p w14:paraId="469029EA" w14:textId="77777777" w:rsidR="006F4BF6" w:rsidRPr="006F4BF6" w:rsidRDefault="006F4BF6">
            <w:pPr>
              <w:jc w:val="center"/>
              <w:rPr>
                <w:rFonts w:ascii="Arial Narrow" w:hAnsi="Arial Narrow"/>
                <w:color w:val="000000"/>
                <w:sz w:val="20"/>
                <w:szCs w:val="20"/>
              </w:rPr>
            </w:pPr>
            <w:r w:rsidRPr="006F4BF6">
              <w:rPr>
                <w:rFonts w:ascii="Arial Narrow" w:hAnsi="Arial Narrow"/>
                <w:color w:val="000000"/>
                <w:sz w:val="20"/>
                <w:szCs w:val="20"/>
              </w:rPr>
              <w:t>5436</w:t>
            </w:r>
          </w:p>
        </w:tc>
      </w:tr>
    </w:tbl>
    <w:p w14:paraId="0270A468" w14:textId="77777777" w:rsidR="003B034C" w:rsidRPr="008B7EA0" w:rsidRDefault="003B034C" w:rsidP="003B034C">
      <w:pPr>
        <w:rPr>
          <w:i/>
          <w:sz w:val="22"/>
          <w:lang w:val="en-GB"/>
        </w:rPr>
      </w:pPr>
      <w:r w:rsidRPr="008B7EA0">
        <w:rPr>
          <w:i/>
          <w:sz w:val="22"/>
          <w:lang w:val="en-GB"/>
        </w:rPr>
        <w:t>Source: Mongolia Household Socio-Economic Survey, 2012</w:t>
      </w:r>
    </w:p>
    <w:p w14:paraId="365FE9FF" w14:textId="77777777" w:rsidR="000A1C2A" w:rsidRDefault="000A1C2A" w:rsidP="000A1C2A">
      <w:pPr>
        <w:jc w:val="both"/>
        <w:rPr>
          <w:lang w:val="en-GB"/>
        </w:rPr>
      </w:pPr>
    </w:p>
    <w:p w14:paraId="18A0A8AB" w14:textId="77777777" w:rsidR="002D64AD" w:rsidRPr="00F04E27" w:rsidRDefault="009F577D" w:rsidP="006F4209">
      <w:pPr>
        <w:jc w:val="both"/>
        <w:rPr>
          <w:rFonts w:ascii="Arial" w:hAnsi="Arial" w:cs="Arial"/>
          <w:lang w:val="en-GB"/>
        </w:rPr>
      </w:pPr>
      <w:r w:rsidRPr="00F04E27">
        <w:rPr>
          <w:rFonts w:ascii="Arial" w:hAnsi="Arial" w:cs="Arial"/>
          <w:lang w:val="en-GB"/>
        </w:rPr>
        <w:t xml:space="preserve">The highest income quintile benefited from public subsidy for health care </w:t>
      </w:r>
      <w:r w:rsidR="001E456B" w:rsidRPr="00F04E27">
        <w:rPr>
          <w:rFonts w:ascii="Arial" w:hAnsi="Arial" w:cs="Arial"/>
          <w:lang w:val="en-GB"/>
        </w:rPr>
        <w:t xml:space="preserve">twice as much as </w:t>
      </w:r>
      <w:r w:rsidRPr="00F04E27">
        <w:rPr>
          <w:rFonts w:ascii="Arial" w:hAnsi="Arial" w:cs="Arial"/>
          <w:lang w:val="en-GB"/>
        </w:rPr>
        <w:t xml:space="preserve">the lowest group. </w:t>
      </w:r>
    </w:p>
    <w:p w14:paraId="6673681C" w14:textId="77777777" w:rsidR="00A10D16" w:rsidRDefault="00A10D16" w:rsidP="00A10D16">
      <w:pPr>
        <w:jc w:val="both"/>
        <w:rPr>
          <w:lang w:val="en-GB"/>
        </w:rPr>
      </w:pPr>
    </w:p>
    <w:p w14:paraId="746DD8A7" w14:textId="273E0C3D" w:rsidR="006C1848" w:rsidRPr="001E456B" w:rsidRDefault="006C1848" w:rsidP="006C1848">
      <w:pPr>
        <w:autoSpaceDE w:val="0"/>
        <w:autoSpaceDN w:val="0"/>
        <w:adjustRightInd w:val="0"/>
        <w:jc w:val="both"/>
        <w:rPr>
          <w:rFonts w:ascii="Arial" w:eastAsiaTheme="minorEastAsia" w:hAnsi="Arial" w:cs="Arial"/>
          <w:lang w:val="mn-MN"/>
        </w:rPr>
      </w:pPr>
      <w:r w:rsidRPr="001E456B">
        <w:rPr>
          <w:rFonts w:ascii="Arial" w:eastAsiaTheme="minorEastAsia" w:hAnsi="Arial" w:cs="Arial"/>
          <w:lang w:val="mn-MN"/>
        </w:rPr>
        <w:t xml:space="preserve">Figure </w:t>
      </w:r>
      <w:r w:rsidR="00327F97">
        <w:rPr>
          <w:rFonts w:ascii="Arial" w:eastAsiaTheme="minorEastAsia" w:hAnsi="Arial" w:cs="Arial"/>
        </w:rPr>
        <w:t>22</w:t>
      </w:r>
      <w:r w:rsidRPr="001E456B">
        <w:rPr>
          <w:rFonts w:ascii="Arial" w:eastAsiaTheme="minorEastAsia" w:hAnsi="Arial" w:cs="Arial"/>
          <w:lang w:val="mn-MN"/>
        </w:rPr>
        <w:t xml:space="preserve"> plots in the horizontal axis the cumulative share of </w:t>
      </w:r>
      <w:r>
        <w:rPr>
          <w:rFonts w:ascii="Arial" w:eastAsiaTheme="minorEastAsia" w:hAnsi="Arial" w:cs="Arial"/>
          <w:lang w:val="en-GB"/>
        </w:rPr>
        <w:t xml:space="preserve">the </w:t>
      </w:r>
      <w:r w:rsidRPr="001E456B">
        <w:rPr>
          <w:rFonts w:ascii="Arial" w:eastAsiaTheme="minorEastAsia" w:hAnsi="Arial" w:cs="Arial"/>
          <w:lang w:val="mn-MN"/>
        </w:rPr>
        <w:t>population ranked</w:t>
      </w:r>
      <w:r w:rsidRPr="001E456B">
        <w:rPr>
          <w:rFonts w:ascii="Arial" w:eastAsiaTheme="minorEastAsia" w:hAnsi="Arial" w:cs="Arial"/>
        </w:rPr>
        <w:t xml:space="preserve"> </w:t>
      </w:r>
      <w:r w:rsidRPr="001E456B">
        <w:rPr>
          <w:rFonts w:ascii="Arial" w:eastAsiaTheme="minorEastAsia" w:hAnsi="Arial" w:cs="Arial"/>
          <w:lang w:val="mn-MN"/>
        </w:rPr>
        <w:t>by their per capita expenditure level and in the vertical axis, the cumulative distribution</w:t>
      </w:r>
      <w:r w:rsidRPr="001E456B">
        <w:rPr>
          <w:rFonts w:ascii="Arial" w:eastAsiaTheme="minorEastAsia" w:hAnsi="Arial" w:cs="Arial"/>
        </w:rPr>
        <w:t xml:space="preserve"> </w:t>
      </w:r>
      <w:r w:rsidRPr="001E456B">
        <w:rPr>
          <w:rFonts w:ascii="Arial" w:eastAsiaTheme="minorEastAsia" w:hAnsi="Arial" w:cs="Arial"/>
          <w:lang w:val="mn-MN"/>
        </w:rPr>
        <w:t>of the</w:t>
      </w:r>
      <w:r w:rsidRPr="001E456B">
        <w:rPr>
          <w:rFonts w:ascii="Arial" w:eastAsiaTheme="minorEastAsia" w:hAnsi="Arial" w:cs="Arial"/>
        </w:rPr>
        <w:t xml:space="preserve"> health </w:t>
      </w:r>
      <w:r w:rsidRPr="001E456B">
        <w:rPr>
          <w:rFonts w:ascii="Arial" w:eastAsiaTheme="minorEastAsia" w:hAnsi="Arial" w:cs="Arial"/>
          <w:lang w:val="mn-MN"/>
        </w:rPr>
        <w:t>subsidy they receive</w:t>
      </w:r>
      <w:r w:rsidRPr="001E456B">
        <w:rPr>
          <w:rFonts w:ascii="Arial" w:eastAsiaTheme="minorEastAsia" w:hAnsi="Arial" w:cs="Arial"/>
        </w:rPr>
        <w:t>d in 2012</w:t>
      </w:r>
      <w:r w:rsidR="00125EBB">
        <w:rPr>
          <w:rStyle w:val="FootnoteReference"/>
          <w:rFonts w:ascii="Arial" w:eastAsiaTheme="minorEastAsia" w:hAnsi="Arial" w:cs="Arial"/>
        </w:rPr>
        <w:footnoteReference w:id="5"/>
      </w:r>
      <w:r w:rsidRPr="001E456B">
        <w:rPr>
          <w:rFonts w:ascii="Arial" w:eastAsiaTheme="minorEastAsia" w:hAnsi="Arial" w:cs="Arial"/>
          <w:lang w:val="mn-MN"/>
        </w:rPr>
        <w:t>.</w:t>
      </w:r>
      <w:r w:rsidR="00327F97">
        <w:rPr>
          <w:rFonts w:ascii="Arial" w:eastAsiaTheme="minorEastAsia" w:hAnsi="Arial" w:cs="Arial"/>
          <w:lang w:val="mn-MN"/>
        </w:rPr>
        <w:t xml:space="preserve"> Further Figure 23</w:t>
      </w:r>
      <w:r w:rsidR="00125EBB">
        <w:rPr>
          <w:rFonts w:ascii="Arial" w:eastAsiaTheme="minorEastAsia" w:hAnsi="Arial" w:cs="Arial"/>
          <w:lang w:val="mn-MN"/>
        </w:rPr>
        <w:t xml:space="preserve"> showed that poor reported less than the rich of their illness and benefited from government subsidy also at lower rates. It </w:t>
      </w:r>
      <w:r w:rsidRPr="001E456B">
        <w:rPr>
          <w:rFonts w:ascii="Arial" w:eastAsiaTheme="minorEastAsia" w:hAnsi="Arial" w:cs="Arial"/>
          <w:lang w:val="mn-MN"/>
        </w:rPr>
        <w:t xml:space="preserve">can be observed, </w:t>
      </w:r>
      <w:r>
        <w:rPr>
          <w:rFonts w:ascii="Arial" w:eastAsiaTheme="minorEastAsia" w:hAnsi="Arial" w:cs="Arial"/>
        </w:rPr>
        <w:t xml:space="preserve">that government </w:t>
      </w:r>
      <w:r>
        <w:rPr>
          <w:rFonts w:ascii="Arial" w:eastAsiaTheme="minorEastAsia" w:hAnsi="Arial" w:cs="Arial"/>
          <w:lang w:val="mn-MN"/>
        </w:rPr>
        <w:t xml:space="preserve">expenditure </w:t>
      </w:r>
      <w:r>
        <w:rPr>
          <w:rFonts w:ascii="Arial" w:eastAsiaTheme="minorEastAsia" w:hAnsi="Arial" w:cs="Arial"/>
        </w:rPr>
        <w:t xml:space="preserve">on health </w:t>
      </w:r>
      <w:r>
        <w:rPr>
          <w:rFonts w:ascii="Arial" w:eastAsiaTheme="minorEastAsia" w:hAnsi="Arial" w:cs="Arial"/>
          <w:lang w:val="mn-MN"/>
        </w:rPr>
        <w:t>i</w:t>
      </w:r>
      <w:r w:rsidRPr="001E456B">
        <w:rPr>
          <w:rFonts w:ascii="Arial" w:eastAsiaTheme="minorEastAsia" w:hAnsi="Arial" w:cs="Arial"/>
          <w:lang w:val="mn-MN"/>
        </w:rPr>
        <w:t xml:space="preserve">s </w:t>
      </w:r>
      <w:r w:rsidR="00125EBB">
        <w:rPr>
          <w:rFonts w:ascii="Arial" w:eastAsiaTheme="minorEastAsia" w:hAnsi="Arial" w:cs="Arial"/>
          <w:lang w:val="mn-MN"/>
        </w:rPr>
        <w:t xml:space="preserve">slightly </w:t>
      </w:r>
      <w:r>
        <w:rPr>
          <w:rFonts w:ascii="Arial" w:eastAsiaTheme="minorEastAsia" w:hAnsi="Arial" w:cs="Arial"/>
        </w:rPr>
        <w:t>regressive in Mongolia</w:t>
      </w:r>
      <w:r w:rsidRPr="001E456B">
        <w:rPr>
          <w:rFonts w:ascii="Arial" w:eastAsiaTheme="minorEastAsia" w:hAnsi="Arial" w:cs="Arial"/>
          <w:lang w:val="mn-MN"/>
        </w:rPr>
        <w:t xml:space="preserve">. </w:t>
      </w:r>
    </w:p>
    <w:p w14:paraId="351D80BF" w14:textId="77777777" w:rsidR="006B3BC1" w:rsidRDefault="006B3BC1" w:rsidP="00131E29">
      <w:pPr>
        <w:pStyle w:val="Caption"/>
        <w:spacing w:after="0" w:line="240" w:lineRule="auto"/>
        <w:jc w:val="center"/>
        <w:rPr>
          <w:rFonts w:ascii="Arial" w:hAnsi="Arial" w:cs="Arial"/>
          <w:b w:val="0"/>
          <w:sz w:val="22"/>
        </w:rPr>
      </w:pPr>
    </w:p>
    <w:p w14:paraId="47E0DF73" w14:textId="77777777" w:rsidR="006B3BC1" w:rsidRDefault="006B3BC1" w:rsidP="00131E29">
      <w:pPr>
        <w:pStyle w:val="Caption"/>
        <w:spacing w:after="0" w:line="240" w:lineRule="auto"/>
        <w:jc w:val="center"/>
        <w:rPr>
          <w:rFonts w:ascii="Arial" w:hAnsi="Arial" w:cs="Arial"/>
          <w:b w:val="0"/>
          <w:sz w:val="22"/>
        </w:rPr>
      </w:pPr>
    </w:p>
    <w:p w14:paraId="32331381" w14:textId="3C63346F" w:rsidR="00125EBB" w:rsidRPr="00125EBB" w:rsidRDefault="00720840" w:rsidP="00125EBB">
      <w:pPr>
        <w:pStyle w:val="Caption"/>
        <w:spacing w:after="0" w:line="240" w:lineRule="auto"/>
        <w:jc w:val="center"/>
        <w:rPr>
          <w:rFonts w:ascii="Arial" w:hAnsi="Arial" w:cs="Arial"/>
          <w:b w:val="0"/>
          <w:sz w:val="22"/>
        </w:rPr>
      </w:pPr>
      <w:bookmarkStart w:id="63" w:name="_Toc310170127"/>
      <w:r w:rsidRPr="00F04E27">
        <w:rPr>
          <w:rFonts w:ascii="Arial" w:hAnsi="Arial" w:cs="Arial"/>
          <w:b w:val="0"/>
          <w:sz w:val="22"/>
        </w:rPr>
        <w:t xml:space="preserve">Figure </w:t>
      </w:r>
      <w:r w:rsidR="00CB191B" w:rsidRPr="00F04E27">
        <w:rPr>
          <w:rFonts w:ascii="Arial" w:hAnsi="Arial" w:cs="Arial"/>
          <w:b w:val="0"/>
          <w:sz w:val="22"/>
        </w:rPr>
        <w:fldChar w:fldCharType="begin"/>
      </w:r>
      <w:r w:rsidRPr="00F04E27">
        <w:rPr>
          <w:rFonts w:ascii="Arial" w:hAnsi="Arial" w:cs="Arial"/>
          <w:b w:val="0"/>
          <w:sz w:val="22"/>
        </w:rPr>
        <w:instrText xml:space="preserve"> SEQ Figure \* ARABIC </w:instrText>
      </w:r>
      <w:r w:rsidR="00CB191B" w:rsidRPr="00F04E27">
        <w:rPr>
          <w:rFonts w:ascii="Arial" w:hAnsi="Arial" w:cs="Arial"/>
          <w:b w:val="0"/>
          <w:sz w:val="22"/>
        </w:rPr>
        <w:fldChar w:fldCharType="separate"/>
      </w:r>
      <w:r w:rsidR="00A912E8">
        <w:rPr>
          <w:rFonts w:ascii="Arial" w:hAnsi="Arial" w:cs="Arial"/>
          <w:b w:val="0"/>
          <w:noProof/>
          <w:sz w:val="22"/>
        </w:rPr>
        <w:t>22</w:t>
      </w:r>
      <w:r w:rsidR="00CB191B" w:rsidRPr="00F04E27">
        <w:rPr>
          <w:rFonts w:ascii="Arial" w:hAnsi="Arial" w:cs="Arial"/>
          <w:b w:val="0"/>
          <w:sz w:val="22"/>
        </w:rPr>
        <w:fldChar w:fldCharType="end"/>
      </w:r>
      <w:r w:rsidRPr="00F04E27">
        <w:rPr>
          <w:rFonts w:ascii="Arial" w:hAnsi="Arial" w:cs="Arial"/>
          <w:b w:val="0"/>
          <w:sz w:val="22"/>
        </w:rPr>
        <w:t xml:space="preserve">: </w:t>
      </w:r>
      <w:r w:rsidR="008A10E8">
        <w:rPr>
          <w:rFonts w:ascii="Arial" w:hAnsi="Arial" w:cs="Arial"/>
          <w:b w:val="0"/>
          <w:sz w:val="22"/>
        </w:rPr>
        <w:t xml:space="preserve">Lorenz </w:t>
      </w:r>
      <w:r w:rsidRPr="00F04E27">
        <w:rPr>
          <w:rFonts w:ascii="Arial" w:hAnsi="Arial" w:cs="Arial"/>
          <w:b w:val="0"/>
          <w:sz w:val="22"/>
        </w:rPr>
        <w:t>curve of government subsidy on health, 2012</w:t>
      </w:r>
      <w:bookmarkEnd w:id="63"/>
    </w:p>
    <w:p w14:paraId="3692973A" w14:textId="77777777" w:rsidR="00327F97" w:rsidRDefault="00327F97" w:rsidP="00327F97">
      <w:pPr>
        <w:rPr>
          <w:i/>
          <w:sz w:val="22"/>
          <w:lang w:val="en-GB"/>
        </w:rPr>
      </w:pPr>
    </w:p>
    <w:p w14:paraId="30C067EF" w14:textId="0B47891E" w:rsidR="00327F97" w:rsidRDefault="00327F97" w:rsidP="00327F97">
      <w:pPr>
        <w:ind w:left="1440"/>
        <w:rPr>
          <w:i/>
          <w:sz w:val="22"/>
          <w:lang w:val="en-GB"/>
        </w:rPr>
      </w:pPr>
      <w:r>
        <w:rPr>
          <w:noProof/>
        </w:rPr>
        <w:drawing>
          <wp:inline distT="0" distB="0" distL="0" distR="0" wp14:anchorId="5263FF77" wp14:editId="614C6194">
            <wp:extent cx="3767281" cy="2171700"/>
            <wp:effectExtent l="0" t="0" r="0"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770085" cy="2173316"/>
                    </a:xfrm>
                    <a:prstGeom prst="rect">
                      <a:avLst/>
                    </a:prstGeom>
                    <a:noFill/>
                    <a:ln>
                      <a:noFill/>
                    </a:ln>
                  </pic:spPr>
                </pic:pic>
              </a:graphicData>
            </a:graphic>
          </wp:inline>
        </w:drawing>
      </w:r>
    </w:p>
    <w:p w14:paraId="06C7B5B5" w14:textId="77777777" w:rsidR="00327F97" w:rsidRPr="008B7EA0" w:rsidRDefault="00327F97" w:rsidP="00327F97">
      <w:pPr>
        <w:ind w:left="1440"/>
        <w:rPr>
          <w:i/>
          <w:sz w:val="22"/>
          <w:lang w:val="en-GB"/>
        </w:rPr>
      </w:pPr>
      <w:r w:rsidRPr="008B7EA0">
        <w:rPr>
          <w:i/>
          <w:sz w:val="22"/>
          <w:lang w:val="en-GB"/>
        </w:rPr>
        <w:t>Source: Mongolia Household Socio-Economic Survey, 2012</w:t>
      </w:r>
    </w:p>
    <w:p w14:paraId="431FC306" w14:textId="7B6275A1" w:rsidR="003B034C" w:rsidRDefault="003B034C" w:rsidP="007C69DA">
      <w:pPr>
        <w:ind w:left="1440"/>
        <w:jc w:val="both"/>
        <w:rPr>
          <w:lang w:val="en-GB"/>
        </w:rPr>
      </w:pPr>
    </w:p>
    <w:p w14:paraId="29072E4B" w14:textId="77777777" w:rsidR="00125EBB" w:rsidRDefault="00125EBB" w:rsidP="007C69DA">
      <w:pPr>
        <w:ind w:left="1440"/>
        <w:jc w:val="both"/>
        <w:rPr>
          <w:lang w:val="en-GB"/>
        </w:rPr>
      </w:pPr>
    </w:p>
    <w:p w14:paraId="1387C49F" w14:textId="77777777" w:rsidR="00125EBB" w:rsidRDefault="00125EBB" w:rsidP="00125EBB">
      <w:pPr>
        <w:jc w:val="both"/>
        <w:rPr>
          <w:lang w:val="en-GB"/>
        </w:rPr>
      </w:pPr>
    </w:p>
    <w:p w14:paraId="1268574E" w14:textId="77777777" w:rsidR="00327F97" w:rsidRDefault="00327F97" w:rsidP="00125EBB">
      <w:pPr>
        <w:pStyle w:val="Caption"/>
        <w:spacing w:after="0" w:line="240" w:lineRule="auto"/>
        <w:jc w:val="center"/>
        <w:rPr>
          <w:rFonts w:ascii="Arial" w:hAnsi="Arial" w:cs="Arial"/>
          <w:b w:val="0"/>
          <w:sz w:val="22"/>
        </w:rPr>
      </w:pPr>
    </w:p>
    <w:p w14:paraId="47EA0854" w14:textId="77777777" w:rsidR="00327F97" w:rsidRDefault="00327F97" w:rsidP="00125EBB">
      <w:pPr>
        <w:pStyle w:val="Caption"/>
        <w:spacing w:after="0" w:line="240" w:lineRule="auto"/>
        <w:jc w:val="center"/>
        <w:rPr>
          <w:rFonts w:ascii="Arial" w:hAnsi="Arial" w:cs="Arial"/>
          <w:b w:val="0"/>
          <w:sz w:val="22"/>
        </w:rPr>
      </w:pPr>
    </w:p>
    <w:p w14:paraId="751D7F69" w14:textId="77777777" w:rsidR="00327F97" w:rsidRDefault="00327F97" w:rsidP="00327F97">
      <w:pPr>
        <w:pStyle w:val="Caption"/>
        <w:spacing w:after="0" w:line="240" w:lineRule="auto"/>
        <w:rPr>
          <w:rFonts w:ascii="Arial" w:hAnsi="Arial" w:cs="Arial"/>
          <w:b w:val="0"/>
          <w:sz w:val="22"/>
        </w:rPr>
      </w:pPr>
    </w:p>
    <w:p w14:paraId="45C9B7BE" w14:textId="29CF7D85" w:rsidR="00125EBB" w:rsidRPr="00125EBB" w:rsidRDefault="00125EBB" w:rsidP="00125EBB">
      <w:pPr>
        <w:pStyle w:val="Caption"/>
        <w:spacing w:after="0" w:line="240" w:lineRule="auto"/>
        <w:jc w:val="center"/>
        <w:rPr>
          <w:rFonts w:ascii="Arial" w:hAnsi="Arial" w:cs="Arial"/>
          <w:b w:val="0"/>
          <w:sz w:val="22"/>
        </w:rPr>
      </w:pPr>
      <w:bookmarkStart w:id="64" w:name="_Toc310170128"/>
      <w:r w:rsidRPr="00F04E27">
        <w:rPr>
          <w:rFonts w:ascii="Arial" w:hAnsi="Arial" w:cs="Arial"/>
          <w:b w:val="0"/>
          <w:sz w:val="22"/>
        </w:rPr>
        <w:t xml:space="preserve">Figure </w:t>
      </w:r>
      <w:r w:rsidRPr="00F04E27">
        <w:rPr>
          <w:rFonts w:ascii="Arial" w:hAnsi="Arial" w:cs="Arial"/>
          <w:b w:val="0"/>
          <w:sz w:val="22"/>
        </w:rPr>
        <w:fldChar w:fldCharType="begin"/>
      </w:r>
      <w:r w:rsidRPr="00F04E27">
        <w:rPr>
          <w:rFonts w:ascii="Arial" w:hAnsi="Arial" w:cs="Arial"/>
          <w:b w:val="0"/>
          <w:sz w:val="22"/>
        </w:rPr>
        <w:instrText xml:space="preserve"> SEQ Figure \* ARABIC </w:instrText>
      </w:r>
      <w:r w:rsidRPr="00F04E27">
        <w:rPr>
          <w:rFonts w:ascii="Arial" w:hAnsi="Arial" w:cs="Arial"/>
          <w:b w:val="0"/>
          <w:sz w:val="22"/>
        </w:rPr>
        <w:fldChar w:fldCharType="separate"/>
      </w:r>
      <w:r w:rsidR="00327F97">
        <w:rPr>
          <w:rFonts w:ascii="Arial" w:hAnsi="Arial" w:cs="Arial"/>
          <w:b w:val="0"/>
          <w:noProof/>
          <w:sz w:val="22"/>
        </w:rPr>
        <w:t>23</w:t>
      </w:r>
      <w:r w:rsidRPr="00F04E27">
        <w:rPr>
          <w:rFonts w:ascii="Arial" w:hAnsi="Arial" w:cs="Arial"/>
          <w:b w:val="0"/>
          <w:sz w:val="22"/>
        </w:rPr>
        <w:fldChar w:fldCharType="end"/>
      </w:r>
      <w:r w:rsidRPr="00F04E27">
        <w:rPr>
          <w:rFonts w:ascii="Arial" w:hAnsi="Arial" w:cs="Arial"/>
          <w:b w:val="0"/>
          <w:sz w:val="22"/>
        </w:rPr>
        <w:t xml:space="preserve">: </w:t>
      </w:r>
      <w:r>
        <w:rPr>
          <w:rFonts w:ascii="Arial" w:hAnsi="Arial" w:cs="Arial"/>
          <w:b w:val="0"/>
          <w:sz w:val="22"/>
        </w:rPr>
        <w:t xml:space="preserve">Percentage distribution of need for health services and government subsidy </w:t>
      </w:r>
      <w:r w:rsidRPr="00F04E27">
        <w:rPr>
          <w:rFonts w:ascii="Arial" w:hAnsi="Arial" w:cs="Arial"/>
          <w:b w:val="0"/>
          <w:sz w:val="22"/>
        </w:rPr>
        <w:t>on health, 2012</w:t>
      </w:r>
      <w:bookmarkEnd w:id="64"/>
    </w:p>
    <w:p w14:paraId="1E0BEF24" w14:textId="326F2988" w:rsidR="001D371D" w:rsidRPr="003148B5" w:rsidRDefault="00327F97" w:rsidP="003148B5">
      <w:pPr>
        <w:jc w:val="both"/>
        <w:rPr>
          <w:lang w:val="en-GB"/>
        </w:rPr>
      </w:pPr>
      <w:r>
        <w:rPr>
          <w:noProof/>
        </w:rPr>
        <w:drawing>
          <wp:inline distT="0" distB="0" distL="0" distR="0" wp14:anchorId="6D991B99" wp14:editId="25C4AA94">
            <wp:extent cx="5486400" cy="2674620"/>
            <wp:effectExtent l="0" t="0" r="25400" b="17780"/>
            <wp:docPr id="37" name="Chart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7EF48CBA" w14:textId="77777777" w:rsidR="00327F97" w:rsidRPr="008B7EA0" w:rsidRDefault="00327F97" w:rsidP="00327F97">
      <w:pPr>
        <w:rPr>
          <w:i/>
          <w:sz w:val="22"/>
          <w:lang w:val="en-GB"/>
        </w:rPr>
      </w:pPr>
      <w:r w:rsidRPr="008B7EA0">
        <w:rPr>
          <w:i/>
          <w:sz w:val="22"/>
          <w:lang w:val="en-GB"/>
        </w:rPr>
        <w:t>Source: Mongolia Household Socio-Economic Survey, 2012</w:t>
      </w:r>
    </w:p>
    <w:p w14:paraId="4630CF4F" w14:textId="77777777" w:rsidR="003E4843" w:rsidRDefault="003E4843" w:rsidP="00947050">
      <w:pPr>
        <w:pStyle w:val="Heading2"/>
        <w:rPr>
          <w:rFonts w:ascii="Tahoma" w:hAnsi="Tahoma"/>
        </w:rPr>
      </w:pPr>
    </w:p>
    <w:p w14:paraId="577F1B0D" w14:textId="77777777" w:rsidR="006C1848" w:rsidRPr="00947050" w:rsidRDefault="00AD5F6B" w:rsidP="00947050">
      <w:pPr>
        <w:pStyle w:val="Heading2"/>
        <w:rPr>
          <w:rFonts w:ascii="Tahoma" w:hAnsi="Tahoma"/>
        </w:rPr>
      </w:pPr>
      <w:bookmarkStart w:id="65" w:name="_Toc305764312"/>
      <w:r w:rsidRPr="00947050">
        <w:rPr>
          <w:rFonts w:ascii="Tahoma" w:hAnsi="Tahoma"/>
        </w:rPr>
        <w:t>Discussion</w:t>
      </w:r>
      <w:bookmarkEnd w:id="65"/>
      <w:r w:rsidRPr="00947050">
        <w:rPr>
          <w:rFonts w:ascii="Tahoma" w:hAnsi="Tahoma"/>
        </w:rPr>
        <w:t xml:space="preserve"> </w:t>
      </w:r>
    </w:p>
    <w:p w14:paraId="423DAE85" w14:textId="77777777" w:rsidR="006C1848" w:rsidRDefault="006C1848" w:rsidP="006C1848">
      <w:pPr>
        <w:autoSpaceDE w:val="0"/>
        <w:autoSpaceDN w:val="0"/>
        <w:adjustRightInd w:val="0"/>
        <w:jc w:val="both"/>
        <w:rPr>
          <w:rFonts w:ascii="Arial" w:hAnsi="Arial" w:cs="Arial"/>
        </w:rPr>
      </w:pPr>
    </w:p>
    <w:p w14:paraId="195F5571" w14:textId="6E1C081F" w:rsidR="00D15000" w:rsidRDefault="003A712D" w:rsidP="00D46B5C">
      <w:pPr>
        <w:jc w:val="both"/>
        <w:rPr>
          <w:rFonts w:ascii="Arial" w:hAnsi="Arial" w:cs="Arial"/>
        </w:rPr>
      </w:pPr>
      <w:r w:rsidRPr="008073F1">
        <w:rPr>
          <w:rFonts w:ascii="Arial" w:hAnsi="Arial" w:cs="Arial"/>
        </w:rPr>
        <w:t>The report laid out the data from Mongolia’s Household Socio Economic Surveys</w:t>
      </w:r>
      <w:r w:rsidR="00327F97">
        <w:rPr>
          <w:rFonts w:ascii="Arial" w:hAnsi="Arial" w:cs="Arial"/>
        </w:rPr>
        <w:t xml:space="preserve"> conducted over three years 2010</w:t>
      </w:r>
      <w:r w:rsidRPr="008073F1">
        <w:rPr>
          <w:rFonts w:ascii="Arial" w:hAnsi="Arial" w:cs="Arial"/>
        </w:rPr>
        <w:t xml:space="preserve">-2012 and provided analysis of </w:t>
      </w:r>
      <w:r w:rsidR="001625A3" w:rsidRPr="008073F1">
        <w:rPr>
          <w:rFonts w:ascii="Arial" w:hAnsi="Arial" w:cs="Arial"/>
        </w:rPr>
        <w:t xml:space="preserve">patterns of </w:t>
      </w:r>
      <w:r w:rsidRPr="008073F1">
        <w:rPr>
          <w:rFonts w:ascii="Arial" w:hAnsi="Arial" w:cs="Arial"/>
        </w:rPr>
        <w:t xml:space="preserve">health services utilization and catastrophic health payments </w:t>
      </w:r>
      <w:r w:rsidR="001625A3" w:rsidRPr="008073F1">
        <w:rPr>
          <w:rFonts w:ascii="Arial" w:hAnsi="Arial" w:cs="Arial"/>
        </w:rPr>
        <w:t xml:space="preserve">and impoverishment. </w:t>
      </w:r>
      <w:r w:rsidR="00A912E8">
        <w:rPr>
          <w:rFonts w:ascii="Arial" w:hAnsi="Arial" w:cs="Arial"/>
        </w:rPr>
        <w:t xml:space="preserve">The results were also compared with HSES 2009 outputs. </w:t>
      </w:r>
      <w:r w:rsidR="001625A3" w:rsidRPr="008073F1">
        <w:rPr>
          <w:rFonts w:ascii="Arial" w:hAnsi="Arial" w:cs="Arial"/>
        </w:rPr>
        <w:t xml:space="preserve">In addition, attempts were made to reveal the benefit incidence of government health </w:t>
      </w:r>
      <w:r w:rsidR="0093254F">
        <w:rPr>
          <w:rFonts w:ascii="Arial" w:hAnsi="Arial" w:cs="Arial"/>
        </w:rPr>
        <w:t xml:space="preserve">budget </w:t>
      </w:r>
      <w:r w:rsidR="001625A3" w:rsidRPr="008073F1">
        <w:rPr>
          <w:rFonts w:ascii="Arial" w:hAnsi="Arial" w:cs="Arial"/>
        </w:rPr>
        <w:t xml:space="preserve">in Mongolia. </w:t>
      </w:r>
      <w:r w:rsidR="00295001">
        <w:rPr>
          <w:rFonts w:ascii="Arial" w:hAnsi="Arial" w:cs="Arial"/>
        </w:rPr>
        <w:t>Before discussi</w:t>
      </w:r>
      <w:r w:rsidR="007E72C6">
        <w:rPr>
          <w:rFonts w:ascii="Arial" w:hAnsi="Arial" w:cs="Arial"/>
        </w:rPr>
        <w:t xml:space="preserve">ng the issues identified </w:t>
      </w:r>
      <w:r w:rsidR="00197EBB">
        <w:rPr>
          <w:rFonts w:ascii="Arial" w:hAnsi="Arial" w:cs="Arial"/>
        </w:rPr>
        <w:t xml:space="preserve">limitations related to </w:t>
      </w:r>
      <w:r w:rsidR="00D46B5C">
        <w:rPr>
          <w:rFonts w:ascii="Arial" w:hAnsi="Arial" w:cs="Arial"/>
        </w:rPr>
        <w:t xml:space="preserve">survey </w:t>
      </w:r>
      <w:r w:rsidR="00295001">
        <w:rPr>
          <w:rFonts w:ascii="Arial" w:hAnsi="Arial" w:cs="Arial"/>
        </w:rPr>
        <w:t xml:space="preserve">data and </w:t>
      </w:r>
      <w:r w:rsidR="00197EBB">
        <w:rPr>
          <w:rFonts w:ascii="Arial" w:hAnsi="Arial" w:cs="Arial"/>
        </w:rPr>
        <w:t xml:space="preserve">methodology should be </w:t>
      </w:r>
      <w:r w:rsidR="006454AE">
        <w:rPr>
          <w:rFonts w:ascii="Arial" w:hAnsi="Arial" w:cs="Arial"/>
        </w:rPr>
        <w:t>stated</w:t>
      </w:r>
      <w:r w:rsidR="00F15FBA">
        <w:rPr>
          <w:rFonts w:ascii="Arial" w:hAnsi="Arial" w:cs="Arial"/>
        </w:rPr>
        <w:t xml:space="preserve">. </w:t>
      </w:r>
    </w:p>
    <w:p w14:paraId="16F57C67" w14:textId="77777777" w:rsidR="00D15000" w:rsidRDefault="00D15000" w:rsidP="00D46B5C">
      <w:pPr>
        <w:jc w:val="both"/>
        <w:rPr>
          <w:rFonts w:ascii="Arial" w:hAnsi="Arial" w:cs="Arial"/>
        </w:rPr>
      </w:pPr>
    </w:p>
    <w:p w14:paraId="62B23BC8" w14:textId="2BF65152" w:rsidR="00D15000" w:rsidRPr="002A1226" w:rsidRDefault="00EE7865" w:rsidP="00EE7865">
      <w:pPr>
        <w:widowControl w:val="0"/>
        <w:autoSpaceDE w:val="0"/>
        <w:autoSpaceDN w:val="0"/>
        <w:adjustRightInd w:val="0"/>
        <w:jc w:val="both"/>
        <w:rPr>
          <w:rFonts w:ascii="Arial" w:eastAsiaTheme="minorEastAsia" w:hAnsi="Arial" w:cs="Arial"/>
        </w:rPr>
      </w:pPr>
      <w:r w:rsidRPr="002A1226">
        <w:rPr>
          <w:rFonts w:ascii="Arial" w:eastAsiaTheme="minorEastAsia" w:hAnsi="Arial" w:cs="Arial"/>
        </w:rPr>
        <w:t>Overall, as noted in the national survey reports the</w:t>
      </w:r>
      <w:r w:rsidR="00D15000" w:rsidRPr="002A1226">
        <w:rPr>
          <w:rFonts w:ascii="Arial" w:eastAsiaTheme="minorEastAsia" w:hAnsi="Arial" w:cs="Arial"/>
        </w:rPr>
        <w:t xml:space="preserve"> </w:t>
      </w:r>
      <w:r w:rsidR="002A1226">
        <w:rPr>
          <w:rFonts w:ascii="Arial" w:eastAsiaTheme="minorEastAsia" w:hAnsi="Arial" w:cs="Arial"/>
        </w:rPr>
        <w:t xml:space="preserve">HSES </w:t>
      </w:r>
      <w:r w:rsidR="00D15000" w:rsidRPr="002A1226">
        <w:rPr>
          <w:rFonts w:ascii="Arial" w:eastAsiaTheme="minorEastAsia" w:hAnsi="Arial" w:cs="Arial"/>
        </w:rPr>
        <w:t>data quality is to be considered of good standard</w:t>
      </w:r>
      <w:r w:rsidR="00054C6E">
        <w:rPr>
          <w:rFonts w:ascii="Arial" w:eastAsiaTheme="minorEastAsia" w:hAnsi="Arial" w:cs="Arial"/>
        </w:rPr>
        <w:t xml:space="preserve"> as every stages of the survey work both local and international experts followed and advised the NSO</w:t>
      </w:r>
      <w:r w:rsidR="007E72C6">
        <w:rPr>
          <w:rFonts w:ascii="Arial" w:eastAsiaTheme="minorEastAsia" w:hAnsi="Arial" w:cs="Arial"/>
        </w:rPr>
        <w:t xml:space="preserve">. </w:t>
      </w:r>
      <w:r w:rsidRPr="002A1226">
        <w:rPr>
          <w:rFonts w:ascii="Arial" w:eastAsiaTheme="minorEastAsia" w:hAnsi="Arial" w:cs="Arial"/>
        </w:rPr>
        <w:t>However</w:t>
      </w:r>
      <w:r w:rsidR="00D15000" w:rsidRPr="002A1226">
        <w:rPr>
          <w:rFonts w:ascii="Arial" w:eastAsiaTheme="minorEastAsia" w:hAnsi="Arial" w:cs="Arial"/>
        </w:rPr>
        <w:t>,</w:t>
      </w:r>
      <w:r w:rsidR="007E72C6">
        <w:rPr>
          <w:rFonts w:ascii="Arial" w:eastAsiaTheme="minorEastAsia" w:hAnsi="Arial" w:cs="Arial"/>
        </w:rPr>
        <w:t xml:space="preserve"> the NSO noted about</w:t>
      </w:r>
      <w:r w:rsidR="00D15000" w:rsidRPr="002A1226">
        <w:rPr>
          <w:rFonts w:ascii="Arial" w:eastAsiaTheme="minorEastAsia" w:hAnsi="Arial" w:cs="Arial"/>
        </w:rPr>
        <w:t xml:space="preserve"> </w:t>
      </w:r>
      <w:r w:rsidRPr="002A1226">
        <w:rPr>
          <w:rFonts w:ascii="Arial" w:eastAsiaTheme="minorEastAsia" w:hAnsi="Arial" w:cs="Arial"/>
        </w:rPr>
        <w:t xml:space="preserve">some understandable concerns related to specifically non-sampling </w:t>
      </w:r>
      <w:r w:rsidR="000608D3">
        <w:rPr>
          <w:rFonts w:ascii="Arial" w:eastAsiaTheme="minorEastAsia" w:hAnsi="Arial" w:cs="Arial"/>
        </w:rPr>
        <w:t xml:space="preserve">or survey </w:t>
      </w:r>
      <w:r w:rsidR="00EC49F6">
        <w:rPr>
          <w:rFonts w:ascii="Arial" w:eastAsiaTheme="minorEastAsia" w:hAnsi="Arial" w:cs="Arial"/>
        </w:rPr>
        <w:t>design</w:t>
      </w:r>
      <w:r w:rsidR="000608D3">
        <w:rPr>
          <w:rFonts w:ascii="Arial" w:eastAsiaTheme="minorEastAsia" w:hAnsi="Arial" w:cs="Arial"/>
        </w:rPr>
        <w:t xml:space="preserve"> and administration </w:t>
      </w:r>
      <w:r w:rsidR="00EC49F6">
        <w:rPr>
          <w:rFonts w:ascii="Arial" w:eastAsiaTheme="minorEastAsia" w:hAnsi="Arial" w:cs="Arial"/>
        </w:rPr>
        <w:t xml:space="preserve">related </w:t>
      </w:r>
      <w:r w:rsidR="000608D3">
        <w:rPr>
          <w:rFonts w:ascii="Arial" w:eastAsiaTheme="minorEastAsia" w:hAnsi="Arial" w:cs="Arial"/>
        </w:rPr>
        <w:t>bias</w:t>
      </w:r>
      <w:r w:rsidRPr="002A1226">
        <w:rPr>
          <w:rFonts w:ascii="Arial" w:eastAsiaTheme="minorEastAsia" w:hAnsi="Arial" w:cs="Arial"/>
        </w:rPr>
        <w:t xml:space="preserve"> envisaged </w:t>
      </w:r>
      <w:r w:rsidR="00EC49F6">
        <w:rPr>
          <w:rFonts w:ascii="Arial" w:eastAsiaTheme="minorEastAsia" w:hAnsi="Arial" w:cs="Arial"/>
        </w:rPr>
        <w:t xml:space="preserve">because of </w:t>
      </w:r>
      <w:r w:rsidR="00D15000" w:rsidRPr="002A1226">
        <w:rPr>
          <w:rFonts w:ascii="Arial" w:eastAsiaTheme="minorEastAsia" w:hAnsi="Arial" w:cs="Arial"/>
        </w:rPr>
        <w:t>the large amounts of information that the HSES collects from households.</w:t>
      </w:r>
      <w:r w:rsidR="002A1226">
        <w:rPr>
          <w:rFonts w:ascii="Arial" w:eastAsiaTheme="minorEastAsia" w:hAnsi="Arial" w:cs="Arial"/>
        </w:rPr>
        <w:t xml:space="preserve"> </w:t>
      </w:r>
    </w:p>
    <w:p w14:paraId="4059E1B8" w14:textId="77777777" w:rsidR="002A1226" w:rsidRDefault="002A1226" w:rsidP="00D46B5C">
      <w:pPr>
        <w:jc w:val="both"/>
        <w:rPr>
          <w:rFonts w:ascii="Arial" w:hAnsi="Arial" w:cs="Arial"/>
        </w:rPr>
      </w:pPr>
    </w:p>
    <w:p w14:paraId="5335306D" w14:textId="488BB7D5" w:rsidR="002A1226" w:rsidRDefault="002A1226" w:rsidP="00D46B5C">
      <w:pPr>
        <w:jc w:val="both"/>
        <w:rPr>
          <w:rFonts w:ascii="Arial" w:hAnsi="Arial" w:cs="Arial"/>
        </w:rPr>
      </w:pPr>
      <w:r>
        <w:rPr>
          <w:rFonts w:ascii="Arial" w:hAnsi="Arial" w:cs="Arial"/>
        </w:rPr>
        <w:t xml:space="preserve">Next, the recall periods </w:t>
      </w:r>
      <w:r w:rsidR="00BD48B4">
        <w:rPr>
          <w:rFonts w:ascii="Arial" w:hAnsi="Arial" w:cs="Arial"/>
        </w:rPr>
        <w:t xml:space="preserve">of </w:t>
      </w:r>
      <w:r w:rsidR="009A7B7C">
        <w:rPr>
          <w:rFonts w:ascii="Arial" w:hAnsi="Arial" w:cs="Arial"/>
        </w:rPr>
        <w:t xml:space="preserve">inpatient </w:t>
      </w:r>
      <w:r w:rsidR="00BD48B4">
        <w:rPr>
          <w:rFonts w:ascii="Arial" w:hAnsi="Arial" w:cs="Arial"/>
        </w:rPr>
        <w:t xml:space="preserve">out of pocket payment variables </w:t>
      </w:r>
      <w:r>
        <w:rPr>
          <w:rFonts w:ascii="Arial" w:hAnsi="Arial" w:cs="Arial"/>
        </w:rPr>
        <w:t xml:space="preserve">in both </w:t>
      </w:r>
      <w:r w:rsidR="00791C54">
        <w:rPr>
          <w:rFonts w:ascii="Arial" w:hAnsi="Arial" w:cs="Arial"/>
        </w:rPr>
        <w:t xml:space="preserve">health and non-food </w:t>
      </w:r>
      <w:r>
        <w:rPr>
          <w:rFonts w:ascii="Arial" w:hAnsi="Arial" w:cs="Arial"/>
        </w:rPr>
        <w:t xml:space="preserve">sections of the survey appear to </w:t>
      </w:r>
      <w:r w:rsidR="009A7B7C">
        <w:rPr>
          <w:rFonts w:ascii="Arial" w:hAnsi="Arial" w:cs="Arial"/>
        </w:rPr>
        <w:t>differ</w:t>
      </w:r>
      <w:r>
        <w:rPr>
          <w:rFonts w:ascii="Arial" w:hAnsi="Arial" w:cs="Arial"/>
        </w:rPr>
        <w:t xml:space="preserve">. </w:t>
      </w:r>
      <w:r w:rsidR="009A7B7C">
        <w:rPr>
          <w:rFonts w:ascii="Arial" w:hAnsi="Arial" w:cs="Arial"/>
        </w:rPr>
        <w:t xml:space="preserve">In the health section health spending </w:t>
      </w:r>
      <w:r w:rsidR="00673421">
        <w:rPr>
          <w:rFonts w:ascii="Arial" w:hAnsi="Arial" w:cs="Arial"/>
        </w:rPr>
        <w:t>of</w:t>
      </w:r>
      <w:r w:rsidR="009A7B7C">
        <w:rPr>
          <w:rFonts w:ascii="Arial" w:hAnsi="Arial" w:cs="Arial"/>
        </w:rPr>
        <w:t xml:space="preserve"> the last 12 months were asked whereas in the non-food </w:t>
      </w:r>
      <w:r w:rsidR="00673421">
        <w:rPr>
          <w:rFonts w:ascii="Arial" w:hAnsi="Arial" w:cs="Arial"/>
        </w:rPr>
        <w:t xml:space="preserve">module of survey used recall periods of both last month and last 12 months. </w:t>
      </w:r>
      <w:r w:rsidR="006454AE">
        <w:rPr>
          <w:rFonts w:ascii="Arial" w:hAnsi="Arial" w:cs="Arial"/>
        </w:rPr>
        <w:t xml:space="preserve">Such difference of recall periods of variables even in the same module will cause </w:t>
      </w:r>
      <w:r w:rsidR="007721F9">
        <w:rPr>
          <w:rFonts w:ascii="Arial" w:hAnsi="Arial" w:cs="Arial"/>
        </w:rPr>
        <w:t>measurement errors. However since we applied same data source and methodology, such err</w:t>
      </w:r>
      <w:r w:rsidR="00AB1D63">
        <w:rPr>
          <w:rFonts w:ascii="Arial" w:hAnsi="Arial" w:cs="Arial"/>
        </w:rPr>
        <w:t xml:space="preserve">ors considered </w:t>
      </w:r>
      <w:proofErr w:type="gramStart"/>
      <w:r w:rsidR="00AB1D63">
        <w:rPr>
          <w:rFonts w:ascii="Arial" w:hAnsi="Arial" w:cs="Arial"/>
        </w:rPr>
        <w:t>to be</w:t>
      </w:r>
      <w:proofErr w:type="gramEnd"/>
      <w:r w:rsidR="00AB1D63">
        <w:rPr>
          <w:rFonts w:ascii="Arial" w:hAnsi="Arial" w:cs="Arial"/>
        </w:rPr>
        <w:t xml:space="preserve"> of insignificant when compared across time and within Mongolia. </w:t>
      </w:r>
    </w:p>
    <w:p w14:paraId="6D9C1F08" w14:textId="77777777" w:rsidR="00D15000" w:rsidRDefault="00D15000" w:rsidP="00D46B5C">
      <w:pPr>
        <w:jc w:val="both"/>
        <w:rPr>
          <w:rFonts w:ascii="Arial" w:hAnsi="Arial" w:cs="Arial"/>
        </w:rPr>
      </w:pPr>
    </w:p>
    <w:p w14:paraId="1A06B6B7" w14:textId="5C857452" w:rsidR="00D46B5C" w:rsidRDefault="00D46B5C" w:rsidP="00D46B5C">
      <w:pPr>
        <w:jc w:val="both"/>
        <w:rPr>
          <w:rFonts w:ascii="Arial" w:hAnsi="Arial" w:cs="Arial"/>
        </w:rPr>
      </w:pPr>
      <w:r>
        <w:rPr>
          <w:rFonts w:ascii="Arial" w:hAnsi="Arial" w:cs="Arial"/>
        </w:rPr>
        <w:t>Health service utilization is b</w:t>
      </w:r>
      <w:r w:rsidR="003B32BB">
        <w:rPr>
          <w:rFonts w:ascii="Arial" w:hAnsi="Arial" w:cs="Arial"/>
        </w:rPr>
        <w:t>ased on self-</w:t>
      </w:r>
      <w:r w:rsidRPr="00D46B5C">
        <w:rPr>
          <w:rFonts w:ascii="Arial" w:hAnsi="Arial" w:cs="Arial"/>
        </w:rPr>
        <w:t xml:space="preserve">reported </w:t>
      </w:r>
      <w:r w:rsidR="00A434AA" w:rsidRPr="00D46B5C">
        <w:rPr>
          <w:rFonts w:ascii="Arial" w:hAnsi="Arial" w:cs="Arial"/>
        </w:rPr>
        <w:t>need that</w:t>
      </w:r>
      <w:r w:rsidRPr="00D46B5C">
        <w:rPr>
          <w:rFonts w:ascii="Arial" w:hAnsi="Arial" w:cs="Arial"/>
        </w:rPr>
        <w:t xml:space="preserve"> may result from different expectations and norms for health as well as biases by age, sex, health system indicators and other characteristics</w:t>
      </w:r>
      <w:r>
        <w:rPr>
          <w:rFonts w:ascii="Arial" w:hAnsi="Arial" w:cs="Arial"/>
        </w:rPr>
        <w:t xml:space="preserve">. </w:t>
      </w:r>
      <w:r w:rsidR="00A7734A">
        <w:rPr>
          <w:rFonts w:ascii="Arial" w:hAnsi="Arial" w:cs="Arial"/>
        </w:rPr>
        <w:t xml:space="preserve">In addition, health service utilization estimates use only self-reported services and excludes supply side initiated services such as preventative visits. </w:t>
      </w:r>
    </w:p>
    <w:p w14:paraId="638BD2D3" w14:textId="77777777" w:rsidR="00295001" w:rsidRDefault="00295001" w:rsidP="0031333B">
      <w:pPr>
        <w:jc w:val="both"/>
        <w:rPr>
          <w:rFonts w:ascii="Arial" w:hAnsi="Arial" w:cs="Arial"/>
        </w:rPr>
      </w:pPr>
    </w:p>
    <w:p w14:paraId="535CF444" w14:textId="346A0D45" w:rsidR="001625A3" w:rsidRPr="008073F1" w:rsidRDefault="001625A3" w:rsidP="0031333B">
      <w:pPr>
        <w:jc w:val="both"/>
        <w:rPr>
          <w:rFonts w:ascii="Arial" w:hAnsi="Arial" w:cs="Arial"/>
        </w:rPr>
      </w:pPr>
      <w:r w:rsidRPr="008073F1">
        <w:rPr>
          <w:rFonts w:ascii="Arial" w:hAnsi="Arial" w:cs="Arial"/>
        </w:rPr>
        <w:t>Some of th</w:t>
      </w:r>
      <w:r w:rsidR="008073F1" w:rsidRPr="008073F1">
        <w:rPr>
          <w:rFonts w:ascii="Arial" w:hAnsi="Arial" w:cs="Arial"/>
        </w:rPr>
        <w:t xml:space="preserve">e key issues identified </w:t>
      </w:r>
      <w:r w:rsidR="003148B5">
        <w:rPr>
          <w:rFonts w:ascii="Arial" w:hAnsi="Arial" w:cs="Arial"/>
        </w:rPr>
        <w:t xml:space="preserve">in this report </w:t>
      </w:r>
      <w:r w:rsidR="008073F1" w:rsidRPr="008073F1">
        <w:rPr>
          <w:rFonts w:ascii="Arial" w:hAnsi="Arial" w:cs="Arial"/>
        </w:rPr>
        <w:t>include:</w:t>
      </w:r>
    </w:p>
    <w:p w14:paraId="3013A747" w14:textId="77777777" w:rsidR="008073F1" w:rsidRPr="008073F1" w:rsidRDefault="008073F1" w:rsidP="0031333B">
      <w:pPr>
        <w:jc w:val="both"/>
        <w:rPr>
          <w:rFonts w:ascii="Arial" w:hAnsi="Arial" w:cs="Arial"/>
        </w:rPr>
      </w:pPr>
    </w:p>
    <w:p w14:paraId="7D0508B6" w14:textId="50A3274D" w:rsidR="00F56CBD" w:rsidRDefault="00F56CBD" w:rsidP="00F56CBD">
      <w:pPr>
        <w:jc w:val="both"/>
        <w:rPr>
          <w:rFonts w:ascii="Arial" w:hAnsi="Arial"/>
        </w:rPr>
      </w:pPr>
      <w:r w:rsidRPr="00752597">
        <w:rPr>
          <w:rFonts w:ascii="Arial" w:hAnsi="Arial" w:cs="Arial"/>
        </w:rPr>
        <w:t>There is a clear evidence of issues of health services accessibility by poor people in Mongolia compared to the rich and they benefit less from public spending for health.</w:t>
      </w:r>
      <w:r>
        <w:rPr>
          <w:rFonts w:ascii="Arial" w:hAnsi="Arial" w:cs="Arial"/>
        </w:rPr>
        <w:t xml:space="preserve"> Outpatient health service utilization was lower for the poor than the rich over </w:t>
      </w:r>
      <w:r w:rsidR="003148B5">
        <w:rPr>
          <w:rFonts w:ascii="Arial" w:hAnsi="Arial" w:cs="Arial"/>
        </w:rPr>
        <w:t>time</w:t>
      </w:r>
      <w:r>
        <w:rPr>
          <w:rFonts w:ascii="Arial" w:hAnsi="Arial" w:cs="Arial"/>
        </w:rPr>
        <w:t>. I</w:t>
      </w:r>
      <w:r w:rsidRPr="003A64D3">
        <w:rPr>
          <w:rFonts w:ascii="Arial" w:hAnsi="Arial" w:cs="Arial"/>
        </w:rPr>
        <w:t xml:space="preserve">npatient service utilization decreased for poor quintiles </w:t>
      </w:r>
      <w:r>
        <w:rPr>
          <w:rFonts w:ascii="Arial" w:hAnsi="Arial" w:cs="Arial"/>
        </w:rPr>
        <w:t xml:space="preserve">while the access to same services </w:t>
      </w:r>
      <w:r w:rsidRPr="003A64D3">
        <w:rPr>
          <w:rFonts w:ascii="Arial" w:hAnsi="Arial" w:cs="Arial"/>
        </w:rPr>
        <w:t xml:space="preserve">increased </w:t>
      </w:r>
      <w:r>
        <w:rPr>
          <w:rFonts w:ascii="Arial" w:hAnsi="Arial" w:cs="Arial"/>
        </w:rPr>
        <w:t>for wealthy quintiles</w:t>
      </w:r>
      <w:r w:rsidRPr="003A64D3">
        <w:rPr>
          <w:rFonts w:ascii="Arial" w:hAnsi="Arial" w:cs="Arial"/>
        </w:rPr>
        <w:t xml:space="preserve">. </w:t>
      </w:r>
      <w:r>
        <w:rPr>
          <w:rFonts w:ascii="Arial" w:hAnsi="Arial" w:cs="Arial"/>
        </w:rPr>
        <w:t xml:space="preserve">For various reasons the </w:t>
      </w:r>
      <w:r w:rsidRPr="009D447E">
        <w:rPr>
          <w:rFonts w:ascii="Arial" w:hAnsi="Arial" w:cs="Arial"/>
        </w:rPr>
        <w:t xml:space="preserve">poor are less likely to report about their illness than the richest quintile when the poor have greater health needs. </w:t>
      </w:r>
      <w:r>
        <w:rPr>
          <w:rFonts w:ascii="Arial" w:hAnsi="Arial" w:cs="Arial"/>
        </w:rPr>
        <w:t>Li</w:t>
      </w:r>
      <w:r w:rsidRPr="009D447E">
        <w:rPr>
          <w:rFonts w:ascii="Arial" w:hAnsi="Arial" w:cs="Arial"/>
        </w:rPr>
        <w:t>kewise the rich</w:t>
      </w:r>
      <w:r>
        <w:rPr>
          <w:rFonts w:ascii="Arial" w:hAnsi="Arial"/>
        </w:rPr>
        <w:t>, the significant reasons of poor</w:t>
      </w:r>
      <w:r w:rsidRPr="00BA6E78">
        <w:rPr>
          <w:rFonts w:ascii="Arial" w:hAnsi="Arial"/>
        </w:rPr>
        <w:t xml:space="preserve"> who do not seek care </w:t>
      </w:r>
      <w:r>
        <w:rPr>
          <w:rFonts w:ascii="Arial" w:hAnsi="Arial"/>
        </w:rPr>
        <w:t xml:space="preserve">include perceiving the illness to be less serious and </w:t>
      </w:r>
      <w:r w:rsidRPr="00BA6E78">
        <w:rPr>
          <w:rFonts w:ascii="Arial" w:hAnsi="Arial"/>
        </w:rPr>
        <w:t>try to self</w:t>
      </w:r>
      <w:r>
        <w:rPr>
          <w:rFonts w:ascii="Arial" w:hAnsi="Arial"/>
        </w:rPr>
        <w:t xml:space="preserve"> medicate. </w:t>
      </w:r>
      <w:r w:rsidR="001E3A7D">
        <w:rPr>
          <w:rFonts w:ascii="Arial" w:hAnsi="Arial"/>
        </w:rPr>
        <w:t>In general, s</w:t>
      </w:r>
      <w:r>
        <w:rPr>
          <w:rFonts w:ascii="Arial" w:hAnsi="Arial"/>
        </w:rPr>
        <w:t xml:space="preserve">elf-medication is a major health system problem in Mongolia and we provide some points of discussion later.  </w:t>
      </w:r>
    </w:p>
    <w:p w14:paraId="452C179E" w14:textId="77777777" w:rsidR="00F56CBD" w:rsidRDefault="00F56CBD" w:rsidP="00F56CBD">
      <w:pPr>
        <w:jc w:val="both"/>
        <w:rPr>
          <w:rFonts w:ascii="Arial" w:hAnsi="Arial" w:cs="Arial"/>
        </w:rPr>
      </w:pPr>
    </w:p>
    <w:p w14:paraId="4792D8A6" w14:textId="0C5E1873" w:rsidR="00F56CBD" w:rsidRPr="003A64D3" w:rsidRDefault="00F56CBD" w:rsidP="00F56CBD">
      <w:pPr>
        <w:jc w:val="both"/>
        <w:rPr>
          <w:rFonts w:ascii="Arial" w:hAnsi="Arial" w:cs="Arial"/>
        </w:rPr>
      </w:pPr>
      <w:r>
        <w:rPr>
          <w:rFonts w:ascii="Arial" w:hAnsi="Arial"/>
        </w:rPr>
        <w:t>But further</w:t>
      </w:r>
      <w:r w:rsidR="0093254F">
        <w:rPr>
          <w:rFonts w:ascii="Arial" w:hAnsi="Arial"/>
        </w:rPr>
        <w:t>, the</w:t>
      </w:r>
      <w:r>
        <w:rPr>
          <w:rFonts w:ascii="Arial" w:hAnsi="Arial"/>
        </w:rPr>
        <w:t xml:space="preserve"> </w:t>
      </w:r>
      <w:r w:rsidRPr="003A64D3">
        <w:rPr>
          <w:rFonts w:ascii="Arial" w:hAnsi="Arial"/>
        </w:rPr>
        <w:t xml:space="preserve">analysis of reasons of not seeking health care suggest that lower quintile groups forgo health care due to financial burden of </w:t>
      </w:r>
      <w:r>
        <w:rPr>
          <w:rFonts w:ascii="Arial" w:hAnsi="Arial"/>
        </w:rPr>
        <w:t>accessing health services</w:t>
      </w:r>
      <w:r w:rsidRPr="003A64D3">
        <w:rPr>
          <w:rFonts w:ascii="Arial" w:hAnsi="Arial"/>
        </w:rPr>
        <w:t xml:space="preserve"> and distance of health facility and </w:t>
      </w:r>
      <w:r>
        <w:rPr>
          <w:rFonts w:ascii="Arial" w:hAnsi="Arial"/>
        </w:rPr>
        <w:t xml:space="preserve">the </w:t>
      </w:r>
      <w:r w:rsidRPr="003A64D3">
        <w:rPr>
          <w:rFonts w:ascii="Arial" w:hAnsi="Arial"/>
        </w:rPr>
        <w:t xml:space="preserve">lack of transport. </w:t>
      </w:r>
    </w:p>
    <w:p w14:paraId="2AEA34D7" w14:textId="77777777" w:rsidR="00D3503C" w:rsidRPr="0072249A" w:rsidRDefault="00D3503C" w:rsidP="00F56CBD"/>
    <w:p w14:paraId="75F9DE44" w14:textId="77777777" w:rsidR="00F56CBD" w:rsidRDefault="00F56CBD" w:rsidP="00F56CBD">
      <w:pPr>
        <w:jc w:val="both"/>
        <w:rPr>
          <w:rFonts w:ascii="Arial" w:hAnsi="Arial" w:cs="Arial"/>
          <w:lang w:val="en-GB"/>
        </w:rPr>
      </w:pPr>
      <w:r w:rsidRPr="00752597">
        <w:rPr>
          <w:rFonts w:ascii="Arial" w:hAnsi="Arial" w:cs="Arial"/>
        </w:rPr>
        <w:t>Therefore, the poor access to mainly primary health care for their health needs while the rich use tertiary care centers and private hospitals.</w:t>
      </w:r>
      <w:r w:rsidRPr="00EA4AD4">
        <w:rPr>
          <w:rFonts w:ascii="Arial" w:hAnsi="Arial" w:cs="Arial"/>
        </w:rPr>
        <w:t xml:space="preserve"> </w:t>
      </w:r>
      <w:r>
        <w:rPr>
          <w:rFonts w:ascii="Arial" w:hAnsi="Arial" w:cs="Arial"/>
        </w:rPr>
        <w:t xml:space="preserve">Primary health care is provided through family and </w:t>
      </w:r>
      <w:proofErr w:type="spellStart"/>
      <w:r>
        <w:rPr>
          <w:rFonts w:ascii="Arial" w:hAnsi="Arial" w:cs="Arial"/>
        </w:rPr>
        <w:t>soum</w:t>
      </w:r>
      <w:proofErr w:type="spellEnd"/>
      <w:r>
        <w:rPr>
          <w:rFonts w:ascii="Arial" w:hAnsi="Arial" w:cs="Arial"/>
        </w:rPr>
        <w:t xml:space="preserve"> health centers and they located are closer to households and also funded by the government budget. Despite copayment for essential medicines, the primary health care is free.</w:t>
      </w:r>
    </w:p>
    <w:p w14:paraId="0DD0BF75" w14:textId="77777777" w:rsidR="00F56CBD" w:rsidRDefault="00F56CBD" w:rsidP="00F56CBD">
      <w:pPr>
        <w:jc w:val="both"/>
        <w:rPr>
          <w:rFonts w:ascii="Arial" w:hAnsi="Arial" w:cs="Arial"/>
          <w:lang w:val="en-GB"/>
        </w:rPr>
      </w:pPr>
    </w:p>
    <w:p w14:paraId="1C4D9C96" w14:textId="3B79D83C" w:rsidR="00F56CBD" w:rsidRPr="00592FE2" w:rsidRDefault="00F56CBD" w:rsidP="00F56CBD">
      <w:pPr>
        <w:jc w:val="both"/>
        <w:rPr>
          <w:rFonts w:ascii="Arial" w:hAnsi="Arial" w:cs="Arial"/>
          <w:lang w:val="en-GB"/>
        </w:rPr>
      </w:pPr>
      <w:r w:rsidRPr="00752597">
        <w:rPr>
          <w:rFonts w:ascii="Arial" w:hAnsi="Arial" w:cs="Arial"/>
          <w:lang w:val="en-GB"/>
        </w:rPr>
        <w:t xml:space="preserve">Nationally, the shares of out of pocket health payments decreased from 2010 to 2012 </w:t>
      </w:r>
      <w:r w:rsidR="00592FE2" w:rsidRPr="00752597">
        <w:rPr>
          <w:rFonts w:ascii="Arial" w:hAnsi="Arial" w:cs="Arial"/>
          <w:lang w:val="en-GB"/>
        </w:rPr>
        <w:t xml:space="preserve">largely </w:t>
      </w:r>
      <w:r w:rsidRPr="00752597">
        <w:rPr>
          <w:rFonts w:ascii="Arial" w:hAnsi="Arial" w:cs="Arial"/>
          <w:lang w:val="en-GB"/>
        </w:rPr>
        <w:t xml:space="preserve">due to </w:t>
      </w:r>
      <w:r w:rsidR="00592FE2" w:rsidRPr="00752597">
        <w:rPr>
          <w:rFonts w:ascii="Arial" w:hAnsi="Arial" w:cs="Arial"/>
          <w:lang w:val="en-GB"/>
        </w:rPr>
        <w:t>increasing shares of capacity to pay in the total household expenditure.</w:t>
      </w:r>
      <w:r w:rsidR="00592FE2">
        <w:rPr>
          <w:rFonts w:ascii="Arial" w:hAnsi="Arial" w:cs="Arial"/>
          <w:b/>
          <w:lang w:val="en-GB"/>
        </w:rPr>
        <w:t xml:space="preserve"> </w:t>
      </w:r>
      <w:r w:rsidR="00592FE2" w:rsidRPr="00592FE2">
        <w:rPr>
          <w:rFonts w:ascii="Arial" w:hAnsi="Arial" w:cs="Arial"/>
          <w:lang w:val="en-GB"/>
        </w:rPr>
        <w:t xml:space="preserve">In addition, changes </w:t>
      </w:r>
      <w:r w:rsidR="00592FE2">
        <w:rPr>
          <w:rFonts w:ascii="Arial" w:hAnsi="Arial" w:cs="Arial"/>
          <w:lang w:val="en-GB"/>
        </w:rPr>
        <w:t xml:space="preserve">in </w:t>
      </w:r>
      <w:r w:rsidRPr="00592FE2">
        <w:rPr>
          <w:rFonts w:ascii="Arial" w:hAnsi="Arial" w:cs="Arial"/>
          <w:lang w:val="en-GB"/>
        </w:rPr>
        <w:t xml:space="preserve">some </w:t>
      </w:r>
      <w:r w:rsidR="00397AB4">
        <w:rPr>
          <w:rFonts w:ascii="Arial" w:hAnsi="Arial" w:cs="Arial"/>
          <w:lang w:val="en-GB"/>
        </w:rPr>
        <w:t xml:space="preserve">areas of </w:t>
      </w:r>
      <w:r w:rsidRPr="00592FE2">
        <w:rPr>
          <w:rFonts w:ascii="Arial" w:hAnsi="Arial" w:cs="Arial"/>
          <w:lang w:val="en-GB"/>
        </w:rPr>
        <w:t>health care financing policy</w:t>
      </w:r>
      <w:r w:rsidR="00397AB4">
        <w:rPr>
          <w:rFonts w:ascii="Arial" w:hAnsi="Arial" w:cs="Arial"/>
          <w:lang w:val="en-GB"/>
        </w:rPr>
        <w:t xml:space="preserve"> could also explain the part of this positive outcome</w:t>
      </w:r>
      <w:r w:rsidRPr="00592FE2">
        <w:rPr>
          <w:rFonts w:ascii="Arial" w:hAnsi="Arial" w:cs="Arial"/>
          <w:lang w:val="en-GB"/>
        </w:rPr>
        <w:t>.</w:t>
      </w:r>
      <w:r>
        <w:rPr>
          <w:rFonts w:ascii="Arial" w:hAnsi="Arial" w:cs="Arial"/>
          <w:b/>
          <w:lang w:val="en-GB"/>
        </w:rPr>
        <w:t xml:space="preserve"> </w:t>
      </w:r>
      <w:r w:rsidR="00397AB4">
        <w:rPr>
          <w:rFonts w:ascii="Arial" w:hAnsi="Arial" w:cs="Arial"/>
          <w:lang w:val="en-GB"/>
        </w:rPr>
        <w:t xml:space="preserve">For example, the </w:t>
      </w:r>
      <w:proofErr w:type="spellStart"/>
      <w:r w:rsidR="00397AB4">
        <w:rPr>
          <w:rFonts w:ascii="Arial" w:hAnsi="Arial" w:cs="Arial"/>
          <w:lang w:val="en-GB"/>
        </w:rPr>
        <w:t>MoH</w:t>
      </w:r>
      <w:proofErr w:type="spellEnd"/>
      <w:r w:rsidR="00397AB4">
        <w:rPr>
          <w:rFonts w:ascii="Arial" w:hAnsi="Arial" w:cs="Arial"/>
          <w:lang w:val="en-GB"/>
        </w:rPr>
        <w:t xml:space="preserve"> uses the </w:t>
      </w:r>
      <w:r w:rsidRPr="005D5CCB">
        <w:rPr>
          <w:rFonts w:ascii="Arial" w:hAnsi="Arial" w:cs="Arial"/>
          <w:lang w:val="en-GB"/>
        </w:rPr>
        <w:t xml:space="preserve">115 groups of DRGs </w:t>
      </w:r>
      <w:r w:rsidR="00397AB4">
        <w:rPr>
          <w:rFonts w:ascii="Arial" w:hAnsi="Arial" w:cs="Arial"/>
          <w:lang w:val="en-GB"/>
        </w:rPr>
        <w:t>to</w:t>
      </w:r>
      <w:r>
        <w:rPr>
          <w:rFonts w:ascii="Arial" w:hAnsi="Arial" w:cs="Arial"/>
          <w:lang w:val="en-GB"/>
        </w:rPr>
        <w:t xml:space="preserve"> </w:t>
      </w:r>
      <w:r w:rsidR="00397AB4">
        <w:rPr>
          <w:rFonts w:ascii="Arial" w:hAnsi="Arial" w:cs="Arial"/>
          <w:lang w:val="en-GB"/>
        </w:rPr>
        <w:t xml:space="preserve">pay </w:t>
      </w:r>
      <w:r>
        <w:rPr>
          <w:rFonts w:ascii="Arial" w:hAnsi="Arial" w:cs="Arial"/>
          <w:lang w:val="en-GB"/>
        </w:rPr>
        <w:t xml:space="preserve">hospital inpatient care </w:t>
      </w:r>
      <w:r w:rsidR="00397AB4">
        <w:rPr>
          <w:rFonts w:ascii="Arial" w:hAnsi="Arial" w:cs="Arial"/>
          <w:lang w:val="en-GB"/>
        </w:rPr>
        <w:t>and</w:t>
      </w:r>
      <w:r w:rsidRPr="005D5CCB">
        <w:rPr>
          <w:rFonts w:ascii="Arial" w:hAnsi="Arial" w:cs="Arial"/>
          <w:lang w:val="en-GB"/>
        </w:rPr>
        <w:t xml:space="preserve"> diagnostic and palliative care</w:t>
      </w:r>
      <w:r w:rsidR="00397AB4">
        <w:rPr>
          <w:rFonts w:ascii="Arial" w:hAnsi="Arial" w:cs="Arial"/>
          <w:lang w:val="en-GB"/>
        </w:rPr>
        <w:t xml:space="preserve"> from social health insurance since 2010</w:t>
      </w:r>
      <w:r w:rsidRPr="005D5CCB">
        <w:rPr>
          <w:rFonts w:ascii="Arial" w:hAnsi="Arial" w:cs="Arial"/>
          <w:lang w:val="en-GB"/>
        </w:rPr>
        <w:t xml:space="preserve">. </w:t>
      </w:r>
      <w:r>
        <w:rPr>
          <w:rFonts w:ascii="Arial" w:hAnsi="Arial" w:cs="Arial"/>
          <w:lang w:val="en-GB"/>
        </w:rPr>
        <w:t xml:space="preserve">Over three years there have </w:t>
      </w:r>
      <w:r w:rsidR="00D80610">
        <w:rPr>
          <w:rFonts w:ascii="Arial" w:hAnsi="Arial" w:cs="Arial"/>
          <w:lang w:val="en-GB"/>
        </w:rPr>
        <w:t xml:space="preserve">also </w:t>
      </w:r>
      <w:r>
        <w:rPr>
          <w:rFonts w:ascii="Arial" w:hAnsi="Arial" w:cs="Arial"/>
          <w:lang w:val="en-GB"/>
        </w:rPr>
        <w:t xml:space="preserve">been increases </w:t>
      </w:r>
      <w:r w:rsidR="00D80610">
        <w:rPr>
          <w:rFonts w:ascii="Arial" w:hAnsi="Arial" w:cs="Arial"/>
          <w:lang w:val="en-GB"/>
        </w:rPr>
        <w:t>in</w:t>
      </w:r>
      <w:r>
        <w:rPr>
          <w:rFonts w:ascii="Arial" w:hAnsi="Arial" w:cs="Arial"/>
          <w:lang w:val="en-GB"/>
        </w:rPr>
        <w:t xml:space="preserve"> payment rates for social health insurance covered services</w:t>
      </w:r>
      <w:r w:rsidR="00F8540F">
        <w:rPr>
          <w:rFonts w:ascii="Arial" w:hAnsi="Arial" w:cs="Arial"/>
          <w:lang w:val="en-GB"/>
        </w:rPr>
        <w:t xml:space="preserve"> to increase the cost coverage accordingly</w:t>
      </w:r>
      <w:r>
        <w:rPr>
          <w:rFonts w:ascii="Arial" w:hAnsi="Arial" w:cs="Arial"/>
          <w:lang w:val="en-GB"/>
        </w:rPr>
        <w:t xml:space="preserve">. </w:t>
      </w:r>
      <w:r w:rsidRPr="005D5CCB">
        <w:rPr>
          <w:rFonts w:ascii="Arial" w:hAnsi="Arial" w:cs="Arial"/>
          <w:lang w:val="en-GB"/>
        </w:rPr>
        <w:t>The most importantly</w:t>
      </w:r>
      <w:r>
        <w:rPr>
          <w:rFonts w:ascii="Arial" w:hAnsi="Arial" w:cs="Arial"/>
          <w:lang w:val="en-GB"/>
        </w:rPr>
        <w:t>,</w:t>
      </w:r>
      <w:r w:rsidRPr="005D5CCB">
        <w:rPr>
          <w:rFonts w:ascii="Arial" w:hAnsi="Arial" w:cs="Arial"/>
          <w:lang w:val="en-GB"/>
        </w:rPr>
        <w:t xml:space="preserve"> </w:t>
      </w:r>
      <w:r>
        <w:rPr>
          <w:rFonts w:ascii="Arial" w:hAnsi="Arial" w:cs="Arial"/>
          <w:lang w:val="en-GB"/>
        </w:rPr>
        <w:t xml:space="preserve">essential medicines are made more accessible by increased numbers of private pharmacies contracted by social health insurance have increased and accordingly the SHI payment </w:t>
      </w:r>
      <w:r w:rsidR="0093254F">
        <w:rPr>
          <w:rFonts w:ascii="Arial" w:hAnsi="Arial" w:cs="Arial"/>
          <w:lang w:val="en-GB"/>
        </w:rPr>
        <w:t xml:space="preserve">allocation </w:t>
      </w:r>
      <w:r>
        <w:rPr>
          <w:rFonts w:ascii="Arial" w:hAnsi="Arial" w:cs="Arial"/>
          <w:lang w:val="en-GB"/>
        </w:rPr>
        <w:t>for essential medicines grew by 60%</w:t>
      </w:r>
      <w:r w:rsidR="001E3A7D">
        <w:rPr>
          <w:rFonts w:ascii="Arial" w:hAnsi="Arial" w:cs="Arial"/>
          <w:lang w:val="en-GB"/>
        </w:rPr>
        <w:t xml:space="preserve"> in 2012 compared to 2010 expenditure</w:t>
      </w:r>
      <w:r>
        <w:rPr>
          <w:rFonts w:ascii="Arial" w:hAnsi="Arial" w:cs="Arial"/>
          <w:lang w:val="en-GB"/>
        </w:rPr>
        <w:t xml:space="preserve">. </w:t>
      </w:r>
    </w:p>
    <w:p w14:paraId="687CD8FE" w14:textId="77777777" w:rsidR="00F56CBD" w:rsidRDefault="00F56CBD" w:rsidP="00F56CBD">
      <w:pPr>
        <w:jc w:val="both"/>
        <w:rPr>
          <w:rFonts w:ascii="Arial" w:hAnsi="Arial" w:cs="Arial"/>
          <w:b/>
        </w:rPr>
      </w:pPr>
    </w:p>
    <w:p w14:paraId="189D7273" w14:textId="25BFF566" w:rsidR="00F56CBD" w:rsidRDefault="00F56CBD" w:rsidP="00F56CBD">
      <w:pPr>
        <w:jc w:val="both"/>
        <w:rPr>
          <w:rFonts w:ascii="Arial" w:hAnsi="Arial"/>
        </w:rPr>
      </w:pPr>
      <w:r w:rsidRPr="00752597">
        <w:rPr>
          <w:rFonts w:ascii="Arial" w:hAnsi="Arial" w:cs="Arial"/>
        </w:rPr>
        <w:t>However, purchases of medicine and drugs remain the largest share of out of pocket health expenditure among all expenditure quintiles and increasingly for the poorer quintiles.</w:t>
      </w:r>
      <w:r w:rsidRPr="00961682">
        <w:rPr>
          <w:rFonts w:ascii="Arial" w:hAnsi="Arial" w:cs="Arial"/>
          <w:b/>
        </w:rPr>
        <w:t xml:space="preserve"> </w:t>
      </w:r>
      <w:r>
        <w:rPr>
          <w:rFonts w:ascii="Arial" w:hAnsi="Arial" w:cs="Arial"/>
        </w:rPr>
        <w:t>The poor people have most likely been practicing self-</w:t>
      </w:r>
      <w:r>
        <w:rPr>
          <w:rFonts w:ascii="Arial" w:hAnsi="Arial" w:cs="Arial"/>
        </w:rPr>
        <w:lastRenderedPageBreak/>
        <w:t xml:space="preserve">medications as perhaps an alternative to having limited access to services at health facilities. </w:t>
      </w:r>
      <w:r w:rsidR="00791759">
        <w:rPr>
          <w:rFonts w:ascii="Arial" w:hAnsi="Arial" w:cs="Arial"/>
        </w:rPr>
        <w:t xml:space="preserve">However, it is necessary to note that </w:t>
      </w:r>
      <w:r>
        <w:rPr>
          <w:rFonts w:ascii="Arial" w:hAnsi="Arial" w:cs="Arial"/>
        </w:rPr>
        <w:t xml:space="preserve">there is a general pattern of high </w:t>
      </w:r>
      <w:r w:rsidR="00A60009">
        <w:rPr>
          <w:rFonts w:ascii="Arial" w:hAnsi="Arial" w:cs="Arial"/>
        </w:rPr>
        <w:t xml:space="preserve">level utilization of medicine </w:t>
      </w:r>
      <w:r>
        <w:rPr>
          <w:rFonts w:ascii="Arial" w:hAnsi="Arial" w:cs="Arial"/>
        </w:rPr>
        <w:t>among all population, which might be due at least two main reasons. The outpatient drugs and medicines prescribed by hospitals have not been covered by health insurance until 2015. There are some medicines for hea</w:t>
      </w:r>
      <w:r w:rsidR="00F8540F">
        <w:rPr>
          <w:rFonts w:ascii="Arial" w:hAnsi="Arial" w:cs="Arial"/>
        </w:rPr>
        <w:t xml:space="preserve">lth conditions such as </w:t>
      </w:r>
      <w:proofErr w:type="gramStart"/>
      <w:r w:rsidR="00F8540F">
        <w:rPr>
          <w:rFonts w:ascii="Arial" w:hAnsi="Arial" w:cs="Arial"/>
        </w:rPr>
        <w:t>TB,</w:t>
      </w:r>
      <w:proofErr w:type="gramEnd"/>
      <w:r w:rsidR="00F8540F">
        <w:rPr>
          <w:rFonts w:ascii="Arial" w:hAnsi="Arial" w:cs="Arial"/>
        </w:rPr>
        <w:t xml:space="preserve"> late</w:t>
      </w:r>
      <w:r>
        <w:rPr>
          <w:rFonts w:ascii="Arial" w:hAnsi="Arial" w:cs="Arial"/>
        </w:rPr>
        <w:t xml:space="preserve"> stages of cancer, mental disorder and diabetes are fully covered by government budget. However such fragmentation of medicine coverage has lead to ambiguity </w:t>
      </w:r>
      <w:r w:rsidR="00D80610">
        <w:rPr>
          <w:rFonts w:ascii="Arial" w:hAnsi="Arial" w:cs="Arial"/>
        </w:rPr>
        <w:t>between</w:t>
      </w:r>
      <w:r>
        <w:rPr>
          <w:rFonts w:ascii="Arial" w:hAnsi="Arial" w:cs="Arial"/>
        </w:rPr>
        <w:t xml:space="preserve"> covered and non-covered </w:t>
      </w:r>
      <w:r w:rsidR="00D80610">
        <w:rPr>
          <w:rFonts w:ascii="Arial" w:hAnsi="Arial" w:cs="Arial"/>
        </w:rPr>
        <w:t>medicines hence</w:t>
      </w:r>
      <w:r>
        <w:rPr>
          <w:rFonts w:ascii="Arial" w:hAnsi="Arial" w:cs="Arial"/>
        </w:rPr>
        <w:t xml:space="preserve"> room for provider gaming behavior in the absence of strong purchaser system. Second, a </w:t>
      </w:r>
      <w:r w:rsidRPr="00BA6E78">
        <w:rPr>
          <w:rFonts w:ascii="Arial" w:hAnsi="Arial"/>
        </w:rPr>
        <w:t>mechanism to contain</w:t>
      </w:r>
      <w:r w:rsidR="00791759">
        <w:rPr>
          <w:rFonts w:ascii="Arial" w:hAnsi="Arial"/>
        </w:rPr>
        <w:t xml:space="preserve"> or regulate</w:t>
      </w:r>
      <w:r w:rsidRPr="00BA6E78">
        <w:rPr>
          <w:rFonts w:ascii="Arial" w:hAnsi="Arial"/>
        </w:rPr>
        <w:t xml:space="preserve"> drug </w:t>
      </w:r>
      <w:r w:rsidR="00791759">
        <w:rPr>
          <w:rFonts w:ascii="Arial" w:hAnsi="Arial"/>
        </w:rPr>
        <w:t xml:space="preserve">prices </w:t>
      </w:r>
      <w:r w:rsidRPr="00BA6E78">
        <w:rPr>
          <w:rFonts w:ascii="Arial" w:hAnsi="Arial"/>
        </w:rPr>
        <w:t xml:space="preserve">charged by </w:t>
      </w:r>
      <w:r w:rsidR="00D80610">
        <w:rPr>
          <w:rFonts w:ascii="Arial" w:hAnsi="Arial"/>
        </w:rPr>
        <w:t xml:space="preserve">private </w:t>
      </w:r>
      <w:r w:rsidRPr="00BA6E78">
        <w:rPr>
          <w:rFonts w:ascii="Arial" w:hAnsi="Arial"/>
        </w:rPr>
        <w:t>pharmacies</w:t>
      </w:r>
      <w:r>
        <w:rPr>
          <w:rFonts w:ascii="Arial" w:hAnsi="Arial"/>
        </w:rPr>
        <w:t xml:space="preserve"> is weak in Mongolia due to </w:t>
      </w:r>
      <w:r w:rsidR="00D80610">
        <w:rPr>
          <w:rFonts w:ascii="Arial" w:hAnsi="Arial"/>
        </w:rPr>
        <w:t>mainly poor coordination among government regulatory and inspection institutions</w:t>
      </w:r>
      <w:r>
        <w:rPr>
          <w:rFonts w:ascii="Arial" w:hAnsi="Arial"/>
        </w:rPr>
        <w:t xml:space="preserve">. </w:t>
      </w:r>
      <w:r w:rsidR="00F8540F">
        <w:rPr>
          <w:rFonts w:ascii="Arial" w:hAnsi="Arial"/>
        </w:rPr>
        <w:t xml:space="preserve">This issue has been studied by the ADB project and </w:t>
      </w:r>
      <w:r w:rsidR="00D80610">
        <w:rPr>
          <w:rFonts w:ascii="Arial" w:hAnsi="Arial"/>
        </w:rPr>
        <w:t xml:space="preserve">the </w:t>
      </w:r>
      <w:r w:rsidR="00F8540F">
        <w:rPr>
          <w:rFonts w:ascii="Arial" w:hAnsi="Arial"/>
        </w:rPr>
        <w:t xml:space="preserve">proposal to establish a drug regulatory body has been </w:t>
      </w:r>
      <w:r w:rsidR="00A15347">
        <w:rPr>
          <w:rFonts w:ascii="Arial" w:hAnsi="Arial"/>
        </w:rPr>
        <w:t>recommended however the decision is pending</w:t>
      </w:r>
      <w:r w:rsidR="00791759">
        <w:rPr>
          <w:rFonts w:ascii="Arial" w:hAnsi="Arial"/>
        </w:rPr>
        <w:t xml:space="preserve"> at political level</w:t>
      </w:r>
      <w:r w:rsidR="00A15347">
        <w:rPr>
          <w:rFonts w:ascii="Arial" w:hAnsi="Arial"/>
        </w:rPr>
        <w:t xml:space="preserve">. </w:t>
      </w:r>
      <w:r>
        <w:rPr>
          <w:rFonts w:ascii="Arial" w:hAnsi="Arial"/>
        </w:rPr>
        <w:t xml:space="preserve">In addition, there are also cultural issues related to Soviet time where the perception of good quality care among population was related to </w:t>
      </w:r>
      <w:r w:rsidR="00791759">
        <w:rPr>
          <w:rFonts w:ascii="Arial" w:hAnsi="Arial"/>
        </w:rPr>
        <w:t xml:space="preserve">as much as possible </w:t>
      </w:r>
      <w:r>
        <w:rPr>
          <w:rFonts w:ascii="Arial" w:hAnsi="Arial"/>
        </w:rPr>
        <w:t xml:space="preserve">prescription of medications </w:t>
      </w:r>
      <w:r w:rsidR="00791759">
        <w:rPr>
          <w:rFonts w:ascii="Arial" w:hAnsi="Arial"/>
        </w:rPr>
        <w:t xml:space="preserve">and injections </w:t>
      </w:r>
      <w:r>
        <w:rPr>
          <w:rFonts w:ascii="Arial" w:hAnsi="Arial"/>
        </w:rPr>
        <w:t xml:space="preserve">and </w:t>
      </w:r>
      <w:r w:rsidRPr="00BA6E78">
        <w:rPr>
          <w:rFonts w:ascii="Arial" w:hAnsi="Arial"/>
        </w:rPr>
        <w:t xml:space="preserve">patients </w:t>
      </w:r>
      <w:r w:rsidR="00791759">
        <w:rPr>
          <w:rFonts w:ascii="Arial" w:hAnsi="Arial"/>
        </w:rPr>
        <w:t xml:space="preserve">shown increasing preferences for utilization of </w:t>
      </w:r>
      <w:r w:rsidRPr="00BA6E78">
        <w:rPr>
          <w:rFonts w:ascii="Arial" w:hAnsi="Arial"/>
        </w:rPr>
        <w:t>medicines</w:t>
      </w:r>
      <w:r>
        <w:rPr>
          <w:rFonts w:ascii="Arial" w:hAnsi="Arial"/>
        </w:rPr>
        <w:t>.</w:t>
      </w:r>
    </w:p>
    <w:p w14:paraId="6B3C6803" w14:textId="77777777" w:rsidR="00F56CBD" w:rsidRDefault="00F56CBD" w:rsidP="00F56CBD">
      <w:pPr>
        <w:jc w:val="both"/>
        <w:rPr>
          <w:rFonts w:ascii="Arial" w:hAnsi="Arial"/>
        </w:rPr>
      </w:pPr>
    </w:p>
    <w:p w14:paraId="3A6559B0" w14:textId="4E602C1B" w:rsidR="00F56CBD" w:rsidRPr="00634D82" w:rsidRDefault="00F56CBD" w:rsidP="00F56CBD">
      <w:pPr>
        <w:jc w:val="both"/>
        <w:rPr>
          <w:rFonts w:ascii="Arial" w:hAnsi="Arial" w:cs="Arial"/>
        </w:rPr>
      </w:pPr>
      <w:r w:rsidRPr="00752597">
        <w:rPr>
          <w:rFonts w:ascii="Arial" w:hAnsi="Arial" w:cs="Arial"/>
        </w:rPr>
        <w:t>The payment for inpatient care takes next big item in the household out of pocket health payment.</w:t>
      </w:r>
      <w:r w:rsidRPr="00634D82">
        <w:rPr>
          <w:rFonts w:ascii="Arial" w:hAnsi="Arial" w:cs="Arial"/>
        </w:rPr>
        <w:t xml:space="preserve"> </w:t>
      </w:r>
      <w:r w:rsidR="00A15347">
        <w:rPr>
          <w:rFonts w:ascii="Arial" w:hAnsi="Arial" w:cs="Arial"/>
        </w:rPr>
        <w:t xml:space="preserve"> </w:t>
      </w:r>
      <w:r w:rsidRPr="00634D82">
        <w:rPr>
          <w:rFonts w:ascii="Arial" w:hAnsi="Arial" w:cs="Arial"/>
        </w:rPr>
        <w:t xml:space="preserve">This result </w:t>
      </w:r>
      <w:r>
        <w:rPr>
          <w:rFonts w:ascii="Arial" w:hAnsi="Arial" w:cs="Arial"/>
        </w:rPr>
        <w:t>may</w:t>
      </w:r>
      <w:r w:rsidRPr="00634D82">
        <w:rPr>
          <w:rFonts w:ascii="Arial" w:hAnsi="Arial" w:cs="Arial"/>
        </w:rPr>
        <w:t xml:space="preserve"> be explained by two factors. In the case of poor, despite a policy to exempt so called vulnerable people such as children and elderly from any </w:t>
      </w:r>
      <w:r>
        <w:rPr>
          <w:rFonts w:ascii="Arial" w:hAnsi="Arial" w:cs="Arial"/>
        </w:rPr>
        <w:t xml:space="preserve">types of </w:t>
      </w:r>
      <w:r w:rsidRPr="00634D82">
        <w:rPr>
          <w:rFonts w:ascii="Arial" w:hAnsi="Arial" w:cs="Arial"/>
        </w:rPr>
        <w:t>copayments</w:t>
      </w:r>
      <w:r w:rsidR="008C530B">
        <w:rPr>
          <w:rFonts w:ascii="Arial" w:hAnsi="Arial" w:cs="Arial"/>
        </w:rPr>
        <w:t>, the</w:t>
      </w:r>
      <w:r w:rsidRPr="00634D82">
        <w:rPr>
          <w:rFonts w:ascii="Arial" w:hAnsi="Arial" w:cs="Arial"/>
        </w:rPr>
        <w:t xml:space="preserve"> real poor still incur out of pocket health payments. </w:t>
      </w:r>
      <w:r>
        <w:rPr>
          <w:rFonts w:ascii="Arial" w:hAnsi="Arial" w:cs="Arial"/>
        </w:rPr>
        <w:t>Second</w:t>
      </w:r>
      <w:r w:rsidR="008C530B">
        <w:rPr>
          <w:rFonts w:ascii="Arial" w:hAnsi="Arial" w:cs="Arial"/>
        </w:rPr>
        <w:t>, one of the</w:t>
      </w:r>
      <w:r>
        <w:rPr>
          <w:rFonts w:ascii="Arial" w:hAnsi="Arial" w:cs="Arial"/>
        </w:rPr>
        <w:t xml:space="preserve"> main health system concern </w:t>
      </w:r>
      <w:r w:rsidR="008C530B">
        <w:rPr>
          <w:rFonts w:ascii="Arial" w:hAnsi="Arial" w:cs="Arial"/>
        </w:rPr>
        <w:t xml:space="preserve">in Mongolia </w:t>
      </w:r>
      <w:r>
        <w:rPr>
          <w:rFonts w:ascii="Arial" w:hAnsi="Arial" w:cs="Arial"/>
        </w:rPr>
        <w:t xml:space="preserve">is the extent of </w:t>
      </w:r>
      <w:r w:rsidRPr="00634D82">
        <w:rPr>
          <w:rFonts w:ascii="Arial" w:hAnsi="Arial" w:cs="Arial"/>
        </w:rPr>
        <w:t xml:space="preserve">unregulated informal payments in </w:t>
      </w:r>
      <w:r w:rsidR="008C530B">
        <w:rPr>
          <w:rFonts w:ascii="Arial" w:hAnsi="Arial" w:cs="Arial"/>
        </w:rPr>
        <w:t>the</w:t>
      </w:r>
      <w:r w:rsidRPr="00634D82">
        <w:rPr>
          <w:rFonts w:ascii="Arial" w:hAnsi="Arial" w:cs="Arial"/>
        </w:rPr>
        <w:t xml:space="preserve"> health sector. </w:t>
      </w:r>
      <w:r>
        <w:rPr>
          <w:rFonts w:ascii="Arial" w:hAnsi="Arial" w:cs="Arial"/>
        </w:rPr>
        <w:t xml:space="preserve">Recent </w:t>
      </w:r>
      <w:r w:rsidR="00752597">
        <w:rPr>
          <w:rFonts w:ascii="Arial" w:hAnsi="Arial" w:cs="Arial"/>
        </w:rPr>
        <w:t>study (2011)</w:t>
      </w:r>
      <w:r w:rsidR="00592FE2">
        <w:rPr>
          <w:rFonts w:ascii="Arial" w:hAnsi="Arial" w:cs="Arial"/>
        </w:rPr>
        <w:t xml:space="preserve"> </w:t>
      </w:r>
      <w:r w:rsidR="00752597">
        <w:rPr>
          <w:rFonts w:ascii="Arial" w:hAnsi="Arial" w:cs="Arial"/>
        </w:rPr>
        <w:t xml:space="preserve">by the Mongolian public health professionals’ association </w:t>
      </w:r>
      <w:r>
        <w:rPr>
          <w:rFonts w:ascii="Arial" w:hAnsi="Arial" w:cs="Arial"/>
        </w:rPr>
        <w:t xml:space="preserve">revealed that </w:t>
      </w:r>
      <w:r w:rsidR="00752597">
        <w:rPr>
          <w:rFonts w:ascii="Arial" w:hAnsi="Arial" w:cs="Arial"/>
        </w:rPr>
        <w:t>about 60% of OOPs were informal and</w:t>
      </w:r>
      <w:r>
        <w:rPr>
          <w:rFonts w:ascii="Arial" w:hAnsi="Arial" w:cs="Arial"/>
        </w:rPr>
        <w:t xml:space="preserve"> majority of </w:t>
      </w:r>
      <w:r w:rsidR="00D80610">
        <w:rPr>
          <w:rFonts w:ascii="Arial" w:hAnsi="Arial" w:cs="Arial"/>
        </w:rPr>
        <w:t>which</w:t>
      </w:r>
      <w:r>
        <w:rPr>
          <w:rFonts w:ascii="Arial" w:hAnsi="Arial" w:cs="Arial"/>
        </w:rPr>
        <w:t xml:space="preserve"> are paid for surgical, cancer and maternity conditions</w:t>
      </w:r>
      <w:r w:rsidR="00752597">
        <w:rPr>
          <w:rFonts w:ascii="Arial" w:hAnsi="Arial" w:cs="Arial"/>
        </w:rPr>
        <w:t xml:space="preserve">. </w:t>
      </w:r>
      <w:r w:rsidR="00EE3BE4">
        <w:rPr>
          <w:rFonts w:ascii="Arial" w:hAnsi="Arial" w:cs="Arial"/>
        </w:rPr>
        <w:t>Technically, t</w:t>
      </w:r>
      <w:r w:rsidR="00752597">
        <w:rPr>
          <w:rFonts w:ascii="Arial" w:hAnsi="Arial" w:cs="Arial"/>
        </w:rPr>
        <w:t>he health services</w:t>
      </w:r>
      <w:r>
        <w:rPr>
          <w:rFonts w:ascii="Arial" w:hAnsi="Arial" w:cs="Arial"/>
        </w:rPr>
        <w:t xml:space="preserve"> </w:t>
      </w:r>
      <w:r w:rsidR="00752597">
        <w:rPr>
          <w:rFonts w:ascii="Arial" w:hAnsi="Arial" w:cs="Arial"/>
        </w:rPr>
        <w:t xml:space="preserve">for these </w:t>
      </w:r>
      <w:r w:rsidR="00D80610">
        <w:rPr>
          <w:rFonts w:ascii="Arial" w:hAnsi="Arial" w:cs="Arial"/>
        </w:rPr>
        <w:t>cases</w:t>
      </w:r>
      <w:r w:rsidR="00752597">
        <w:rPr>
          <w:rFonts w:ascii="Arial" w:hAnsi="Arial" w:cs="Arial"/>
        </w:rPr>
        <w:t xml:space="preserve"> </w:t>
      </w:r>
      <w:r>
        <w:rPr>
          <w:rFonts w:ascii="Arial" w:hAnsi="Arial" w:cs="Arial"/>
        </w:rPr>
        <w:t xml:space="preserve">are covered either by government budget or </w:t>
      </w:r>
      <w:r w:rsidR="00752597">
        <w:rPr>
          <w:rFonts w:ascii="Arial" w:hAnsi="Arial" w:cs="Arial"/>
        </w:rPr>
        <w:t xml:space="preserve">the social </w:t>
      </w:r>
      <w:r>
        <w:rPr>
          <w:rFonts w:ascii="Arial" w:hAnsi="Arial" w:cs="Arial"/>
        </w:rPr>
        <w:t xml:space="preserve">health insurance. </w:t>
      </w:r>
    </w:p>
    <w:p w14:paraId="5D2E7958" w14:textId="77777777" w:rsidR="00F56CBD" w:rsidRPr="004529CB" w:rsidRDefault="00F56CBD" w:rsidP="00F56CBD">
      <w:pPr>
        <w:jc w:val="both"/>
        <w:rPr>
          <w:rFonts w:ascii="Arial" w:hAnsi="Arial" w:cs="Arial"/>
          <w:lang w:val="en-GB"/>
        </w:rPr>
      </w:pPr>
    </w:p>
    <w:p w14:paraId="5AF21EF3" w14:textId="2E77C511" w:rsidR="00592FE2" w:rsidRDefault="00F56CBD" w:rsidP="00F56CBD">
      <w:pPr>
        <w:jc w:val="both"/>
        <w:rPr>
          <w:rFonts w:ascii="Arial" w:hAnsi="Arial" w:cs="Arial"/>
          <w:b/>
        </w:rPr>
      </w:pPr>
      <w:r w:rsidRPr="00752597">
        <w:rPr>
          <w:rFonts w:ascii="Arial" w:hAnsi="Arial" w:cs="Arial"/>
        </w:rPr>
        <w:t xml:space="preserve">Mongolia’s average proportion of households incurring catastrophic health expenditure and impoverishment ranks low at 1.5% in 2010, 1.8% in 2011 and 0.9% in 2012 </w:t>
      </w:r>
      <w:r w:rsidRPr="008C530B">
        <w:rPr>
          <w:rFonts w:ascii="Arial" w:hAnsi="Arial" w:cs="Arial"/>
        </w:rPr>
        <w:t xml:space="preserve">compared to many other countries in the Western Pacific region. However, </w:t>
      </w:r>
      <w:r w:rsidR="008C530B" w:rsidRPr="008C530B">
        <w:rPr>
          <w:rFonts w:ascii="Arial" w:hAnsi="Arial" w:cs="Arial"/>
        </w:rPr>
        <w:t>it should be noted that such</w:t>
      </w:r>
      <w:r w:rsidR="00752597" w:rsidRPr="008C530B">
        <w:rPr>
          <w:rFonts w:ascii="Arial" w:hAnsi="Arial" w:cs="Arial"/>
        </w:rPr>
        <w:t xml:space="preserve"> </w:t>
      </w:r>
      <w:r w:rsidRPr="008C530B">
        <w:rPr>
          <w:rFonts w:ascii="Arial" w:hAnsi="Arial" w:cs="Arial"/>
        </w:rPr>
        <w:t xml:space="preserve">declining trend over three years </w:t>
      </w:r>
      <w:r w:rsidR="008C530B" w:rsidRPr="008C530B">
        <w:rPr>
          <w:rFonts w:ascii="Arial" w:hAnsi="Arial" w:cs="Arial"/>
        </w:rPr>
        <w:t>could be</w:t>
      </w:r>
      <w:r w:rsidRPr="008C530B">
        <w:rPr>
          <w:rFonts w:ascii="Arial" w:hAnsi="Arial" w:cs="Arial"/>
        </w:rPr>
        <w:t xml:space="preserve"> unreliable</w:t>
      </w:r>
      <w:r w:rsidR="00861603" w:rsidRPr="008C530B">
        <w:rPr>
          <w:rFonts w:ascii="Arial" w:hAnsi="Arial" w:cs="Arial"/>
        </w:rPr>
        <w:t xml:space="preserve"> as </w:t>
      </w:r>
      <w:r w:rsidR="00D80610">
        <w:rPr>
          <w:rFonts w:ascii="Arial" w:hAnsi="Arial" w:cs="Arial"/>
        </w:rPr>
        <w:t>the share</w:t>
      </w:r>
      <w:r w:rsidR="00861603" w:rsidRPr="008C530B">
        <w:rPr>
          <w:rFonts w:ascii="Arial" w:hAnsi="Arial" w:cs="Arial"/>
        </w:rPr>
        <w:t xml:space="preserve"> increased in 2011</w:t>
      </w:r>
      <w:r w:rsidR="008C530B" w:rsidRPr="008C530B">
        <w:rPr>
          <w:rFonts w:ascii="Arial" w:hAnsi="Arial" w:cs="Arial"/>
        </w:rPr>
        <w:t xml:space="preserve"> and decreased again in 2012</w:t>
      </w:r>
      <w:r w:rsidRPr="008C530B">
        <w:rPr>
          <w:rFonts w:ascii="Arial" w:hAnsi="Arial" w:cs="Arial"/>
        </w:rPr>
        <w:t xml:space="preserve">. </w:t>
      </w:r>
      <w:r w:rsidR="00592FE2" w:rsidRPr="008C530B">
        <w:rPr>
          <w:rFonts w:ascii="Arial" w:hAnsi="Arial" w:cs="Arial"/>
        </w:rPr>
        <w:t>Overall</w:t>
      </w:r>
      <w:r w:rsidR="008C530B" w:rsidRPr="008C530B">
        <w:rPr>
          <w:rFonts w:ascii="Arial" w:hAnsi="Arial" w:cs="Arial"/>
        </w:rPr>
        <w:t>, the</w:t>
      </w:r>
      <w:r w:rsidR="00592FE2" w:rsidRPr="008C530B">
        <w:rPr>
          <w:rFonts w:ascii="Arial" w:hAnsi="Arial" w:cs="Arial"/>
        </w:rPr>
        <w:t xml:space="preserve"> decline</w:t>
      </w:r>
      <w:r w:rsidR="00592FE2" w:rsidRPr="008C530B">
        <w:rPr>
          <w:rFonts w:ascii="Arial" w:hAnsi="Arial" w:cs="Arial"/>
          <w:b/>
        </w:rPr>
        <w:t xml:space="preserve"> </w:t>
      </w:r>
      <w:r w:rsidR="008C530B" w:rsidRPr="008C530B">
        <w:rPr>
          <w:rFonts w:ascii="Arial" w:hAnsi="Arial" w:cs="Arial"/>
        </w:rPr>
        <w:t xml:space="preserve">of </w:t>
      </w:r>
      <w:r w:rsidR="00592FE2" w:rsidRPr="008C530B">
        <w:rPr>
          <w:rFonts w:ascii="Arial" w:hAnsi="Arial"/>
        </w:rPr>
        <w:t>catastrophic health expenditures and impoverishment due to health expenditures because of increased capacity to pay.</w:t>
      </w:r>
      <w:r w:rsidR="008C530B">
        <w:rPr>
          <w:rFonts w:ascii="Arial" w:hAnsi="Arial"/>
        </w:rPr>
        <w:t xml:space="preserve"> Moreover, </w:t>
      </w:r>
      <w:r w:rsidR="008C530B">
        <w:rPr>
          <w:rFonts w:ascii="Arial" w:hAnsi="Arial" w:cs="Arial"/>
        </w:rPr>
        <w:t xml:space="preserve">the </w:t>
      </w:r>
      <w:r w:rsidR="008C530B" w:rsidRPr="00D3503C">
        <w:rPr>
          <w:rFonts w:ascii="Arial" w:hAnsi="Arial" w:cs="Arial"/>
        </w:rPr>
        <w:t xml:space="preserve">declined trend of catastrophic health expenditure and impoverishment is linked </w:t>
      </w:r>
      <w:r w:rsidR="008C530B">
        <w:rPr>
          <w:rFonts w:ascii="Arial" w:hAnsi="Arial" w:cs="Arial"/>
        </w:rPr>
        <w:t xml:space="preserve">also </w:t>
      </w:r>
      <w:r w:rsidR="008C530B" w:rsidRPr="00D3503C">
        <w:rPr>
          <w:rFonts w:ascii="Arial" w:hAnsi="Arial" w:cs="Arial"/>
        </w:rPr>
        <w:t>to decreased out-of pocket payments for medicine and inpatient care.</w:t>
      </w:r>
    </w:p>
    <w:p w14:paraId="159A4565" w14:textId="77777777" w:rsidR="00592FE2" w:rsidRDefault="00592FE2" w:rsidP="00F56CBD">
      <w:pPr>
        <w:jc w:val="both"/>
        <w:rPr>
          <w:rFonts w:ascii="Arial" w:hAnsi="Arial" w:cs="Arial"/>
          <w:b/>
        </w:rPr>
      </w:pPr>
    </w:p>
    <w:p w14:paraId="5A64E37F" w14:textId="57658B49" w:rsidR="00592FE2" w:rsidRDefault="00F56CBD" w:rsidP="00F56CBD">
      <w:pPr>
        <w:jc w:val="both"/>
        <w:rPr>
          <w:rFonts w:ascii="Arial" w:hAnsi="Arial" w:cs="Arial"/>
        </w:rPr>
      </w:pPr>
      <w:r w:rsidRPr="00D3503C">
        <w:rPr>
          <w:rFonts w:ascii="Arial" w:hAnsi="Arial" w:cs="Arial"/>
        </w:rPr>
        <w:t xml:space="preserve">Households of higher expenditure quintiles experience a higher likelihood of catastrophic expenditure in Mongolia probably due to tendency to go to tertiary, private or overseas hospitals. Although </w:t>
      </w:r>
      <w:r w:rsidR="008C530B">
        <w:rPr>
          <w:rFonts w:ascii="Arial" w:hAnsi="Arial" w:cs="Arial"/>
        </w:rPr>
        <w:t>it might not be realistic to</w:t>
      </w:r>
      <w:r w:rsidRPr="00D3503C">
        <w:rPr>
          <w:rFonts w:ascii="Arial" w:hAnsi="Arial" w:cs="Arial"/>
        </w:rPr>
        <w:t xml:space="preserve"> place restriction</w:t>
      </w:r>
      <w:r w:rsidR="008C530B">
        <w:rPr>
          <w:rFonts w:ascii="Arial" w:hAnsi="Arial" w:cs="Arial"/>
        </w:rPr>
        <w:t>s</w:t>
      </w:r>
      <w:r w:rsidRPr="00D3503C">
        <w:rPr>
          <w:rFonts w:ascii="Arial" w:hAnsi="Arial" w:cs="Arial"/>
        </w:rPr>
        <w:t xml:space="preserve"> to those people who travel abroad seeking health services, </w:t>
      </w:r>
      <w:r w:rsidR="008C530B">
        <w:rPr>
          <w:rFonts w:ascii="Arial" w:hAnsi="Arial" w:cs="Arial"/>
        </w:rPr>
        <w:t>the government</w:t>
      </w:r>
      <w:r w:rsidRPr="00D3503C">
        <w:rPr>
          <w:rFonts w:ascii="Arial" w:hAnsi="Arial" w:cs="Arial"/>
        </w:rPr>
        <w:t xml:space="preserve"> can work on improvement of quality of health services domestically to gain some of the lost</w:t>
      </w:r>
      <w:r>
        <w:rPr>
          <w:rFonts w:ascii="Arial" w:hAnsi="Arial" w:cs="Arial"/>
        </w:rPr>
        <w:t xml:space="preserve"> confidences in the health system. </w:t>
      </w:r>
      <w:r w:rsidRPr="000651F6">
        <w:rPr>
          <w:rFonts w:ascii="Arial" w:hAnsi="Arial" w:cs="Arial"/>
        </w:rPr>
        <w:t xml:space="preserve">The reasons of not </w:t>
      </w:r>
      <w:r w:rsidRPr="000651F6">
        <w:rPr>
          <w:rFonts w:ascii="Arial" w:hAnsi="Arial" w:cs="Arial"/>
        </w:rPr>
        <w:lastRenderedPageBreak/>
        <w:t>going to access to outpatient services indicated issues concerning quality of health services</w:t>
      </w:r>
      <w:r w:rsidR="008C530B">
        <w:rPr>
          <w:rFonts w:ascii="Arial" w:hAnsi="Arial" w:cs="Arial"/>
        </w:rPr>
        <w:t xml:space="preserve"> as well</w:t>
      </w:r>
      <w:r w:rsidRPr="000651F6">
        <w:rPr>
          <w:rFonts w:ascii="Arial" w:hAnsi="Arial" w:cs="Arial"/>
        </w:rPr>
        <w:t>.</w:t>
      </w:r>
    </w:p>
    <w:p w14:paraId="5994FD81" w14:textId="6D9D5558" w:rsidR="00592FE2" w:rsidRDefault="00F56CBD" w:rsidP="00F56CBD">
      <w:pPr>
        <w:jc w:val="both"/>
        <w:rPr>
          <w:rFonts w:ascii="Arial" w:hAnsi="Arial" w:cs="Arial"/>
          <w:highlight w:val="yellow"/>
        </w:rPr>
      </w:pPr>
      <w:r>
        <w:rPr>
          <w:rFonts w:ascii="Arial" w:hAnsi="Arial" w:cs="Arial"/>
        </w:rPr>
        <w:t xml:space="preserve"> </w:t>
      </w:r>
    </w:p>
    <w:p w14:paraId="43CE1CBA" w14:textId="2DF1FCA9" w:rsidR="00861603" w:rsidRPr="00601314" w:rsidRDefault="00D3503C" w:rsidP="00861603">
      <w:pPr>
        <w:jc w:val="both"/>
        <w:rPr>
          <w:rFonts w:ascii="Arial" w:hAnsi="Arial"/>
        </w:rPr>
      </w:pPr>
      <w:r>
        <w:rPr>
          <w:rFonts w:ascii="Arial" w:hAnsi="Arial" w:cs="Arial"/>
        </w:rPr>
        <w:t>It is essential to note that</w:t>
      </w:r>
      <w:r w:rsidR="00861603">
        <w:rPr>
          <w:rFonts w:ascii="Arial" w:hAnsi="Arial" w:cs="Arial"/>
        </w:rPr>
        <w:t xml:space="preserve"> only households </w:t>
      </w:r>
      <w:r>
        <w:rPr>
          <w:rFonts w:ascii="Arial" w:hAnsi="Arial" w:cs="Arial"/>
        </w:rPr>
        <w:t>of</w:t>
      </w:r>
      <w:r w:rsidR="00861603">
        <w:rPr>
          <w:rFonts w:ascii="Arial" w:hAnsi="Arial" w:cs="Arial"/>
        </w:rPr>
        <w:t xml:space="preserve"> lower expenditure quintiles impoverished due to health payments</w:t>
      </w:r>
      <w:r w:rsidR="00692B2B">
        <w:rPr>
          <w:rFonts w:ascii="Arial" w:hAnsi="Arial" w:cs="Arial"/>
        </w:rPr>
        <w:t xml:space="preserve"> in 2011 and 2012</w:t>
      </w:r>
      <w:r w:rsidR="00861603">
        <w:rPr>
          <w:rFonts w:ascii="Arial" w:hAnsi="Arial" w:cs="Arial"/>
        </w:rPr>
        <w:t xml:space="preserve">. </w:t>
      </w:r>
      <w:r w:rsidR="007C2399">
        <w:rPr>
          <w:rFonts w:ascii="Arial" w:hAnsi="Arial" w:cs="Arial"/>
        </w:rPr>
        <w:t xml:space="preserve">Furthermore, the </w:t>
      </w:r>
      <w:r w:rsidR="007C2399">
        <w:rPr>
          <w:rFonts w:ascii="Arial" w:hAnsi="Arial"/>
        </w:rPr>
        <w:t>p</w:t>
      </w:r>
      <w:r w:rsidR="00601314" w:rsidRPr="00601314">
        <w:rPr>
          <w:rFonts w:ascii="Arial" w:hAnsi="Arial"/>
        </w:rPr>
        <w:t xml:space="preserve">oor people in </w:t>
      </w:r>
      <w:r w:rsidR="00601314" w:rsidRPr="00601314">
        <w:rPr>
          <w:rFonts w:ascii="Arial" w:hAnsi="Arial" w:cs="Arial"/>
        </w:rPr>
        <w:t>eastern and highlands regions experienced catastrophic health payments and</w:t>
      </w:r>
      <w:r w:rsidR="00601314" w:rsidRPr="00601314">
        <w:rPr>
          <w:rFonts w:ascii="Arial" w:hAnsi="Arial"/>
        </w:rPr>
        <w:t xml:space="preserve"> impoverished due to health o</w:t>
      </w:r>
      <w:r w:rsidR="00601314">
        <w:rPr>
          <w:rFonts w:ascii="Arial" w:hAnsi="Arial"/>
        </w:rPr>
        <w:t xml:space="preserve">ut of pocket payments. </w:t>
      </w:r>
      <w:r w:rsidR="00861603">
        <w:rPr>
          <w:rFonts w:ascii="Arial" w:hAnsi="Arial" w:cs="Arial"/>
        </w:rPr>
        <w:t xml:space="preserve">This means that </w:t>
      </w:r>
      <w:r w:rsidR="00B81863">
        <w:rPr>
          <w:rFonts w:ascii="Arial" w:hAnsi="Arial" w:cs="Arial"/>
        </w:rPr>
        <w:t xml:space="preserve">poor people spend much less than the middle-income and richer people </w:t>
      </w:r>
      <w:r w:rsidR="00677E7B">
        <w:rPr>
          <w:rFonts w:ascii="Arial" w:hAnsi="Arial" w:cs="Arial"/>
        </w:rPr>
        <w:t>and pushed below poverty line</w:t>
      </w:r>
      <w:r w:rsidR="00002301">
        <w:rPr>
          <w:rFonts w:ascii="Arial" w:hAnsi="Arial" w:cs="Arial"/>
        </w:rPr>
        <w:t xml:space="preserve"> as result of out of pocket payments for medicine and inpatient services</w:t>
      </w:r>
      <w:r w:rsidR="00677E7B">
        <w:rPr>
          <w:rFonts w:ascii="Arial" w:hAnsi="Arial" w:cs="Arial"/>
        </w:rPr>
        <w:t xml:space="preserve">. </w:t>
      </w:r>
    </w:p>
    <w:p w14:paraId="7DC77592" w14:textId="77777777" w:rsidR="00736BE2" w:rsidRDefault="00736BE2" w:rsidP="00F56CBD">
      <w:pPr>
        <w:pStyle w:val="Heading2"/>
        <w:rPr>
          <w:rFonts w:asciiTheme="minorHAnsi" w:hAnsiTheme="minorHAnsi"/>
        </w:rPr>
      </w:pPr>
      <w:bookmarkStart w:id="66" w:name="_Toc305764313"/>
    </w:p>
    <w:p w14:paraId="217CDF6E" w14:textId="77777777" w:rsidR="00F56CBD" w:rsidRPr="00FB185A" w:rsidRDefault="00F56CBD" w:rsidP="00F56CBD">
      <w:pPr>
        <w:pStyle w:val="Heading2"/>
        <w:rPr>
          <w:rFonts w:asciiTheme="minorHAnsi" w:hAnsiTheme="minorHAnsi"/>
        </w:rPr>
      </w:pPr>
      <w:r w:rsidRPr="00FB185A">
        <w:rPr>
          <w:rFonts w:asciiTheme="minorHAnsi" w:hAnsiTheme="minorHAnsi"/>
        </w:rPr>
        <w:t>Policy recommendations</w:t>
      </w:r>
      <w:bookmarkEnd w:id="66"/>
    </w:p>
    <w:p w14:paraId="4E9440E6" w14:textId="77777777" w:rsidR="00F56CBD" w:rsidRDefault="00F56CBD" w:rsidP="00F56CBD"/>
    <w:p w14:paraId="32B284BC" w14:textId="191BB6E5" w:rsidR="008225B5" w:rsidRDefault="00F56CBD" w:rsidP="00947050">
      <w:pPr>
        <w:jc w:val="both"/>
        <w:rPr>
          <w:rFonts w:ascii="Arial" w:hAnsi="Arial"/>
        </w:rPr>
      </w:pPr>
      <w:r w:rsidRPr="00017B44">
        <w:rPr>
          <w:rFonts w:ascii="Arial" w:hAnsi="Arial"/>
        </w:rPr>
        <w:t xml:space="preserve">Based on findings </w:t>
      </w:r>
      <w:r w:rsidR="00017B44" w:rsidRPr="00017B44">
        <w:rPr>
          <w:rFonts w:ascii="Arial" w:hAnsi="Arial"/>
        </w:rPr>
        <w:t>of the analysis of HSESs</w:t>
      </w:r>
      <w:r w:rsidR="00C24D77">
        <w:rPr>
          <w:rFonts w:ascii="Arial" w:hAnsi="Arial"/>
        </w:rPr>
        <w:t xml:space="preserve"> in 2010-2012, the</w:t>
      </w:r>
      <w:r w:rsidR="00017B44" w:rsidRPr="00017B44">
        <w:rPr>
          <w:rFonts w:ascii="Arial" w:hAnsi="Arial"/>
        </w:rPr>
        <w:t xml:space="preserve"> </w:t>
      </w:r>
      <w:r w:rsidRPr="00017B44">
        <w:rPr>
          <w:rFonts w:ascii="Arial" w:hAnsi="Arial"/>
        </w:rPr>
        <w:t>following key policy interventions are recommended</w:t>
      </w:r>
      <w:r w:rsidR="00FB185A" w:rsidRPr="00017B44">
        <w:rPr>
          <w:rFonts w:ascii="Arial" w:hAnsi="Arial"/>
        </w:rPr>
        <w:t>.</w:t>
      </w:r>
      <w:r w:rsidR="00692B2B">
        <w:rPr>
          <w:rFonts w:ascii="Arial" w:hAnsi="Arial"/>
        </w:rPr>
        <w:t xml:space="preserve"> Policy recommendations are organized for purposes of national policy making by the government and the Ministry of Health and also for </w:t>
      </w:r>
      <w:r w:rsidR="00C24D77">
        <w:rPr>
          <w:rFonts w:ascii="Arial" w:hAnsi="Arial"/>
        </w:rPr>
        <w:t xml:space="preserve">the </w:t>
      </w:r>
      <w:r w:rsidR="00692B2B">
        <w:rPr>
          <w:rFonts w:ascii="Arial" w:hAnsi="Arial"/>
        </w:rPr>
        <w:t xml:space="preserve">recently approved health insurance organization as the </w:t>
      </w:r>
      <w:r w:rsidR="00DC4632">
        <w:rPr>
          <w:rFonts w:ascii="Arial" w:hAnsi="Arial"/>
        </w:rPr>
        <w:t xml:space="preserve">main </w:t>
      </w:r>
      <w:r w:rsidR="00692B2B">
        <w:rPr>
          <w:rFonts w:ascii="Arial" w:hAnsi="Arial"/>
        </w:rPr>
        <w:t>purchaser</w:t>
      </w:r>
      <w:r w:rsidR="00DC4632">
        <w:rPr>
          <w:rFonts w:ascii="Arial" w:hAnsi="Arial"/>
        </w:rPr>
        <w:t xml:space="preserve"> of health services</w:t>
      </w:r>
      <w:r w:rsidR="00692B2B">
        <w:rPr>
          <w:rFonts w:ascii="Arial" w:hAnsi="Arial"/>
        </w:rPr>
        <w:t>.</w:t>
      </w:r>
      <w:r w:rsidR="006B53C7">
        <w:rPr>
          <w:rFonts w:ascii="Arial" w:hAnsi="Arial"/>
        </w:rPr>
        <w:t xml:space="preserve"> Below policy recommendations will require short to long-term implementation efforts. </w:t>
      </w:r>
    </w:p>
    <w:p w14:paraId="709CBCE4" w14:textId="77777777" w:rsidR="007C2399" w:rsidRDefault="00692B2B" w:rsidP="007C2399">
      <w:pPr>
        <w:pStyle w:val="Heading3"/>
        <w:spacing w:before="0"/>
      </w:pPr>
      <w:r>
        <w:t xml:space="preserve"> </w:t>
      </w:r>
    </w:p>
    <w:p w14:paraId="6612ABB5" w14:textId="48075C48" w:rsidR="00C74BE3" w:rsidRPr="00017B44" w:rsidRDefault="00C74BE3" w:rsidP="00A30507">
      <w:pPr>
        <w:pStyle w:val="Heading3"/>
      </w:pPr>
      <w:bookmarkStart w:id="67" w:name="_Toc305764314"/>
      <w:r w:rsidRPr="00017B44">
        <w:t xml:space="preserve">At </w:t>
      </w:r>
      <w:r w:rsidR="00C51DBA" w:rsidRPr="00017B44">
        <w:t>n</w:t>
      </w:r>
      <w:r w:rsidRPr="00017B44">
        <w:t>ational policy making level</w:t>
      </w:r>
      <w:bookmarkEnd w:id="67"/>
    </w:p>
    <w:p w14:paraId="75522EEB" w14:textId="77777777" w:rsidR="00C74BE3" w:rsidRPr="00017B44" w:rsidRDefault="00C74BE3" w:rsidP="00C74BE3">
      <w:pPr>
        <w:rPr>
          <w:rFonts w:ascii="Arial" w:hAnsi="Arial"/>
        </w:rPr>
      </w:pPr>
    </w:p>
    <w:p w14:paraId="3ED157A3" w14:textId="5859D8FE" w:rsidR="00244E53" w:rsidRDefault="008225B5" w:rsidP="008D7686">
      <w:pPr>
        <w:pStyle w:val="ListParagraph"/>
        <w:numPr>
          <w:ilvl w:val="0"/>
          <w:numId w:val="15"/>
        </w:numPr>
        <w:ind w:left="360"/>
        <w:jc w:val="both"/>
        <w:rPr>
          <w:rFonts w:ascii="Arial" w:hAnsi="Arial"/>
          <w:i/>
        </w:rPr>
      </w:pPr>
      <w:r>
        <w:rPr>
          <w:rFonts w:ascii="Arial" w:hAnsi="Arial"/>
          <w:i/>
        </w:rPr>
        <w:t xml:space="preserve">Develop policy and legal environment for universal health coverage as </w:t>
      </w:r>
      <w:r w:rsidR="00B54C4C">
        <w:rPr>
          <w:rFonts w:ascii="Arial" w:hAnsi="Arial"/>
          <w:i/>
        </w:rPr>
        <w:t xml:space="preserve">an </w:t>
      </w:r>
      <w:r>
        <w:rPr>
          <w:rFonts w:ascii="Arial" w:hAnsi="Arial"/>
          <w:i/>
        </w:rPr>
        <w:t>explicit objective of the health system</w:t>
      </w:r>
    </w:p>
    <w:p w14:paraId="009B23E6" w14:textId="77777777" w:rsidR="00C24D77" w:rsidRPr="00B54C4C" w:rsidRDefault="00C24D77" w:rsidP="00C24D77">
      <w:pPr>
        <w:pStyle w:val="ListParagraph"/>
        <w:ind w:left="360"/>
        <w:jc w:val="both"/>
        <w:rPr>
          <w:rFonts w:ascii="Arial" w:hAnsi="Arial"/>
          <w:i/>
        </w:rPr>
      </w:pPr>
    </w:p>
    <w:p w14:paraId="001BD313" w14:textId="58789C2C" w:rsidR="00244E53" w:rsidRPr="00017B44" w:rsidRDefault="00244E53" w:rsidP="00416719">
      <w:pPr>
        <w:jc w:val="both"/>
        <w:rPr>
          <w:rFonts w:ascii="Arial" w:hAnsi="Arial"/>
        </w:rPr>
      </w:pPr>
      <w:r w:rsidRPr="00017B44">
        <w:rPr>
          <w:rFonts w:ascii="Arial" w:hAnsi="Arial"/>
        </w:rPr>
        <w:t>Assessment and revision of Mongolia’</w:t>
      </w:r>
      <w:r w:rsidR="00017B44">
        <w:rPr>
          <w:rFonts w:ascii="Arial" w:hAnsi="Arial"/>
        </w:rPr>
        <w:t xml:space="preserve">s health financing strategy is </w:t>
      </w:r>
      <w:r w:rsidR="0055234A" w:rsidRPr="00017B44">
        <w:rPr>
          <w:rFonts w:ascii="Arial" w:hAnsi="Arial"/>
        </w:rPr>
        <w:t xml:space="preserve">essential step to design and implement </w:t>
      </w:r>
      <w:r w:rsidR="00CF1BB9">
        <w:rPr>
          <w:rFonts w:ascii="Arial" w:hAnsi="Arial"/>
        </w:rPr>
        <w:t xml:space="preserve">a </w:t>
      </w:r>
      <w:r w:rsidR="0055234A" w:rsidRPr="00017B44">
        <w:rPr>
          <w:rFonts w:ascii="Arial" w:hAnsi="Arial"/>
        </w:rPr>
        <w:t xml:space="preserve">policy to </w:t>
      </w:r>
      <w:r w:rsidR="002C1D24">
        <w:rPr>
          <w:rFonts w:ascii="Arial" w:hAnsi="Arial"/>
        </w:rPr>
        <w:t xml:space="preserve">achieve the objective of universal health coverage where </w:t>
      </w:r>
      <w:r w:rsidR="005E2D5D">
        <w:rPr>
          <w:rFonts w:ascii="Arial" w:hAnsi="Arial"/>
        </w:rPr>
        <w:t>people have</w:t>
      </w:r>
      <w:r w:rsidR="00DC4632">
        <w:rPr>
          <w:rFonts w:ascii="Arial" w:hAnsi="Arial"/>
        </w:rPr>
        <w:t xml:space="preserve"> </w:t>
      </w:r>
      <w:r w:rsidR="002C1D24">
        <w:rPr>
          <w:rFonts w:ascii="Arial" w:hAnsi="Arial"/>
        </w:rPr>
        <w:t xml:space="preserve">access to needed health services without incurring financial </w:t>
      </w:r>
      <w:r w:rsidR="0035241D">
        <w:rPr>
          <w:rFonts w:ascii="Arial" w:hAnsi="Arial"/>
        </w:rPr>
        <w:t>catastrophe</w:t>
      </w:r>
      <w:r w:rsidR="00416719">
        <w:rPr>
          <w:rFonts w:ascii="Arial" w:hAnsi="Arial"/>
        </w:rPr>
        <w:t xml:space="preserve">. </w:t>
      </w:r>
      <w:r w:rsidR="00C25A49">
        <w:rPr>
          <w:rFonts w:ascii="Arial" w:hAnsi="Arial"/>
        </w:rPr>
        <w:t xml:space="preserve">Mongolia’s health financing strategy was approved in 2010 </w:t>
      </w:r>
      <w:r w:rsidR="00DC4632">
        <w:rPr>
          <w:rFonts w:ascii="Arial" w:hAnsi="Arial"/>
        </w:rPr>
        <w:t xml:space="preserve">for period of implementation </w:t>
      </w:r>
      <w:r w:rsidR="00C25A49">
        <w:rPr>
          <w:rFonts w:ascii="Arial" w:hAnsi="Arial"/>
        </w:rPr>
        <w:t xml:space="preserve">until 2015. </w:t>
      </w:r>
      <w:r w:rsidR="00DC4632">
        <w:rPr>
          <w:rFonts w:ascii="Arial" w:hAnsi="Arial"/>
        </w:rPr>
        <w:t>The policy envisages that out of pocket health expenditure would b</w:t>
      </w:r>
      <w:r w:rsidR="005E2D5D">
        <w:rPr>
          <w:rFonts w:ascii="Arial" w:hAnsi="Arial"/>
        </w:rPr>
        <w:t xml:space="preserve">e dropped to 25% of the </w:t>
      </w:r>
      <w:proofErr w:type="spellStart"/>
      <w:r w:rsidR="005E2D5D">
        <w:rPr>
          <w:rFonts w:ascii="Arial" w:hAnsi="Arial"/>
        </w:rPr>
        <w:t>THE</w:t>
      </w:r>
      <w:proofErr w:type="spellEnd"/>
      <w:r w:rsidR="005E2D5D">
        <w:rPr>
          <w:rFonts w:ascii="Arial" w:hAnsi="Arial"/>
        </w:rPr>
        <w:t xml:space="preserve"> and people shall be ensured with good quality needed health services on equitable basis and they will be financially protected from incurring catastrophic and impoverishing health payments. </w:t>
      </w:r>
      <w:r w:rsidR="00C25A49">
        <w:rPr>
          <w:rFonts w:ascii="Arial" w:hAnsi="Arial"/>
        </w:rPr>
        <w:t>However, the strategy lacked impleme</w:t>
      </w:r>
      <w:r w:rsidR="00CF1BB9">
        <w:rPr>
          <w:rFonts w:ascii="Arial" w:hAnsi="Arial"/>
        </w:rPr>
        <w:t>ntation efforts despite having approved</w:t>
      </w:r>
      <w:r w:rsidR="00C25A49">
        <w:rPr>
          <w:rFonts w:ascii="Arial" w:hAnsi="Arial"/>
        </w:rPr>
        <w:t xml:space="preserve"> plan. </w:t>
      </w:r>
      <w:r w:rsidR="00416719">
        <w:rPr>
          <w:rFonts w:ascii="Arial" w:hAnsi="Arial"/>
        </w:rPr>
        <w:t xml:space="preserve">Therefore </w:t>
      </w:r>
      <w:r w:rsidR="00436EB7">
        <w:rPr>
          <w:rFonts w:ascii="Arial" w:hAnsi="Arial"/>
        </w:rPr>
        <w:t>it is ripe time to revisit</w:t>
      </w:r>
      <w:r w:rsidR="005E2D5D">
        <w:rPr>
          <w:rFonts w:ascii="Arial" w:hAnsi="Arial"/>
        </w:rPr>
        <w:t xml:space="preserve"> the health financing strategy</w:t>
      </w:r>
      <w:r w:rsidR="00436EB7">
        <w:rPr>
          <w:rFonts w:ascii="Arial" w:hAnsi="Arial"/>
        </w:rPr>
        <w:t xml:space="preserve"> and </w:t>
      </w:r>
      <w:r w:rsidR="00763334">
        <w:rPr>
          <w:rFonts w:ascii="Arial" w:hAnsi="Arial"/>
        </w:rPr>
        <w:t xml:space="preserve">develop policies and strategies </w:t>
      </w:r>
      <w:r w:rsidR="00A247CA">
        <w:rPr>
          <w:rFonts w:ascii="Arial" w:hAnsi="Arial"/>
        </w:rPr>
        <w:t xml:space="preserve">to </w:t>
      </w:r>
      <w:r w:rsidR="00436EB7">
        <w:rPr>
          <w:rFonts w:ascii="Arial" w:hAnsi="Arial"/>
        </w:rPr>
        <w:t xml:space="preserve">implement interventions that are based on evidences </w:t>
      </w:r>
      <w:r w:rsidR="00CF1BB9">
        <w:rPr>
          <w:rFonts w:ascii="Arial" w:hAnsi="Arial"/>
        </w:rPr>
        <w:t>of</w:t>
      </w:r>
      <w:r w:rsidR="00436EB7">
        <w:rPr>
          <w:rFonts w:ascii="Arial" w:hAnsi="Arial"/>
        </w:rPr>
        <w:t xml:space="preserve"> out of pocket </w:t>
      </w:r>
      <w:r w:rsidR="00CF1BB9">
        <w:rPr>
          <w:rFonts w:ascii="Arial" w:hAnsi="Arial"/>
        </w:rPr>
        <w:t xml:space="preserve">and catastrophic and impoverishing </w:t>
      </w:r>
      <w:r w:rsidR="00436EB7">
        <w:rPr>
          <w:rFonts w:ascii="Arial" w:hAnsi="Arial"/>
        </w:rPr>
        <w:t>health payments in Mongolia</w:t>
      </w:r>
      <w:r w:rsidR="00416719">
        <w:rPr>
          <w:rFonts w:ascii="Arial" w:hAnsi="Arial"/>
        </w:rPr>
        <w:t xml:space="preserve">. </w:t>
      </w:r>
    </w:p>
    <w:p w14:paraId="467D1E9F" w14:textId="77777777" w:rsidR="00244E53" w:rsidRPr="00017B44" w:rsidRDefault="00244E53" w:rsidP="008D7686">
      <w:pPr>
        <w:rPr>
          <w:rFonts w:ascii="Arial" w:hAnsi="Arial"/>
        </w:rPr>
      </w:pPr>
    </w:p>
    <w:p w14:paraId="21141516" w14:textId="78B057B0" w:rsidR="008225B5" w:rsidRPr="00CF1BB9" w:rsidRDefault="008225B5" w:rsidP="008225B5">
      <w:pPr>
        <w:pStyle w:val="ListParagraph"/>
        <w:widowControl w:val="0"/>
        <w:numPr>
          <w:ilvl w:val="3"/>
          <w:numId w:val="15"/>
        </w:numPr>
        <w:autoSpaceDE w:val="0"/>
        <w:autoSpaceDN w:val="0"/>
        <w:adjustRightInd w:val="0"/>
        <w:ind w:left="360"/>
        <w:jc w:val="both"/>
        <w:rPr>
          <w:rFonts w:ascii="Arial" w:eastAsiaTheme="minorEastAsia" w:hAnsi="Arial"/>
          <w:i/>
        </w:rPr>
      </w:pPr>
      <w:r w:rsidRPr="00CF1BB9">
        <w:rPr>
          <w:rFonts w:ascii="Arial" w:eastAsiaTheme="minorEastAsia" w:hAnsi="Arial"/>
          <w:i/>
        </w:rPr>
        <w:t xml:space="preserve">Improve availability </w:t>
      </w:r>
      <w:r w:rsidR="00E274C1" w:rsidRPr="00CF1BB9">
        <w:rPr>
          <w:rFonts w:ascii="Arial" w:eastAsiaTheme="minorEastAsia" w:hAnsi="Arial"/>
          <w:i/>
        </w:rPr>
        <w:t xml:space="preserve">and utilization </w:t>
      </w:r>
      <w:r w:rsidRPr="00CF1BB9">
        <w:rPr>
          <w:rFonts w:ascii="Arial" w:eastAsiaTheme="minorEastAsia" w:hAnsi="Arial"/>
          <w:i/>
        </w:rPr>
        <w:t>of data</w:t>
      </w:r>
      <w:r w:rsidR="00A15347" w:rsidRPr="00CF1BB9">
        <w:rPr>
          <w:rFonts w:ascii="Arial" w:eastAsiaTheme="minorEastAsia" w:hAnsi="Arial"/>
          <w:i/>
        </w:rPr>
        <w:t xml:space="preserve"> on</w:t>
      </w:r>
      <w:r w:rsidR="00E274C1" w:rsidRPr="00CF1BB9">
        <w:rPr>
          <w:rFonts w:ascii="Arial" w:eastAsiaTheme="minorEastAsia" w:hAnsi="Arial"/>
          <w:i/>
        </w:rPr>
        <w:t xml:space="preserve"> </w:t>
      </w:r>
      <w:r w:rsidR="00A15347" w:rsidRPr="00CF1BB9">
        <w:rPr>
          <w:rFonts w:ascii="Arial" w:eastAsiaTheme="minorEastAsia" w:hAnsi="Arial"/>
          <w:i/>
        </w:rPr>
        <w:t>health expenditure and out of pocket health payments</w:t>
      </w:r>
    </w:p>
    <w:p w14:paraId="084F1673" w14:textId="77777777" w:rsidR="008225B5" w:rsidRPr="008225B5" w:rsidRDefault="008225B5" w:rsidP="008225B5">
      <w:pPr>
        <w:widowControl w:val="0"/>
        <w:autoSpaceDE w:val="0"/>
        <w:autoSpaceDN w:val="0"/>
        <w:adjustRightInd w:val="0"/>
        <w:jc w:val="both"/>
        <w:rPr>
          <w:rFonts w:ascii="Arial" w:eastAsiaTheme="minorEastAsia" w:hAnsi="Arial"/>
        </w:rPr>
      </w:pPr>
    </w:p>
    <w:p w14:paraId="09E66C15" w14:textId="5E1BB2AF" w:rsidR="00B54C4C" w:rsidRDefault="00F86003" w:rsidP="0035241D">
      <w:pPr>
        <w:widowControl w:val="0"/>
        <w:autoSpaceDE w:val="0"/>
        <w:autoSpaceDN w:val="0"/>
        <w:adjustRightInd w:val="0"/>
        <w:jc w:val="both"/>
        <w:rPr>
          <w:rFonts w:ascii="Arial" w:eastAsiaTheme="minorEastAsia" w:hAnsi="Arial"/>
        </w:rPr>
      </w:pPr>
      <w:r>
        <w:rPr>
          <w:rFonts w:ascii="Arial" w:eastAsiaTheme="minorEastAsia" w:hAnsi="Arial"/>
        </w:rPr>
        <w:t xml:space="preserve">Further, </w:t>
      </w:r>
      <w:r w:rsidR="0035241D">
        <w:rPr>
          <w:rFonts w:ascii="Arial" w:eastAsiaTheme="minorEastAsia" w:hAnsi="Arial"/>
        </w:rPr>
        <w:t>Mongolia has good system with ample of data about</w:t>
      </w:r>
      <w:r w:rsidR="00785752">
        <w:rPr>
          <w:rFonts w:ascii="Arial" w:eastAsiaTheme="minorEastAsia" w:hAnsi="Arial"/>
        </w:rPr>
        <w:t xml:space="preserve"> population health outcomes. This means that</w:t>
      </w:r>
      <w:r w:rsidR="0035241D">
        <w:rPr>
          <w:rFonts w:ascii="Arial" w:eastAsiaTheme="minorEastAsia" w:hAnsi="Arial"/>
        </w:rPr>
        <w:t xml:space="preserve"> health data related to </w:t>
      </w:r>
      <w:r w:rsidR="00785752">
        <w:rPr>
          <w:rFonts w:ascii="Arial" w:eastAsiaTheme="minorEastAsia" w:hAnsi="Arial"/>
        </w:rPr>
        <w:t xml:space="preserve">population </w:t>
      </w:r>
      <w:r w:rsidR="0035241D">
        <w:rPr>
          <w:rFonts w:ascii="Arial" w:eastAsiaTheme="minorEastAsia" w:hAnsi="Arial"/>
        </w:rPr>
        <w:t xml:space="preserve">morbidity and </w:t>
      </w:r>
      <w:r w:rsidR="0035241D">
        <w:rPr>
          <w:rFonts w:ascii="Arial" w:eastAsiaTheme="minorEastAsia" w:hAnsi="Arial"/>
        </w:rPr>
        <w:lastRenderedPageBreak/>
        <w:t>mortality is well collected and reported</w:t>
      </w:r>
      <w:r w:rsidR="00785752">
        <w:rPr>
          <w:rFonts w:ascii="Arial" w:eastAsiaTheme="minorEastAsia" w:hAnsi="Arial"/>
        </w:rPr>
        <w:t xml:space="preserve"> at national and sub-national levels and by types of health facilities</w:t>
      </w:r>
      <w:r w:rsidR="0035241D">
        <w:rPr>
          <w:rFonts w:ascii="Arial" w:eastAsiaTheme="minorEastAsia" w:hAnsi="Arial"/>
        </w:rPr>
        <w:t xml:space="preserve">. However </w:t>
      </w:r>
      <w:r>
        <w:rPr>
          <w:rFonts w:ascii="Arial" w:eastAsiaTheme="minorEastAsia" w:hAnsi="Arial"/>
        </w:rPr>
        <w:t xml:space="preserve">the health expenditure data is fairly </w:t>
      </w:r>
      <w:r w:rsidR="0035241D">
        <w:rPr>
          <w:rFonts w:ascii="Arial" w:eastAsiaTheme="minorEastAsia" w:hAnsi="Arial"/>
        </w:rPr>
        <w:t xml:space="preserve">limited to </w:t>
      </w:r>
      <w:r>
        <w:rPr>
          <w:rFonts w:ascii="Arial" w:eastAsiaTheme="minorEastAsia" w:hAnsi="Arial"/>
        </w:rPr>
        <w:t xml:space="preserve">statistics about </w:t>
      </w:r>
      <w:r w:rsidR="0035241D">
        <w:rPr>
          <w:rFonts w:ascii="Arial" w:eastAsiaTheme="minorEastAsia" w:hAnsi="Arial"/>
        </w:rPr>
        <w:t>public finances. Therefore it needs to improve availability of health expe</w:t>
      </w:r>
      <w:r w:rsidR="00416719">
        <w:rPr>
          <w:rFonts w:ascii="Arial" w:eastAsiaTheme="minorEastAsia" w:hAnsi="Arial"/>
        </w:rPr>
        <w:t>nditure data to track the extent</w:t>
      </w:r>
      <w:r w:rsidR="0035241D">
        <w:rPr>
          <w:rFonts w:ascii="Arial" w:eastAsiaTheme="minorEastAsia" w:hAnsi="Arial"/>
        </w:rPr>
        <w:t xml:space="preserve"> of health payments </w:t>
      </w:r>
      <w:r w:rsidR="00E274C1">
        <w:rPr>
          <w:rFonts w:ascii="Arial" w:eastAsiaTheme="minorEastAsia" w:hAnsi="Arial"/>
        </w:rPr>
        <w:t xml:space="preserve">paid by private people </w:t>
      </w:r>
      <w:r w:rsidR="0035241D">
        <w:rPr>
          <w:rFonts w:ascii="Arial" w:eastAsiaTheme="minorEastAsia" w:hAnsi="Arial"/>
        </w:rPr>
        <w:t xml:space="preserve">to ensure health system objective of </w:t>
      </w:r>
      <w:r w:rsidR="00416719">
        <w:rPr>
          <w:rFonts w:ascii="Arial" w:eastAsiaTheme="minorEastAsia" w:hAnsi="Arial"/>
        </w:rPr>
        <w:t xml:space="preserve">population </w:t>
      </w:r>
      <w:r w:rsidR="0035241D">
        <w:rPr>
          <w:rFonts w:ascii="Arial" w:eastAsiaTheme="minorEastAsia" w:hAnsi="Arial"/>
        </w:rPr>
        <w:t>financial protection is achieved. Fortunately, Household Socio-</w:t>
      </w:r>
      <w:r w:rsidR="00416719">
        <w:rPr>
          <w:rFonts w:ascii="Arial" w:eastAsiaTheme="minorEastAsia" w:hAnsi="Arial"/>
        </w:rPr>
        <w:t>Economic Survey</w:t>
      </w:r>
      <w:r w:rsidR="0035241D">
        <w:rPr>
          <w:rFonts w:ascii="Arial" w:eastAsiaTheme="minorEastAsia" w:hAnsi="Arial"/>
        </w:rPr>
        <w:t xml:space="preserve">s </w:t>
      </w:r>
      <w:r w:rsidR="00416719">
        <w:rPr>
          <w:rFonts w:ascii="Arial" w:eastAsiaTheme="minorEastAsia" w:hAnsi="Arial"/>
        </w:rPr>
        <w:t xml:space="preserve">provide good source of data for this purposes but analysis and utilization should be improved by the health sector. </w:t>
      </w:r>
      <w:r w:rsidR="00B54C4C">
        <w:rPr>
          <w:rFonts w:ascii="Arial" w:eastAsiaTheme="minorEastAsia" w:hAnsi="Arial"/>
        </w:rPr>
        <w:t xml:space="preserve">In addition, </w:t>
      </w:r>
      <w:r w:rsidR="00DF6293">
        <w:rPr>
          <w:rFonts w:ascii="Arial" w:eastAsiaTheme="minorEastAsia" w:hAnsi="Arial"/>
        </w:rPr>
        <w:t>the Center for health development is working to produce national health accounts estimates</w:t>
      </w:r>
      <w:r w:rsidR="00A15347">
        <w:rPr>
          <w:rFonts w:ascii="Arial" w:eastAsiaTheme="minorEastAsia" w:hAnsi="Arial"/>
        </w:rPr>
        <w:t xml:space="preserve"> that </w:t>
      </w:r>
      <w:r w:rsidR="00CF1BB9">
        <w:rPr>
          <w:rFonts w:ascii="Arial" w:eastAsiaTheme="minorEastAsia" w:hAnsi="Arial"/>
        </w:rPr>
        <w:t xml:space="preserve">was missing </w:t>
      </w:r>
      <w:r w:rsidR="00A15347">
        <w:rPr>
          <w:rFonts w:ascii="Arial" w:eastAsiaTheme="minorEastAsia" w:hAnsi="Arial"/>
        </w:rPr>
        <w:t>since 2005</w:t>
      </w:r>
      <w:r w:rsidR="00DF6293">
        <w:rPr>
          <w:rFonts w:ascii="Arial" w:eastAsiaTheme="minorEastAsia" w:hAnsi="Arial"/>
        </w:rPr>
        <w:t>.</w:t>
      </w:r>
    </w:p>
    <w:p w14:paraId="06F6089E" w14:textId="012E54C9" w:rsidR="008225B5" w:rsidRPr="008225B5" w:rsidRDefault="008225B5" w:rsidP="008225B5">
      <w:pPr>
        <w:widowControl w:val="0"/>
        <w:autoSpaceDE w:val="0"/>
        <w:autoSpaceDN w:val="0"/>
        <w:adjustRightInd w:val="0"/>
        <w:jc w:val="both"/>
        <w:rPr>
          <w:rFonts w:ascii="Arial" w:eastAsiaTheme="minorEastAsia" w:hAnsi="Arial"/>
        </w:rPr>
      </w:pPr>
    </w:p>
    <w:p w14:paraId="2697BDAB" w14:textId="1313A44D" w:rsidR="008225B5" w:rsidRPr="00A247CA" w:rsidRDefault="00CF1BB9" w:rsidP="008225B5">
      <w:pPr>
        <w:pStyle w:val="ListParagraph"/>
        <w:numPr>
          <w:ilvl w:val="3"/>
          <w:numId w:val="15"/>
        </w:numPr>
        <w:autoSpaceDE w:val="0"/>
        <w:autoSpaceDN w:val="0"/>
        <w:adjustRightInd w:val="0"/>
        <w:ind w:left="360"/>
        <w:jc w:val="both"/>
        <w:rPr>
          <w:rFonts w:ascii="Arial" w:hAnsi="Arial" w:cs="Arial"/>
          <w:b/>
        </w:rPr>
      </w:pPr>
      <w:r w:rsidRPr="00A247CA">
        <w:rPr>
          <w:rFonts w:ascii="Arial" w:hAnsi="Arial" w:cs="Arial"/>
          <w:i/>
        </w:rPr>
        <w:t>Enhance</w:t>
      </w:r>
      <w:r w:rsidR="00A247CA" w:rsidRPr="00A247CA">
        <w:rPr>
          <w:rFonts w:ascii="Arial" w:hAnsi="Arial" w:cs="Arial"/>
          <w:i/>
        </w:rPr>
        <w:t xml:space="preserve"> </w:t>
      </w:r>
      <w:r w:rsidR="008225B5" w:rsidRPr="00A247CA">
        <w:rPr>
          <w:rFonts w:ascii="Arial" w:hAnsi="Arial" w:cs="Arial"/>
          <w:i/>
        </w:rPr>
        <w:t xml:space="preserve">understanding of policy makers about health disparity </w:t>
      </w:r>
    </w:p>
    <w:p w14:paraId="7392E959" w14:textId="77777777" w:rsidR="00A247CA" w:rsidRPr="00A247CA" w:rsidRDefault="00A247CA" w:rsidP="00A247CA">
      <w:pPr>
        <w:pStyle w:val="ListParagraph"/>
        <w:autoSpaceDE w:val="0"/>
        <w:autoSpaceDN w:val="0"/>
        <w:adjustRightInd w:val="0"/>
        <w:ind w:left="360"/>
        <w:jc w:val="both"/>
        <w:rPr>
          <w:rFonts w:ascii="Arial" w:hAnsi="Arial" w:cs="Arial"/>
          <w:b/>
        </w:rPr>
      </w:pPr>
    </w:p>
    <w:p w14:paraId="5C4B237F" w14:textId="4943AAC3" w:rsidR="00256A67" w:rsidRPr="00017B44" w:rsidRDefault="00CB58E0" w:rsidP="00256A67">
      <w:pPr>
        <w:autoSpaceDE w:val="0"/>
        <w:autoSpaceDN w:val="0"/>
        <w:adjustRightInd w:val="0"/>
        <w:jc w:val="both"/>
        <w:rPr>
          <w:rFonts w:ascii="Arial" w:hAnsi="Arial" w:cs="Arial"/>
        </w:rPr>
      </w:pPr>
      <w:r>
        <w:rPr>
          <w:rFonts w:ascii="Arial" w:hAnsi="Arial" w:cs="Arial"/>
        </w:rPr>
        <w:t xml:space="preserve">Despite policy commitment by the </w:t>
      </w:r>
      <w:proofErr w:type="spellStart"/>
      <w:r>
        <w:rPr>
          <w:rFonts w:ascii="Arial" w:hAnsi="Arial" w:cs="Arial"/>
        </w:rPr>
        <w:t>MoHS</w:t>
      </w:r>
      <w:proofErr w:type="spellEnd"/>
      <w:r>
        <w:rPr>
          <w:rFonts w:ascii="Arial" w:hAnsi="Arial" w:cs="Arial"/>
        </w:rPr>
        <w:t>, p</w:t>
      </w:r>
      <w:r w:rsidR="00A247CA">
        <w:rPr>
          <w:rFonts w:ascii="Arial" w:hAnsi="Arial" w:cs="Arial"/>
        </w:rPr>
        <w:t xml:space="preserve">ast </w:t>
      </w:r>
      <w:r w:rsidR="00A247CA" w:rsidRPr="00017B44">
        <w:rPr>
          <w:rFonts w:ascii="Arial" w:hAnsi="Arial" w:cs="Arial"/>
        </w:rPr>
        <w:t xml:space="preserve">efforts to </w:t>
      </w:r>
      <w:r w:rsidR="00A247CA">
        <w:rPr>
          <w:rFonts w:ascii="Arial" w:hAnsi="Arial" w:cs="Arial"/>
        </w:rPr>
        <w:t xml:space="preserve">allocate resources for health to </w:t>
      </w:r>
      <w:r w:rsidR="00A247CA" w:rsidRPr="00017B44">
        <w:rPr>
          <w:rFonts w:ascii="Arial" w:hAnsi="Arial" w:cs="Arial"/>
        </w:rPr>
        <w:t xml:space="preserve">improve access to health services by the poor and vulnerable and to promote health equity </w:t>
      </w:r>
      <w:r>
        <w:rPr>
          <w:rFonts w:ascii="Arial" w:hAnsi="Arial" w:cs="Arial"/>
        </w:rPr>
        <w:t>have</w:t>
      </w:r>
      <w:r w:rsidR="00A247CA">
        <w:rPr>
          <w:rFonts w:ascii="Arial" w:hAnsi="Arial" w:cs="Arial"/>
        </w:rPr>
        <w:t xml:space="preserve"> not been </w:t>
      </w:r>
      <w:r w:rsidR="00A247CA" w:rsidRPr="00017B44">
        <w:rPr>
          <w:rFonts w:ascii="Arial" w:hAnsi="Arial" w:cs="Arial"/>
        </w:rPr>
        <w:t>successful</w:t>
      </w:r>
      <w:r w:rsidR="00A247CA">
        <w:rPr>
          <w:rFonts w:ascii="Arial" w:hAnsi="Arial" w:cs="Arial"/>
        </w:rPr>
        <w:t xml:space="preserve"> in Mongolia</w:t>
      </w:r>
      <w:r w:rsidR="00A247CA" w:rsidRPr="00017B44">
        <w:rPr>
          <w:rFonts w:ascii="Arial" w:hAnsi="Arial" w:cs="Arial"/>
        </w:rPr>
        <w:t xml:space="preserve">. </w:t>
      </w:r>
      <w:r w:rsidR="00A247CA">
        <w:rPr>
          <w:rFonts w:ascii="Arial" w:hAnsi="Arial" w:cs="Arial"/>
        </w:rPr>
        <w:t>S</w:t>
      </w:r>
      <w:r w:rsidR="00256A67" w:rsidRPr="00017B44">
        <w:rPr>
          <w:rFonts w:ascii="Arial" w:hAnsi="Arial" w:cs="Arial"/>
        </w:rPr>
        <w:t xml:space="preserve">upport </w:t>
      </w:r>
      <w:r>
        <w:rPr>
          <w:rFonts w:ascii="Arial" w:hAnsi="Arial" w:cs="Arial"/>
        </w:rPr>
        <w:t>of</w:t>
      </w:r>
      <w:r w:rsidR="00256A67" w:rsidRPr="00017B44">
        <w:rPr>
          <w:rFonts w:ascii="Arial" w:hAnsi="Arial" w:cs="Arial"/>
        </w:rPr>
        <w:t xml:space="preserve"> policy makers</w:t>
      </w:r>
      <w:r w:rsidR="008225B5">
        <w:rPr>
          <w:rFonts w:ascii="Arial" w:hAnsi="Arial" w:cs="Arial"/>
        </w:rPr>
        <w:t xml:space="preserve"> including health and finance ministries and </w:t>
      </w:r>
      <w:r w:rsidR="00B54C4C">
        <w:rPr>
          <w:rFonts w:ascii="Arial" w:hAnsi="Arial" w:cs="Arial"/>
        </w:rPr>
        <w:t xml:space="preserve">the </w:t>
      </w:r>
      <w:r w:rsidR="008225B5">
        <w:rPr>
          <w:rFonts w:ascii="Arial" w:hAnsi="Arial" w:cs="Arial"/>
        </w:rPr>
        <w:t>parliament</w:t>
      </w:r>
      <w:r w:rsidR="00B54C4C">
        <w:rPr>
          <w:rFonts w:ascii="Arial" w:hAnsi="Arial" w:cs="Arial"/>
        </w:rPr>
        <w:t xml:space="preserve"> </w:t>
      </w:r>
      <w:r>
        <w:rPr>
          <w:rFonts w:ascii="Arial" w:hAnsi="Arial" w:cs="Arial"/>
        </w:rPr>
        <w:t>is critical to make decisions to prioritize</w:t>
      </w:r>
      <w:r w:rsidR="00B54C4C">
        <w:rPr>
          <w:rFonts w:ascii="Arial" w:hAnsi="Arial" w:cs="Arial"/>
        </w:rPr>
        <w:t xml:space="preserve"> </w:t>
      </w:r>
      <w:r>
        <w:rPr>
          <w:rFonts w:ascii="Arial" w:hAnsi="Arial" w:cs="Arial"/>
        </w:rPr>
        <w:t xml:space="preserve">health in the government budget. </w:t>
      </w:r>
      <w:r w:rsidR="008225B5">
        <w:rPr>
          <w:rFonts w:ascii="Arial" w:hAnsi="Arial" w:cs="Arial"/>
        </w:rPr>
        <w:t>In this regard, a</w:t>
      </w:r>
      <w:r w:rsidR="00256A67" w:rsidRPr="00017B44">
        <w:rPr>
          <w:rFonts w:ascii="Arial" w:hAnsi="Arial" w:cs="Arial"/>
        </w:rPr>
        <w:t xml:space="preserve">dvocacy </w:t>
      </w:r>
      <w:r w:rsidR="008225B5">
        <w:rPr>
          <w:rFonts w:ascii="Arial" w:hAnsi="Arial" w:cs="Arial"/>
        </w:rPr>
        <w:t xml:space="preserve">and other efforts </w:t>
      </w:r>
      <w:r w:rsidR="00256A67" w:rsidRPr="00017B44">
        <w:rPr>
          <w:rFonts w:ascii="Arial" w:hAnsi="Arial" w:cs="Arial"/>
        </w:rPr>
        <w:t xml:space="preserve">from research communities, NGOs and international bodies </w:t>
      </w:r>
      <w:r w:rsidR="00436EB7">
        <w:rPr>
          <w:rFonts w:ascii="Arial" w:hAnsi="Arial" w:cs="Arial"/>
        </w:rPr>
        <w:t>are</w:t>
      </w:r>
      <w:r w:rsidR="00256A67" w:rsidRPr="00017B44">
        <w:rPr>
          <w:rFonts w:ascii="Arial" w:hAnsi="Arial" w:cs="Arial"/>
        </w:rPr>
        <w:t xml:space="preserve"> essential to raise awareness of policy makers </w:t>
      </w:r>
      <w:r w:rsidR="00436EB7">
        <w:rPr>
          <w:rFonts w:ascii="Arial" w:hAnsi="Arial" w:cs="Arial"/>
        </w:rPr>
        <w:t>about</w:t>
      </w:r>
      <w:r w:rsidR="00256A67" w:rsidRPr="00017B44">
        <w:rPr>
          <w:rFonts w:ascii="Arial" w:hAnsi="Arial" w:cs="Arial"/>
        </w:rPr>
        <w:t xml:space="preserve"> the needs and problems of the poor and disadvantaged </w:t>
      </w:r>
      <w:r w:rsidR="00436EB7">
        <w:rPr>
          <w:rFonts w:ascii="Arial" w:hAnsi="Arial" w:cs="Arial"/>
        </w:rPr>
        <w:t xml:space="preserve">people </w:t>
      </w:r>
      <w:r w:rsidR="00256A67" w:rsidRPr="00017B44">
        <w:rPr>
          <w:rFonts w:ascii="Arial" w:hAnsi="Arial" w:cs="Arial"/>
        </w:rPr>
        <w:t xml:space="preserve">to enable targeted </w:t>
      </w:r>
      <w:r w:rsidR="00436EB7">
        <w:rPr>
          <w:rFonts w:ascii="Arial" w:hAnsi="Arial" w:cs="Arial"/>
        </w:rPr>
        <w:t>approaches</w:t>
      </w:r>
      <w:r w:rsidR="00256A67" w:rsidRPr="00017B44">
        <w:rPr>
          <w:rFonts w:ascii="Arial" w:hAnsi="Arial" w:cs="Arial"/>
        </w:rPr>
        <w:t xml:space="preserve"> and strategies.</w:t>
      </w:r>
    </w:p>
    <w:p w14:paraId="499DA9AF" w14:textId="77777777" w:rsidR="008D7686" w:rsidRDefault="008D7686" w:rsidP="008D7686">
      <w:pPr>
        <w:rPr>
          <w:rFonts w:ascii="Arial" w:hAnsi="Arial"/>
        </w:rPr>
      </w:pPr>
    </w:p>
    <w:p w14:paraId="523E0116" w14:textId="77777777" w:rsidR="00A15347" w:rsidRPr="00017B44" w:rsidRDefault="00A15347" w:rsidP="008D7686">
      <w:pPr>
        <w:rPr>
          <w:rFonts w:ascii="Arial" w:hAnsi="Arial"/>
        </w:rPr>
      </w:pPr>
    </w:p>
    <w:p w14:paraId="408383A7" w14:textId="68DA8556" w:rsidR="00035E9E" w:rsidRPr="00271741" w:rsidRDefault="008E1CA3" w:rsidP="003907A5">
      <w:pPr>
        <w:pStyle w:val="ListParagraph"/>
        <w:numPr>
          <w:ilvl w:val="3"/>
          <w:numId w:val="15"/>
        </w:numPr>
        <w:ind w:left="360"/>
        <w:rPr>
          <w:rFonts w:ascii="Arial" w:hAnsi="Arial"/>
          <w:i/>
        </w:rPr>
      </w:pPr>
      <w:r w:rsidRPr="00271741">
        <w:rPr>
          <w:rFonts w:ascii="Arial" w:hAnsi="Arial"/>
          <w:i/>
        </w:rPr>
        <w:t xml:space="preserve">Continue </w:t>
      </w:r>
      <w:r w:rsidR="00A15347">
        <w:rPr>
          <w:rFonts w:ascii="Arial" w:hAnsi="Arial"/>
          <w:i/>
        </w:rPr>
        <w:t xml:space="preserve">making efforts </w:t>
      </w:r>
      <w:r w:rsidR="00CF1BB9">
        <w:rPr>
          <w:rFonts w:ascii="Arial" w:hAnsi="Arial"/>
          <w:i/>
        </w:rPr>
        <w:t xml:space="preserve">to </w:t>
      </w:r>
      <w:r w:rsidRPr="00271741">
        <w:rPr>
          <w:rFonts w:ascii="Arial" w:hAnsi="Arial"/>
          <w:i/>
        </w:rPr>
        <w:t>s</w:t>
      </w:r>
      <w:r w:rsidR="00035E9E" w:rsidRPr="00271741">
        <w:rPr>
          <w:rFonts w:ascii="Arial" w:hAnsi="Arial"/>
          <w:i/>
        </w:rPr>
        <w:t>trengthen purchaser capacity</w:t>
      </w:r>
      <w:r w:rsidR="00271741" w:rsidRPr="00271741">
        <w:rPr>
          <w:rFonts w:ascii="Arial" w:hAnsi="Arial"/>
          <w:i/>
        </w:rPr>
        <w:t xml:space="preserve"> of the Social Health Insurance organization</w:t>
      </w:r>
    </w:p>
    <w:p w14:paraId="105E78C9" w14:textId="77777777" w:rsidR="008D7686" w:rsidRPr="00017B44" w:rsidRDefault="008D7686" w:rsidP="008D7686">
      <w:pPr>
        <w:rPr>
          <w:rFonts w:ascii="Arial" w:hAnsi="Arial"/>
        </w:rPr>
      </w:pPr>
    </w:p>
    <w:p w14:paraId="134C65B4" w14:textId="52477F6E" w:rsidR="008036AD" w:rsidRPr="00017B44" w:rsidRDefault="008036AD" w:rsidP="008E1CA3">
      <w:pPr>
        <w:jc w:val="both"/>
        <w:rPr>
          <w:rFonts w:ascii="Arial" w:hAnsi="Arial"/>
        </w:rPr>
      </w:pPr>
      <w:r w:rsidRPr="00017B44">
        <w:rPr>
          <w:rFonts w:ascii="Arial" w:hAnsi="Arial"/>
        </w:rPr>
        <w:t xml:space="preserve">Purchasing </w:t>
      </w:r>
      <w:r w:rsidR="008E1CA3" w:rsidRPr="00017B44">
        <w:rPr>
          <w:rFonts w:ascii="Arial" w:hAnsi="Arial"/>
        </w:rPr>
        <w:t>of health services is relatively new notion in Mongolia</w:t>
      </w:r>
      <w:r w:rsidR="003907A5">
        <w:rPr>
          <w:rFonts w:ascii="Arial" w:hAnsi="Arial"/>
        </w:rPr>
        <w:t xml:space="preserve"> as in the past all services were provided by the government through government health facilities</w:t>
      </w:r>
      <w:r w:rsidR="008E1CA3" w:rsidRPr="00017B44">
        <w:rPr>
          <w:rFonts w:ascii="Arial" w:hAnsi="Arial"/>
        </w:rPr>
        <w:t xml:space="preserve">. In 1995, when Mongolia introduced social health insurance, attempts have been made to purchase health services out of money contributed by insured </w:t>
      </w:r>
      <w:r w:rsidR="003907A5">
        <w:rPr>
          <w:rFonts w:ascii="Arial" w:hAnsi="Arial"/>
        </w:rPr>
        <w:t>population</w:t>
      </w:r>
      <w:r w:rsidR="00436EB7">
        <w:rPr>
          <w:rFonts w:ascii="Arial" w:hAnsi="Arial"/>
        </w:rPr>
        <w:t>. However</w:t>
      </w:r>
      <w:r w:rsidR="008E1CA3" w:rsidRPr="00017B44">
        <w:rPr>
          <w:rFonts w:ascii="Arial" w:hAnsi="Arial"/>
        </w:rPr>
        <w:t xml:space="preserve"> pretty much like the previous system, </w:t>
      </w:r>
      <w:r w:rsidR="00436EB7">
        <w:rPr>
          <w:rFonts w:ascii="Arial" w:hAnsi="Arial"/>
        </w:rPr>
        <w:t xml:space="preserve">the </w:t>
      </w:r>
      <w:r w:rsidR="008E1CA3" w:rsidRPr="00017B44">
        <w:rPr>
          <w:rFonts w:ascii="Arial" w:hAnsi="Arial"/>
        </w:rPr>
        <w:t xml:space="preserve">SHI money went to health care providers without </w:t>
      </w:r>
      <w:r w:rsidR="00436EB7">
        <w:rPr>
          <w:rFonts w:ascii="Arial" w:hAnsi="Arial"/>
        </w:rPr>
        <w:t>strategic purchasing and</w:t>
      </w:r>
      <w:r w:rsidR="008E1CA3" w:rsidRPr="00017B44">
        <w:rPr>
          <w:rFonts w:ascii="Arial" w:hAnsi="Arial"/>
        </w:rPr>
        <w:t xml:space="preserve"> rather passive funding or paying the bills manner. Purchasing is very important policy instrument to monitor and control out of pocket health payments</w:t>
      </w:r>
      <w:r w:rsidR="00E274C1">
        <w:rPr>
          <w:rFonts w:ascii="Arial" w:hAnsi="Arial"/>
        </w:rPr>
        <w:t xml:space="preserve"> imposed by health care providers</w:t>
      </w:r>
      <w:r w:rsidR="008E1CA3" w:rsidRPr="00017B44">
        <w:rPr>
          <w:rFonts w:ascii="Arial" w:hAnsi="Arial"/>
        </w:rPr>
        <w:t xml:space="preserve">. Therefore, recent effort in the new Health insurance law to improve social insurance purchaser capacity </w:t>
      </w:r>
      <w:r w:rsidR="00E274C1">
        <w:rPr>
          <w:rFonts w:ascii="Arial" w:hAnsi="Arial"/>
        </w:rPr>
        <w:t xml:space="preserve">was crucial step </w:t>
      </w:r>
      <w:r w:rsidR="008E1CA3" w:rsidRPr="00017B44">
        <w:rPr>
          <w:rFonts w:ascii="Arial" w:hAnsi="Arial"/>
        </w:rPr>
        <w:t xml:space="preserve">and </w:t>
      </w:r>
      <w:r w:rsidR="00E274C1">
        <w:rPr>
          <w:rFonts w:ascii="Arial" w:hAnsi="Arial"/>
        </w:rPr>
        <w:t xml:space="preserve">the law </w:t>
      </w:r>
      <w:r w:rsidR="008E1CA3" w:rsidRPr="00017B44">
        <w:rPr>
          <w:rFonts w:ascii="Arial" w:hAnsi="Arial"/>
        </w:rPr>
        <w:t>should be thoroughly implemented. The</w:t>
      </w:r>
      <w:r w:rsidR="00E274C1">
        <w:rPr>
          <w:rFonts w:ascii="Arial" w:hAnsi="Arial"/>
        </w:rPr>
        <w:t xml:space="preserve"> law allows the separate health insurance organization and increasin</w:t>
      </w:r>
      <w:r w:rsidR="008E1CA3" w:rsidRPr="00017B44">
        <w:rPr>
          <w:rFonts w:ascii="Arial" w:hAnsi="Arial"/>
        </w:rPr>
        <w:t xml:space="preserve">g and enhancing quality and quantity of </w:t>
      </w:r>
      <w:r w:rsidR="007F7FF9" w:rsidRPr="00017B44">
        <w:rPr>
          <w:rFonts w:ascii="Arial" w:hAnsi="Arial"/>
        </w:rPr>
        <w:t xml:space="preserve">personnel and backing this up with adequate level of operational resources. New health insurance organization will have more leverage over hospital behavior and thus playing important role to reduce formal and informal health payments by users. Strengthened SHI will have evidences about important health objectives like out of pocket payment and will be able to influence government ministries to design better policies. </w:t>
      </w:r>
    </w:p>
    <w:p w14:paraId="74E66415" w14:textId="77777777" w:rsidR="008D7686" w:rsidRDefault="008D7686" w:rsidP="008D7686">
      <w:pPr>
        <w:rPr>
          <w:rFonts w:ascii="Arial" w:hAnsi="Arial"/>
        </w:rPr>
      </w:pPr>
    </w:p>
    <w:p w14:paraId="77C13319" w14:textId="77777777" w:rsidR="00D16290" w:rsidRDefault="00D16290" w:rsidP="008D7686">
      <w:pPr>
        <w:rPr>
          <w:rFonts w:ascii="Arial" w:hAnsi="Arial"/>
        </w:rPr>
      </w:pPr>
    </w:p>
    <w:p w14:paraId="459A7496" w14:textId="01870700" w:rsidR="00035E9E" w:rsidRPr="00271741" w:rsidRDefault="00035E9E" w:rsidP="003907A5">
      <w:pPr>
        <w:pStyle w:val="ListParagraph"/>
        <w:numPr>
          <w:ilvl w:val="3"/>
          <w:numId w:val="15"/>
        </w:numPr>
        <w:ind w:left="360"/>
        <w:rPr>
          <w:rFonts w:ascii="Arial" w:hAnsi="Arial"/>
          <w:i/>
        </w:rPr>
      </w:pPr>
      <w:r w:rsidRPr="00271741">
        <w:rPr>
          <w:rFonts w:ascii="Arial" w:hAnsi="Arial"/>
          <w:i/>
        </w:rPr>
        <w:lastRenderedPageBreak/>
        <w:t xml:space="preserve">Mobilize increased resources for health from </w:t>
      </w:r>
      <w:r w:rsidR="00E274C1">
        <w:rPr>
          <w:rFonts w:ascii="Arial" w:hAnsi="Arial"/>
          <w:i/>
        </w:rPr>
        <w:t xml:space="preserve">the </w:t>
      </w:r>
      <w:r w:rsidRPr="00271741">
        <w:rPr>
          <w:rFonts w:ascii="Arial" w:hAnsi="Arial"/>
          <w:i/>
        </w:rPr>
        <w:t>government budget</w:t>
      </w:r>
    </w:p>
    <w:p w14:paraId="51777B2E" w14:textId="77777777" w:rsidR="003907A5" w:rsidRDefault="003907A5" w:rsidP="007F7FF9">
      <w:pPr>
        <w:rPr>
          <w:rFonts w:ascii="Arial" w:hAnsi="Arial"/>
        </w:rPr>
      </w:pPr>
    </w:p>
    <w:p w14:paraId="6FBD61A2" w14:textId="20E54708" w:rsidR="003907A5" w:rsidRDefault="003907A5" w:rsidP="003907A5">
      <w:pPr>
        <w:jc w:val="both"/>
        <w:rPr>
          <w:rFonts w:ascii="Arial" w:hAnsi="Arial"/>
        </w:rPr>
      </w:pPr>
      <w:r>
        <w:rPr>
          <w:rFonts w:ascii="Arial" w:hAnsi="Arial"/>
        </w:rPr>
        <w:t xml:space="preserve">The Mongolia spends a fair share of the GDP for health. However, a substantial share of the total health expenditure comes from privately paid out of pocket payments. Therefore, the government contribution to health system needs to be increased as it has been remained at constant level over the years.  This will provide </w:t>
      </w:r>
      <w:r w:rsidR="00D16290">
        <w:rPr>
          <w:rFonts w:ascii="Arial" w:hAnsi="Arial"/>
        </w:rPr>
        <w:t>enhanced</w:t>
      </w:r>
      <w:r>
        <w:rPr>
          <w:rFonts w:ascii="Arial" w:hAnsi="Arial"/>
        </w:rPr>
        <w:t xml:space="preserve"> leverage for the purchaser to cover more services as well as provide cost coverage to existing benefit package</w:t>
      </w:r>
      <w:r w:rsidR="00E274C1">
        <w:rPr>
          <w:rFonts w:ascii="Arial" w:hAnsi="Arial"/>
        </w:rPr>
        <w:t xml:space="preserve"> under the government budget and health insurance</w:t>
      </w:r>
      <w:r>
        <w:rPr>
          <w:rFonts w:ascii="Arial" w:hAnsi="Arial"/>
        </w:rPr>
        <w:t xml:space="preserve">. </w:t>
      </w:r>
    </w:p>
    <w:p w14:paraId="4F578075" w14:textId="77777777" w:rsidR="003907A5" w:rsidRPr="00017B44" w:rsidRDefault="003907A5" w:rsidP="007F7FF9">
      <w:pPr>
        <w:rPr>
          <w:rFonts w:ascii="Arial" w:hAnsi="Arial"/>
        </w:rPr>
      </w:pPr>
    </w:p>
    <w:p w14:paraId="57DE9144" w14:textId="39D7AF11" w:rsidR="00E274C1" w:rsidRPr="007C2399" w:rsidRDefault="00E274C1" w:rsidP="00E274C1">
      <w:pPr>
        <w:pStyle w:val="ListParagraph"/>
        <w:numPr>
          <w:ilvl w:val="3"/>
          <w:numId w:val="15"/>
        </w:numPr>
        <w:ind w:left="360"/>
        <w:rPr>
          <w:rFonts w:ascii="Arial" w:hAnsi="Arial"/>
          <w:i/>
        </w:rPr>
      </w:pPr>
      <w:r w:rsidRPr="007C2399">
        <w:rPr>
          <w:rFonts w:ascii="Arial" w:hAnsi="Arial"/>
          <w:i/>
        </w:rPr>
        <w:t>Reduce existing inefficiencies in Mongolian health sector in order to make</w:t>
      </w:r>
      <w:r w:rsidR="007C2399">
        <w:rPr>
          <w:rFonts w:ascii="Arial" w:hAnsi="Arial"/>
          <w:i/>
        </w:rPr>
        <w:t xml:space="preserve"> most of the limited resources</w:t>
      </w:r>
    </w:p>
    <w:p w14:paraId="7471B58D" w14:textId="77777777" w:rsidR="00E274C1" w:rsidRPr="00E274C1" w:rsidRDefault="00E274C1" w:rsidP="00E274C1">
      <w:pPr>
        <w:pStyle w:val="ListParagraph"/>
        <w:ind w:left="360"/>
        <w:rPr>
          <w:rFonts w:ascii="Arial" w:hAnsi="Arial"/>
        </w:rPr>
      </w:pPr>
    </w:p>
    <w:p w14:paraId="3BF3941B" w14:textId="77777777" w:rsidR="008E7FE9" w:rsidRDefault="00EC4DBE" w:rsidP="00924DBB">
      <w:pPr>
        <w:jc w:val="both"/>
        <w:rPr>
          <w:rFonts w:ascii="Arial" w:hAnsi="Arial"/>
        </w:rPr>
      </w:pPr>
      <w:r>
        <w:rPr>
          <w:rFonts w:ascii="Arial" w:hAnsi="Arial"/>
        </w:rPr>
        <w:t>M</w:t>
      </w:r>
      <w:r w:rsidR="0087313D">
        <w:rPr>
          <w:rFonts w:ascii="Arial" w:hAnsi="Arial"/>
        </w:rPr>
        <w:t xml:space="preserve">ajor </w:t>
      </w:r>
      <w:r w:rsidR="00924DBB">
        <w:rPr>
          <w:rFonts w:ascii="Arial" w:hAnsi="Arial"/>
        </w:rPr>
        <w:t>sources of inefficiencies in the state health facilities include</w:t>
      </w:r>
      <w:r w:rsidR="0087313D">
        <w:rPr>
          <w:rFonts w:ascii="Arial" w:hAnsi="Arial"/>
        </w:rPr>
        <w:t xml:space="preserve"> </w:t>
      </w:r>
      <w:r w:rsidR="00710E47">
        <w:rPr>
          <w:rFonts w:ascii="Arial" w:hAnsi="Arial"/>
        </w:rPr>
        <w:t xml:space="preserve">staffing and </w:t>
      </w:r>
      <w:r w:rsidR="00924DBB">
        <w:rPr>
          <w:rFonts w:ascii="Arial" w:hAnsi="Arial"/>
        </w:rPr>
        <w:t xml:space="preserve">procurement of </w:t>
      </w:r>
      <w:r w:rsidR="00710E47">
        <w:rPr>
          <w:rFonts w:ascii="Arial" w:hAnsi="Arial"/>
        </w:rPr>
        <w:t xml:space="preserve">medicine. </w:t>
      </w:r>
      <w:r w:rsidR="00924DBB">
        <w:rPr>
          <w:rFonts w:ascii="Arial" w:hAnsi="Arial"/>
        </w:rPr>
        <w:t xml:space="preserve">The procurement of </w:t>
      </w:r>
      <w:r w:rsidR="006D4F99">
        <w:rPr>
          <w:rFonts w:ascii="Arial" w:hAnsi="Arial"/>
        </w:rPr>
        <w:t xml:space="preserve">medicine is inefficient due to fragmentation where health facilities organize procurement of medicine and medical supplies </w:t>
      </w:r>
      <w:r w:rsidR="008B54A1">
        <w:rPr>
          <w:rFonts w:ascii="Arial" w:hAnsi="Arial"/>
        </w:rPr>
        <w:t>through</w:t>
      </w:r>
      <w:r w:rsidR="006D4F99">
        <w:rPr>
          <w:rFonts w:ascii="Arial" w:hAnsi="Arial"/>
        </w:rPr>
        <w:t xml:space="preserve"> 37 separate </w:t>
      </w:r>
      <w:r w:rsidR="008B54A1">
        <w:rPr>
          <w:rFonts w:ascii="Arial" w:hAnsi="Arial"/>
        </w:rPr>
        <w:t>efforts</w:t>
      </w:r>
      <w:r w:rsidR="006D4F99">
        <w:rPr>
          <w:rFonts w:ascii="Arial" w:hAnsi="Arial"/>
        </w:rPr>
        <w:t xml:space="preserve">. </w:t>
      </w:r>
      <w:r w:rsidR="008B54A1">
        <w:rPr>
          <w:rFonts w:ascii="Arial" w:hAnsi="Arial"/>
        </w:rPr>
        <w:t xml:space="preserve">According to </w:t>
      </w:r>
      <w:proofErr w:type="spellStart"/>
      <w:r w:rsidR="008B54A1">
        <w:rPr>
          <w:rFonts w:ascii="Arial" w:hAnsi="Arial"/>
        </w:rPr>
        <w:t>MoH</w:t>
      </w:r>
      <w:proofErr w:type="spellEnd"/>
      <w:r w:rsidR="008B54A1">
        <w:rPr>
          <w:rFonts w:ascii="Arial" w:hAnsi="Arial"/>
        </w:rPr>
        <w:t xml:space="preserve"> report, for example same medicine was purchased </w:t>
      </w:r>
      <w:r w:rsidR="00623027">
        <w:rPr>
          <w:rFonts w:ascii="Arial" w:hAnsi="Arial"/>
        </w:rPr>
        <w:t>at</w:t>
      </w:r>
      <w:r w:rsidR="008B54A1">
        <w:rPr>
          <w:rFonts w:ascii="Arial" w:hAnsi="Arial"/>
        </w:rPr>
        <w:t xml:space="preserve"> 16 different prices and </w:t>
      </w:r>
      <w:r w:rsidR="00623027">
        <w:rPr>
          <w:rFonts w:ascii="Arial" w:hAnsi="Arial"/>
        </w:rPr>
        <w:t xml:space="preserve">also </w:t>
      </w:r>
      <w:r w:rsidR="008B54A1">
        <w:rPr>
          <w:rFonts w:ascii="Arial" w:hAnsi="Arial"/>
        </w:rPr>
        <w:t xml:space="preserve">local prices </w:t>
      </w:r>
      <w:r w:rsidR="00623027">
        <w:rPr>
          <w:rFonts w:ascii="Arial" w:hAnsi="Arial"/>
        </w:rPr>
        <w:t>differed by</w:t>
      </w:r>
      <w:r w:rsidR="008B54A1">
        <w:rPr>
          <w:rFonts w:ascii="Arial" w:hAnsi="Arial"/>
        </w:rPr>
        <w:t xml:space="preserve"> 2.5-7 times higher than the international reference price. Therefore, the </w:t>
      </w:r>
      <w:proofErr w:type="spellStart"/>
      <w:r w:rsidR="008B54A1">
        <w:rPr>
          <w:rFonts w:ascii="Arial" w:hAnsi="Arial"/>
        </w:rPr>
        <w:t>MoH</w:t>
      </w:r>
      <w:proofErr w:type="spellEnd"/>
      <w:r w:rsidR="008B54A1">
        <w:rPr>
          <w:rFonts w:ascii="Arial" w:hAnsi="Arial"/>
        </w:rPr>
        <w:t xml:space="preserve"> approved second State Medicine Policy and plans to implement centralized procurement system for the medicines and supplies purchased by the public funds.</w:t>
      </w:r>
      <w:r w:rsidR="0008483E">
        <w:rPr>
          <w:rFonts w:ascii="Arial" w:hAnsi="Arial"/>
        </w:rPr>
        <w:t xml:space="preserve"> </w:t>
      </w:r>
    </w:p>
    <w:p w14:paraId="422C551C" w14:textId="77777777" w:rsidR="008E7FE9" w:rsidRDefault="008E7FE9" w:rsidP="00924DBB">
      <w:pPr>
        <w:jc w:val="both"/>
        <w:rPr>
          <w:rFonts w:ascii="Arial" w:hAnsi="Arial"/>
        </w:rPr>
      </w:pPr>
    </w:p>
    <w:p w14:paraId="35E09D9C" w14:textId="0E2F143E" w:rsidR="00924DBB" w:rsidRDefault="008E7FE9" w:rsidP="00924DBB">
      <w:pPr>
        <w:jc w:val="both"/>
        <w:rPr>
          <w:rFonts w:ascii="Arial" w:hAnsi="Arial"/>
        </w:rPr>
      </w:pPr>
      <w:r>
        <w:rPr>
          <w:rFonts w:ascii="Arial" w:hAnsi="Arial"/>
        </w:rPr>
        <w:t>More importantly</w:t>
      </w:r>
      <w:r w:rsidR="0008483E">
        <w:rPr>
          <w:rFonts w:ascii="Arial" w:hAnsi="Arial"/>
        </w:rPr>
        <w:t xml:space="preserve">, </w:t>
      </w:r>
      <w:r>
        <w:rPr>
          <w:rFonts w:ascii="Arial" w:hAnsi="Arial"/>
        </w:rPr>
        <w:t>in order to reduce the self-medication practices of population</w:t>
      </w:r>
      <w:r w:rsidR="00F57314">
        <w:rPr>
          <w:rFonts w:ascii="Arial" w:hAnsi="Arial"/>
        </w:rPr>
        <w:t xml:space="preserve"> and associated inefficiencies</w:t>
      </w:r>
      <w:r>
        <w:rPr>
          <w:rFonts w:ascii="Arial" w:hAnsi="Arial"/>
        </w:rPr>
        <w:t xml:space="preserve">, three types of policy interventions should be implemented. </w:t>
      </w:r>
      <w:r w:rsidR="005E4266">
        <w:rPr>
          <w:rFonts w:ascii="Arial" w:hAnsi="Arial"/>
        </w:rPr>
        <w:t xml:space="preserve">First, </w:t>
      </w:r>
      <w:r w:rsidR="00FD59CF">
        <w:rPr>
          <w:rFonts w:ascii="Arial" w:hAnsi="Arial"/>
        </w:rPr>
        <w:t xml:space="preserve">a </w:t>
      </w:r>
      <w:r w:rsidR="0008483E">
        <w:rPr>
          <w:rFonts w:ascii="Arial" w:hAnsi="Arial"/>
        </w:rPr>
        <w:t>tighter regulation of private pharmacies should be imp</w:t>
      </w:r>
      <w:r>
        <w:rPr>
          <w:rFonts w:ascii="Arial" w:hAnsi="Arial"/>
        </w:rPr>
        <w:t>lemented to reduce direct sales of non-</w:t>
      </w:r>
      <w:r w:rsidR="0008483E">
        <w:rPr>
          <w:rFonts w:ascii="Arial" w:hAnsi="Arial"/>
        </w:rPr>
        <w:t>prescribed medicines by pharmacies</w:t>
      </w:r>
      <w:r w:rsidR="005E4266">
        <w:rPr>
          <w:rFonts w:ascii="Arial" w:hAnsi="Arial"/>
        </w:rPr>
        <w:t>. Second,</w:t>
      </w:r>
      <w:r w:rsidR="0008483E">
        <w:rPr>
          <w:rFonts w:ascii="Arial" w:hAnsi="Arial"/>
        </w:rPr>
        <w:t xml:space="preserve"> </w:t>
      </w:r>
      <w:r w:rsidR="005E4266">
        <w:rPr>
          <w:rFonts w:ascii="Arial" w:hAnsi="Arial"/>
        </w:rPr>
        <w:t>medicine-prescribing</w:t>
      </w:r>
      <w:r w:rsidR="00FD59CF">
        <w:rPr>
          <w:rFonts w:ascii="Arial" w:hAnsi="Arial"/>
        </w:rPr>
        <w:t xml:space="preserve"> </w:t>
      </w:r>
      <w:r w:rsidR="0008483E">
        <w:rPr>
          <w:rFonts w:ascii="Arial" w:hAnsi="Arial"/>
        </w:rPr>
        <w:t>practice</w:t>
      </w:r>
      <w:r w:rsidR="005E4266">
        <w:rPr>
          <w:rFonts w:ascii="Arial" w:hAnsi="Arial"/>
        </w:rPr>
        <w:t>s</w:t>
      </w:r>
      <w:r w:rsidR="0008483E">
        <w:rPr>
          <w:rFonts w:ascii="Arial" w:hAnsi="Arial"/>
        </w:rPr>
        <w:t xml:space="preserve"> </w:t>
      </w:r>
      <w:r w:rsidR="00B914BF">
        <w:rPr>
          <w:rFonts w:ascii="Arial" w:hAnsi="Arial"/>
        </w:rPr>
        <w:t xml:space="preserve">and utilization of prescription slips </w:t>
      </w:r>
      <w:r w:rsidR="0008483E">
        <w:rPr>
          <w:rFonts w:ascii="Arial" w:hAnsi="Arial"/>
        </w:rPr>
        <w:t xml:space="preserve">of </w:t>
      </w:r>
      <w:r w:rsidR="00FD59CF">
        <w:rPr>
          <w:rFonts w:ascii="Arial" w:hAnsi="Arial"/>
        </w:rPr>
        <w:t xml:space="preserve">medical doctors </w:t>
      </w:r>
      <w:r w:rsidR="005E4266">
        <w:rPr>
          <w:rFonts w:ascii="Arial" w:hAnsi="Arial"/>
        </w:rPr>
        <w:t xml:space="preserve">should be enforced with tougher sanctions and also with incentive systems. </w:t>
      </w:r>
      <w:r w:rsidR="00B0082C">
        <w:rPr>
          <w:rFonts w:ascii="Arial" w:hAnsi="Arial"/>
        </w:rPr>
        <w:t xml:space="preserve">Third, </w:t>
      </w:r>
      <w:r w:rsidR="00B914BF">
        <w:rPr>
          <w:rFonts w:ascii="Arial" w:hAnsi="Arial"/>
        </w:rPr>
        <w:t xml:space="preserve">population oriented </w:t>
      </w:r>
      <w:r w:rsidR="00B0082C">
        <w:rPr>
          <w:rFonts w:ascii="Arial" w:hAnsi="Arial"/>
        </w:rPr>
        <w:t xml:space="preserve">health education and awareness raising programs </w:t>
      </w:r>
      <w:r w:rsidR="00B914BF">
        <w:rPr>
          <w:rFonts w:ascii="Arial" w:hAnsi="Arial"/>
        </w:rPr>
        <w:t xml:space="preserve">and </w:t>
      </w:r>
      <w:r w:rsidR="00B0082C">
        <w:rPr>
          <w:rFonts w:ascii="Arial" w:hAnsi="Arial"/>
        </w:rPr>
        <w:t xml:space="preserve">activities should be implemented </w:t>
      </w:r>
      <w:r w:rsidR="00B914BF">
        <w:rPr>
          <w:rFonts w:ascii="Arial" w:hAnsi="Arial"/>
        </w:rPr>
        <w:t xml:space="preserve">to help </w:t>
      </w:r>
      <w:r w:rsidR="00FD59CF">
        <w:rPr>
          <w:rFonts w:ascii="Arial" w:hAnsi="Arial"/>
        </w:rPr>
        <w:t xml:space="preserve">population </w:t>
      </w:r>
      <w:r w:rsidR="00B914BF">
        <w:rPr>
          <w:rFonts w:ascii="Arial" w:hAnsi="Arial"/>
        </w:rPr>
        <w:t xml:space="preserve">in </w:t>
      </w:r>
      <w:r w:rsidR="00FD59CF">
        <w:rPr>
          <w:rFonts w:ascii="Arial" w:hAnsi="Arial"/>
        </w:rPr>
        <w:t xml:space="preserve">rational use of medicine. </w:t>
      </w:r>
    </w:p>
    <w:p w14:paraId="050B2984" w14:textId="77777777" w:rsidR="008B54A1" w:rsidRDefault="008B54A1" w:rsidP="00924DBB">
      <w:pPr>
        <w:jc w:val="both"/>
        <w:rPr>
          <w:rFonts w:ascii="Arial" w:hAnsi="Arial"/>
        </w:rPr>
      </w:pPr>
    </w:p>
    <w:p w14:paraId="18445724" w14:textId="73D1239F" w:rsidR="008B54A1" w:rsidRDefault="008B54A1" w:rsidP="00924DBB">
      <w:pPr>
        <w:jc w:val="both"/>
        <w:rPr>
          <w:rFonts w:ascii="Arial" w:hAnsi="Arial"/>
        </w:rPr>
      </w:pPr>
      <w:r>
        <w:rPr>
          <w:rFonts w:ascii="Arial" w:hAnsi="Arial"/>
        </w:rPr>
        <w:t xml:space="preserve">In terms of inefficiency related to the </w:t>
      </w:r>
      <w:r w:rsidR="00CA18BC">
        <w:rPr>
          <w:rFonts w:ascii="Arial" w:hAnsi="Arial"/>
        </w:rPr>
        <w:t xml:space="preserve">health human resource </w:t>
      </w:r>
      <w:r w:rsidR="006B53C7">
        <w:rPr>
          <w:rFonts w:ascii="Arial" w:hAnsi="Arial"/>
        </w:rPr>
        <w:t xml:space="preserve">and </w:t>
      </w:r>
      <w:r w:rsidR="00CA18BC">
        <w:rPr>
          <w:rFonts w:ascii="Arial" w:hAnsi="Arial"/>
        </w:rPr>
        <w:t xml:space="preserve">the </w:t>
      </w:r>
      <w:r w:rsidR="00623027">
        <w:rPr>
          <w:rFonts w:ascii="Arial" w:hAnsi="Arial"/>
        </w:rPr>
        <w:t xml:space="preserve">ways of </w:t>
      </w:r>
      <w:r w:rsidR="0008483E">
        <w:rPr>
          <w:rFonts w:ascii="Arial" w:hAnsi="Arial"/>
        </w:rPr>
        <w:t>improvement</w:t>
      </w:r>
      <w:r w:rsidR="006B53C7">
        <w:rPr>
          <w:rFonts w:ascii="Arial" w:hAnsi="Arial"/>
        </w:rPr>
        <w:t>,</w:t>
      </w:r>
      <w:r w:rsidR="0008483E">
        <w:rPr>
          <w:rFonts w:ascii="Arial" w:hAnsi="Arial"/>
        </w:rPr>
        <w:t xml:space="preserve"> </w:t>
      </w:r>
      <w:r w:rsidR="00BB4603">
        <w:rPr>
          <w:rFonts w:ascii="Arial" w:hAnsi="Arial"/>
        </w:rPr>
        <w:t>th</w:t>
      </w:r>
      <w:r w:rsidR="006B53C7">
        <w:rPr>
          <w:rFonts w:ascii="Arial" w:hAnsi="Arial"/>
        </w:rPr>
        <w:t>ere have</w:t>
      </w:r>
      <w:r w:rsidR="00BB4603">
        <w:rPr>
          <w:rFonts w:ascii="Arial" w:hAnsi="Arial"/>
        </w:rPr>
        <w:t xml:space="preserve"> been </w:t>
      </w:r>
      <w:r w:rsidR="006B53C7">
        <w:rPr>
          <w:rFonts w:ascii="Arial" w:hAnsi="Arial"/>
        </w:rPr>
        <w:t>many</w:t>
      </w:r>
      <w:r w:rsidR="00BB4603">
        <w:rPr>
          <w:rFonts w:ascii="Arial" w:hAnsi="Arial"/>
        </w:rPr>
        <w:t xml:space="preserve"> discussion</w:t>
      </w:r>
      <w:r w:rsidR="006B53C7">
        <w:rPr>
          <w:rFonts w:ascii="Arial" w:hAnsi="Arial"/>
        </w:rPr>
        <w:t>s</w:t>
      </w:r>
      <w:r w:rsidR="00BB4603">
        <w:rPr>
          <w:rFonts w:ascii="Arial" w:hAnsi="Arial"/>
        </w:rPr>
        <w:t xml:space="preserve"> about giving incentives or autonomy to hospital managers about deciding on staffing and other resources </w:t>
      </w:r>
      <w:r w:rsidR="006B53C7">
        <w:rPr>
          <w:rFonts w:ascii="Arial" w:hAnsi="Arial"/>
        </w:rPr>
        <w:t xml:space="preserve">within the cap. Such reform </w:t>
      </w:r>
      <w:r w:rsidR="00BB4603">
        <w:rPr>
          <w:rFonts w:ascii="Arial" w:hAnsi="Arial"/>
        </w:rPr>
        <w:t xml:space="preserve">should be implemented on </w:t>
      </w:r>
      <w:r w:rsidR="006B53C7">
        <w:rPr>
          <w:rFonts w:ascii="Arial" w:hAnsi="Arial"/>
        </w:rPr>
        <w:t xml:space="preserve">a </w:t>
      </w:r>
      <w:r w:rsidR="00BB4603">
        <w:rPr>
          <w:rFonts w:ascii="Arial" w:hAnsi="Arial"/>
        </w:rPr>
        <w:t xml:space="preserve">pilot basis with </w:t>
      </w:r>
      <w:r w:rsidR="006B53C7">
        <w:rPr>
          <w:rFonts w:ascii="Arial" w:hAnsi="Arial"/>
        </w:rPr>
        <w:t xml:space="preserve">lessons learnt </w:t>
      </w:r>
      <w:r w:rsidR="00BB4603">
        <w:rPr>
          <w:rFonts w:ascii="Arial" w:hAnsi="Arial"/>
        </w:rPr>
        <w:t xml:space="preserve">from other countries. </w:t>
      </w:r>
    </w:p>
    <w:p w14:paraId="10CFBDAC" w14:textId="77777777" w:rsidR="008036AD" w:rsidRPr="00017B44" w:rsidRDefault="008036AD">
      <w:pPr>
        <w:rPr>
          <w:rFonts w:ascii="Arial" w:hAnsi="Arial"/>
        </w:rPr>
      </w:pPr>
    </w:p>
    <w:p w14:paraId="0CAC2ECD" w14:textId="77777777" w:rsidR="00035E9E" w:rsidRPr="00017B44" w:rsidRDefault="00035E9E" w:rsidP="00C51DBA">
      <w:pPr>
        <w:pStyle w:val="Heading3"/>
        <w:rPr>
          <w:rFonts w:ascii="Arial" w:hAnsi="Arial"/>
        </w:rPr>
      </w:pPr>
      <w:bookmarkStart w:id="68" w:name="_Toc305764315"/>
      <w:r w:rsidRPr="00017B44">
        <w:rPr>
          <w:rFonts w:ascii="Arial" w:hAnsi="Arial"/>
        </w:rPr>
        <w:t>At purchaser level</w:t>
      </w:r>
      <w:bookmarkEnd w:id="68"/>
    </w:p>
    <w:p w14:paraId="448C349B" w14:textId="77777777" w:rsidR="00953471" w:rsidRPr="00017B44" w:rsidRDefault="00953471">
      <w:pPr>
        <w:rPr>
          <w:rFonts w:ascii="Arial" w:hAnsi="Arial"/>
        </w:rPr>
      </w:pPr>
    </w:p>
    <w:p w14:paraId="51CAF8BF" w14:textId="65E02241" w:rsidR="00C51DBA" w:rsidRPr="00271741" w:rsidRDefault="00271741" w:rsidP="00271741">
      <w:pPr>
        <w:pStyle w:val="ListParagraph"/>
        <w:numPr>
          <w:ilvl w:val="0"/>
          <w:numId w:val="15"/>
        </w:numPr>
        <w:ind w:left="360"/>
        <w:rPr>
          <w:rFonts w:ascii="Arial" w:hAnsi="Arial"/>
          <w:i/>
        </w:rPr>
      </w:pPr>
      <w:r w:rsidRPr="00271741">
        <w:rPr>
          <w:rFonts w:ascii="Arial" w:hAnsi="Arial"/>
          <w:i/>
        </w:rPr>
        <w:t>H</w:t>
      </w:r>
      <w:r w:rsidR="00C51DBA" w:rsidRPr="00271741">
        <w:rPr>
          <w:rFonts w:ascii="Arial" w:hAnsi="Arial"/>
          <w:i/>
        </w:rPr>
        <w:t xml:space="preserve">armonize </w:t>
      </w:r>
      <w:r w:rsidR="007C4BCE">
        <w:rPr>
          <w:rFonts w:ascii="Arial" w:hAnsi="Arial"/>
          <w:i/>
        </w:rPr>
        <w:t xml:space="preserve">the </w:t>
      </w:r>
      <w:r w:rsidR="00C51DBA" w:rsidRPr="00271741">
        <w:rPr>
          <w:rFonts w:ascii="Arial" w:hAnsi="Arial"/>
          <w:i/>
        </w:rPr>
        <w:t xml:space="preserve">benefit package </w:t>
      </w:r>
      <w:r w:rsidR="00C45E8E">
        <w:rPr>
          <w:rFonts w:ascii="Arial" w:hAnsi="Arial"/>
          <w:i/>
        </w:rPr>
        <w:t>of government</w:t>
      </w:r>
      <w:r w:rsidR="007C4BCE">
        <w:rPr>
          <w:rFonts w:ascii="Arial" w:hAnsi="Arial"/>
          <w:i/>
        </w:rPr>
        <w:t xml:space="preserve"> budget and the health insurance</w:t>
      </w:r>
      <w:r w:rsidR="00C51DBA" w:rsidRPr="00271741">
        <w:rPr>
          <w:rFonts w:ascii="Arial" w:hAnsi="Arial"/>
          <w:i/>
        </w:rPr>
        <w:t xml:space="preserve"> </w:t>
      </w:r>
      <w:r w:rsidR="007C4BCE">
        <w:rPr>
          <w:rFonts w:ascii="Arial" w:hAnsi="Arial"/>
          <w:i/>
        </w:rPr>
        <w:t>scheme</w:t>
      </w:r>
      <w:r w:rsidR="006B53C7">
        <w:rPr>
          <w:rFonts w:ascii="Arial" w:hAnsi="Arial"/>
          <w:i/>
        </w:rPr>
        <w:t xml:space="preserve"> to </w:t>
      </w:r>
      <w:r w:rsidR="00C45E8E">
        <w:rPr>
          <w:rFonts w:ascii="Arial" w:hAnsi="Arial"/>
          <w:i/>
        </w:rPr>
        <w:t xml:space="preserve">improve effectiveness of the </w:t>
      </w:r>
      <w:r w:rsidR="006B53C7">
        <w:rPr>
          <w:rFonts w:ascii="Arial" w:hAnsi="Arial"/>
          <w:i/>
        </w:rPr>
        <w:t xml:space="preserve">service coverage </w:t>
      </w:r>
    </w:p>
    <w:p w14:paraId="72B59A70" w14:textId="77777777" w:rsidR="00C51DBA" w:rsidRPr="00017B44" w:rsidRDefault="00C51DBA">
      <w:pPr>
        <w:rPr>
          <w:rFonts w:ascii="Arial" w:hAnsi="Arial"/>
        </w:rPr>
      </w:pPr>
    </w:p>
    <w:p w14:paraId="243D9D45" w14:textId="77777777" w:rsidR="003F3C31" w:rsidRDefault="003F3C31" w:rsidP="003F3C31">
      <w:pPr>
        <w:autoSpaceDE w:val="0"/>
        <w:autoSpaceDN w:val="0"/>
        <w:adjustRightInd w:val="0"/>
        <w:jc w:val="both"/>
        <w:rPr>
          <w:rFonts w:ascii="Arial" w:hAnsi="Arial"/>
        </w:rPr>
      </w:pPr>
      <w:r w:rsidRPr="00017B44">
        <w:rPr>
          <w:rFonts w:ascii="Arial" w:hAnsi="Arial"/>
        </w:rPr>
        <w:t xml:space="preserve">The benefit packages covered by the public statutory schemes are fragmented between state budget and social health insurance. Therefore many services that </w:t>
      </w:r>
      <w:r w:rsidRPr="00017B44">
        <w:rPr>
          <w:rFonts w:ascii="Arial" w:hAnsi="Arial"/>
        </w:rPr>
        <w:lastRenderedPageBreak/>
        <w:t>ought to be covered by one or other payer are left out of attention of purchaser and government. For example, services such as diabetes, STIs, maternal care are covered by the state budget however hospitals and patients complain about lack of funds to purchase medicines.  Such outcome can perhaps be explained by a lack of purchasing for state budget package.</w:t>
      </w:r>
    </w:p>
    <w:p w14:paraId="6AC719E9" w14:textId="77777777" w:rsidR="003F3C31" w:rsidRDefault="003F3C31" w:rsidP="00256A67">
      <w:pPr>
        <w:autoSpaceDE w:val="0"/>
        <w:autoSpaceDN w:val="0"/>
        <w:adjustRightInd w:val="0"/>
        <w:jc w:val="both"/>
        <w:rPr>
          <w:rFonts w:ascii="Arial" w:hAnsi="Arial" w:cs="Arial"/>
        </w:rPr>
      </w:pPr>
    </w:p>
    <w:p w14:paraId="00FCF5FD" w14:textId="0EA6ACCC" w:rsidR="006B53C7" w:rsidRDefault="006B53C7" w:rsidP="00256A67">
      <w:pPr>
        <w:autoSpaceDE w:val="0"/>
        <w:autoSpaceDN w:val="0"/>
        <w:adjustRightInd w:val="0"/>
        <w:jc w:val="both"/>
        <w:rPr>
          <w:rFonts w:ascii="Arial" w:hAnsi="Arial" w:cs="Arial"/>
        </w:rPr>
      </w:pPr>
      <w:r w:rsidRPr="006B53C7">
        <w:rPr>
          <w:rFonts w:ascii="Arial" w:hAnsi="Arial" w:cs="Arial"/>
        </w:rPr>
        <w:t xml:space="preserve">In order to eliminate potential and existing fragmentation of services, </w:t>
      </w:r>
      <w:r w:rsidR="00436EB7">
        <w:rPr>
          <w:rFonts w:ascii="Arial" w:hAnsi="Arial" w:cs="Arial"/>
        </w:rPr>
        <w:t xml:space="preserve">the </w:t>
      </w:r>
      <w:r w:rsidR="00C45E8E">
        <w:rPr>
          <w:rFonts w:ascii="Arial" w:hAnsi="Arial" w:cs="Arial"/>
        </w:rPr>
        <w:t xml:space="preserve">current effort of step by step channeling of government budget resources to social health insurance as the pooled purchaser should be continued. </w:t>
      </w:r>
      <w:r w:rsidR="008E22A6">
        <w:rPr>
          <w:rFonts w:ascii="Arial" w:hAnsi="Arial" w:cs="Arial"/>
        </w:rPr>
        <w:t xml:space="preserve">In addition, the provider payment system for government budget covered services should be clarified to reduce potential gaming behaviors of health </w:t>
      </w:r>
      <w:r w:rsidR="00E83E41">
        <w:rPr>
          <w:rFonts w:ascii="Arial" w:hAnsi="Arial" w:cs="Arial"/>
        </w:rPr>
        <w:t xml:space="preserve">care </w:t>
      </w:r>
      <w:r w:rsidR="008E22A6">
        <w:rPr>
          <w:rFonts w:ascii="Arial" w:hAnsi="Arial" w:cs="Arial"/>
        </w:rPr>
        <w:t>providers. Currently, some inpatient cases such as cancer and infectious diseases are directly paid by the government budget via line item expenses, while social health insurance uses DRGs system.</w:t>
      </w:r>
    </w:p>
    <w:p w14:paraId="2962F1F8" w14:textId="77777777" w:rsidR="00436EB7" w:rsidRPr="006B53C7" w:rsidRDefault="00436EB7" w:rsidP="00256A67">
      <w:pPr>
        <w:autoSpaceDE w:val="0"/>
        <w:autoSpaceDN w:val="0"/>
        <w:adjustRightInd w:val="0"/>
        <w:jc w:val="both"/>
        <w:rPr>
          <w:rFonts w:ascii="Arial" w:hAnsi="Arial" w:cs="Arial"/>
        </w:rPr>
      </w:pPr>
    </w:p>
    <w:p w14:paraId="758E61C5" w14:textId="77777777" w:rsidR="008E22A6" w:rsidRDefault="008E22A6" w:rsidP="00256A67">
      <w:pPr>
        <w:autoSpaceDE w:val="0"/>
        <w:autoSpaceDN w:val="0"/>
        <w:adjustRightInd w:val="0"/>
        <w:jc w:val="both"/>
        <w:rPr>
          <w:rFonts w:ascii="Arial" w:hAnsi="Arial" w:cs="Arial"/>
          <w:b/>
        </w:rPr>
      </w:pPr>
    </w:p>
    <w:p w14:paraId="6DA9CA8B" w14:textId="7F91A66F" w:rsidR="00C51DBA" w:rsidRPr="00271741" w:rsidRDefault="00C51DBA" w:rsidP="00271741">
      <w:pPr>
        <w:pStyle w:val="ListParagraph"/>
        <w:numPr>
          <w:ilvl w:val="0"/>
          <w:numId w:val="15"/>
        </w:numPr>
        <w:ind w:left="360"/>
        <w:rPr>
          <w:rFonts w:ascii="Arial" w:hAnsi="Arial"/>
          <w:i/>
        </w:rPr>
      </w:pPr>
      <w:r w:rsidRPr="00271741">
        <w:rPr>
          <w:rFonts w:ascii="Arial" w:hAnsi="Arial"/>
          <w:i/>
        </w:rPr>
        <w:t xml:space="preserve">Expand benefit package to </w:t>
      </w:r>
      <w:r w:rsidR="00E83E41">
        <w:rPr>
          <w:rFonts w:ascii="Arial" w:hAnsi="Arial"/>
          <w:i/>
        </w:rPr>
        <w:t xml:space="preserve">increase the </w:t>
      </w:r>
      <w:r w:rsidRPr="00271741">
        <w:rPr>
          <w:rFonts w:ascii="Arial" w:hAnsi="Arial"/>
          <w:i/>
        </w:rPr>
        <w:t>cover</w:t>
      </w:r>
      <w:r w:rsidR="00E83E41">
        <w:rPr>
          <w:rFonts w:ascii="Arial" w:hAnsi="Arial"/>
          <w:i/>
        </w:rPr>
        <w:t>age of</w:t>
      </w:r>
      <w:r w:rsidRPr="00271741">
        <w:rPr>
          <w:rFonts w:ascii="Arial" w:hAnsi="Arial"/>
          <w:i/>
        </w:rPr>
        <w:t xml:space="preserve"> medicine costs</w:t>
      </w:r>
    </w:p>
    <w:p w14:paraId="25CC1954" w14:textId="77777777" w:rsidR="008D7686" w:rsidRPr="00017B44" w:rsidRDefault="008D7686" w:rsidP="008D7686">
      <w:pPr>
        <w:rPr>
          <w:rFonts w:ascii="Arial" w:hAnsi="Arial"/>
        </w:rPr>
      </w:pPr>
    </w:p>
    <w:p w14:paraId="21F47579" w14:textId="2271CBA5" w:rsidR="008D7686" w:rsidRPr="00017B44" w:rsidRDefault="009B68D0" w:rsidP="004D200E">
      <w:pPr>
        <w:jc w:val="both"/>
        <w:rPr>
          <w:rFonts w:ascii="Arial" w:hAnsi="Arial"/>
        </w:rPr>
      </w:pPr>
      <w:r w:rsidRPr="00017B44">
        <w:rPr>
          <w:rFonts w:ascii="Arial" w:hAnsi="Arial"/>
        </w:rPr>
        <w:t>Population in all income groups experienced high out of pocket paym</w:t>
      </w:r>
      <w:r w:rsidR="00791759">
        <w:rPr>
          <w:rFonts w:ascii="Arial" w:hAnsi="Arial"/>
        </w:rPr>
        <w:t xml:space="preserve">ents for medicines in Mongolia. </w:t>
      </w:r>
      <w:r w:rsidR="004D200E" w:rsidRPr="00017B44">
        <w:rPr>
          <w:rFonts w:ascii="Arial" w:hAnsi="Arial"/>
        </w:rPr>
        <w:t xml:space="preserve">Previously, the social health insurance </w:t>
      </w:r>
      <w:r w:rsidR="00791759">
        <w:rPr>
          <w:rFonts w:ascii="Arial" w:hAnsi="Arial"/>
        </w:rPr>
        <w:t xml:space="preserve">scheme </w:t>
      </w:r>
      <w:r w:rsidR="004D200E" w:rsidRPr="00017B44">
        <w:rPr>
          <w:rFonts w:ascii="Arial" w:hAnsi="Arial"/>
        </w:rPr>
        <w:t xml:space="preserve">reimbursed only medicines prescribed by family and </w:t>
      </w:r>
      <w:proofErr w:type="spellStart"/>
      <w:r w:rsidR="004D200E" w:rsidRPr="00017B44">
        <w:rPr>
          <w:rFonts w:ascii="Arial" w:hAnsi="Arial"/>
        </w:rPr>
        <w:t>soum</w:t>
      </w:r>
      <w:proofErr w:type="spellEnd"/>
      <w:r w:rsidR="004D200E" w:rsidRPr="00017B44">
        <w:rPr>
          <w:rFonts w:ascii="Arial" w:hAnsi="Arial"/>
        </w:rPr>
        <w:t xml:space="preserve"> health centers or primary health care providers. The new health insurance law (2015) effective </w:t>
      </w:r>
      <w:r w:rsidR="008A5314" w:rsidRPr="00017B44">
        <w:rPr>
          <w:rFonts w:ascii="Arial" w:hAnsi="Arial"/>
        </w:rPr>
        <w:t>as of July 2015 offers expansion of medicine benefits to hospitals namely the secondary care providers i.e. district an</w:t>
      </w:r>
      <w:r w:rsidR="005C771A" w:rsidRPr="00017B44">
        <w:rPr>
          <w:rFonts w:ascii="Arial" w:hAnsi="Arial"/>
        </w:rPr>
        <w:t xml:space="preserve">d </w:t>
      </w:r>
      <w:proofErr w:type="spellStart"/>
      <w:r w:rsidR="005C771A" w:rsidRPr="00017B44">
        <w:rPr>
          <w:rFonts w:ascii="Arial" w:hAnsi="Arial"/>
        </w:rPr>
        <w:t>aimag</w:t>
      </w:r>
      <w:proofErr w:type="spellEnd"/>
      <w:r w:rsidR="005C771A" w:rsidRPr="00017B44">
        <w:rPr>
          <w:rFonts w:ascii="Arial" w:hAnsi="Arial"/>
        </w:rPr>
        <w:t xml:space="preserve"> general hospitals. This will certainly reduce the out of pocket payment for medicine.</w:t>
      </w:r>
      <w:r w:rsidR="005601F9">
        <w:rPr>
          <w:rFonts w:ascii="Arial" w:hAnsi="Arial"/>
        </w:rPr>
        <w:t xml:space="preserve"> However, before </w:t>
      </w:r>
      <w:r w:rsidR="00F923B1">
        <w:rPr>
          <w:rFonts w:ascii="Arial" w:hAnsi="Arial"/>
        </w:rPr>
        <w:t>undertaking</w:t>
      </w:r>
      <w:r w:rsidR="005601F9">
        <w:rPr>
          <w:rFonts w:ascii="Arial" w:hAnsi="Arial"/>
        </w:rPr>
        <w:t xml:space="preserve"> such </w:t>
      </w:r>
      <w:r w:rsidR="00F923B1">
        <w:rPr>
          <w:rFonts w:ascii="Arial" w:hAnsi="Arial"/>
        </w:rPr>
        <w:t xml:space="preserve">expansion </w:t>
      </w:r>
      <w:r w:rsidR="005601F9">
        <w:rPr>
          <w:rFonts w:ascii="Arial" w:hAnsi="Arial"/>
        </w:rPr>
        <w:t xml:space="preserve">policy, regulatory actions to improve efficiency in the use of medicine usage need to be </w:t>
      </w:r>
      <w:r w:rsidR="00F923B1">
        <w:rPr>
          <w:rFonts w:ascii="Arial" w:hAnsi="Arial"/>
        </w:rPr>
        <w:t xml:space="preserve">implemented. The recommendations to regulate pharmaceutical sector are discussed above. </w:t>
      </w:r>
    </w:p>
    <w:p w14:paraId="3A4B6126" w14:textId="77777777" w:rsidR="009B68D0" w:rsidRPr="00017B44" w:rsidRDefault="009B68D0" w:rsidP="008D7686">
      <w:pPr>
        <w:rPr>
          <w:rFonts w:ascii="Arial" w:hAnsi="Arial"/>
        </w:rPr>
      </w:pPr>
    </w:p>
    <w:p w14:paraId="78DABF80" w14:textId="4ABB1D62" w:rsidR="008036AD" w:rsidRDefault="008036AD" w:rsidP="00271741">
      <w:pPr>
        <w:pStyle w:val="BodyText"/>
        <w:spacing w:after="0"/>
        <w:rPr>
          <w:rFonts w:cs="Arial"/>
          <w:szCs w:val="24"/>
        </w:rPr>
      </w:pPr>
      <w:r w:rsidRPr="00017B44">
        <w:rPr>
          <w:rFonts w:cs="Arial"/>
          <w:szCs w:val="24"/>
        </w:rPr>
        <w:t>Many countries, even developed ones, apply copayments to medicines when reimbursed by the social health insurance. In these instances, the poor and vulnerable are usually exempted</w:t>
      </w:r>
      <w:r w:rsidR="00E7739F">
        <w:rPr>
          <w:rFonts w:cs="Arial"/>
          <w:szCs w:val="24"/>
        </w:rPr>
        <w:t>. However, attempts to implement exemption policy have not been effective in Mongolia largely due to poor understanding and capacity of policy makers to allocate resources to cover the costs of exempted services. For example, the ADB supported project attempted to implement the safety net system to cover medicine costs of poorest people from the government budget however failed due to have the required budget approved at the ministry of finance.</w:t>
      </w:r>
    </w:p>
    <w:p w14:paraId="4875FCB1" w14:textId="77777777" w:rsidR="00A263F5" w:rsidRPr="00017B44" w:rsidRDefault="00A263F5" w:rsidP="005C771A">
      <w:pPr>
        <w:rPr>
          <w:rFonts w:ascii="Arial" w:hAnsi="Arial"/>
        </w:rPr>
      </w:pPr>
    </w:p>
    <w:p w14:paraId="54409365" w14:textId="3C8132B4" w:rsidR="00A164D4" w:rsidRPr="008E7FE9" w:rsidRDefault="004771B5" w:rsidP="00017B44">
      <w:pPr>
        <w:pStyle w:val="ListParagraph"/>
        <w:numPr>
          <w:ilvl w:val="0"/>
          <w:numId w:val="15"/>
        </w:numPr>
        <w:autoSpaceDE w:val="0"/>
        <w:autoSpaceDN w:val="0"/>
        <w:adjustRightInd w:val="0"/>
        <w:ind w:left="360"/>
        <w:jc w:val="both"/>
        <w:rPr>
          <w:rFonts w:ascii="Arial" w:hAnsi="Arial"/>
        </w:rPr>
      </w:pPr>
      <w:r w:rsidRPr="008E7FE9">
        <w:rPr>
          <w:rFonts w:ascii="Arial" w:hAnsi="Arial" w:cs="Arial"/>
          <w:i/>
        </w:rPr>
        <w:t>Increase spend</w:t>
      </w:r>
      <w:r w:rsidR="008E7FE9" w:rsidRPr="008E7FE9">
        <w:rPr>
          <w:rFonts w:ascii="Arial" w:hAnsi="Arial" w:cs="Arial"/>
          <w:i/>
        </w:rPr>
        <w:t>ing</w:t>
      </w:r>
      <w:r w:rsidR="007C2399" w:rsidRPr="008E7FE9">
        <w:rPr>
          <w:rFonts w:ascii="Arial" w:hAnsi="Arial" w:cs="Arial"/>
          <w:i/>
        </w:rPr>
        <w:t xml:space="preserve"> on primary health care facilities </w:t>
      </w:r>
      <w:r w:rsidR="008E7FE9" w:rsidRPr="008E7FE9">
        <w:rPr>
          <w:rFonts w:ascii="Arial" w:hAnsi="Arial" w:cs="Arial"/>
          <w:i/>
        </w:rPr>
        <w:t>for the benefit of</w:t>
      </w:r>
      <w:r w:rsidR="007C2399" w:rsidRPr="008E7FE9">
        <w:rPr>
          <w:rFonts w:ascii="Arial" w:hAnsi="Arial" w:cs="Arial"/>
          <w:i/>
        </w:rPr>
        <w:t xml:space="preserve"> the poor </w:t>
      </w:r>
    </w:p>
    <w:p w14:paraId="4382FE21" w14:textId="77777777" w:rsidR="008E7FE9" w:rsidRPr="008E7FE9" w:rsidRDefault="008E7FE9" w:rsidP="008E7FE9">
      <w:pPr>
        <w:pStyle w:val="ListParagraph"/>
        <w:autoSpaceDE w:val="0"/>
        <w:autoSpaceDN w:val="0"/>
        <w:adjustRightInd w:val="0"/>
        <w:ind w:left="360"/>
        <w:jc w:val="both"/>
        <w:rPr>
          <w:rFonts w:ascii="Arial" w:hAnsi="Arial"/>
        </w:rPr>
      </w:pPr>
    </w:p>
    <w:p w14:paraId="1FB55499" w14:textId="4B2F9D7C" w:rsidR="000A0655" w:rsidRDefault="009139BD" w:rsidP="00256A67">
      <w:pPr>
        <w:autoSpaceDE w:val="0"/>
        <w:autoSpaceDN w:val="0"/>
        <w:adjustRightInd w:val="0"/>
        <w:jc w:val="both"/>
        <w:rPr>
          <w:rFonts w:ascii="Arial" w:hAnsi="Arial" w:cs="Arial"/>
        </w:rPr>
      </w:pPr>
      <w:r w:rsidRPr="00017B44">
        <w:rPr>
          <w:rFonts w:ascii="Arial" w:hAnsi="Arial"/>
        </w:rPr>
        <w:t xml:space="preserve">The poor people twice as the richest have utilized primary health care services in Mongolia. Therefore improvement of quality of primary health services </w:t>
      </w:r>
      <w:r w:rsidR="006B7E1A" w:rsidRPr="00017B44">
        <w:rPr>
          <w:rFonts w:ascii="Arial" w:hAnsi="Arial"/>
        </w:rPr>
        <w:t xml:space="preserve">is crucial to improve access to needed health services. </w:t>
      </w:r>
      <w:r w:rsidR="00E83E41">
        <w:rPr>
          <w:rFonts w:ascii="Arial" w:hAnsi="Arial"/>
        </w:rPr>
        <w:t>Until now f</w:t>
      </w:r>
      <w:r w:rsidR="00256A67" w:rsidRPr="00017B44">
        <w:rPr>
          <w:rFonts w:ascii="Arial" w:hAnsi="Arial" w:cs="Arial"/>
        </w:rPr>
        <w:t>or example,</w:t>
      </w:r>
      <w:r w:rsidR="00256A67" w:rsidRPr="00017B44">
        <w:rPr>
          <w:rFonts w:ascii="Arial" w:hAnsi="Arial" w:cs="Arial"/>
          <w:b/>
        </w:rPr>
        <w:t xml:space="preserve"> </w:t>
      </w:r>
      <w:r w:rsidR="00256A67" w:rsidRPr="00017B44">
        <w:rPr>
          <w:rFonts w:ascii="Arial" w:hAnsi="Arial" w:cs="Arial"/>
        </w:rPr>
        <w:t xml:space="preserve">FGPs </w:t>
      </w:r>
      <w:r w:rsidR="00E83E41">
        <w:rPr>
          <w:rFonts w:ascii="Arial" w:hAnsi="Arial" w:cs="Arial"/>
        </w:rPr>
        <w:t xml:space="preserve">have not been resourced </w:t>
      </w:r>
      <w:r w:rsidR="00256A67" w:rsidRPr="00017B44">
        <w:rPr>
          <w:rFonts w:ascii="Arial" w:hAnsi="Arial" w:cs="Arial"/>
        </w:rPr>
        <w:t xml:space="preserve">to perform basic diagnostic </w:t>
      </w:r>
      <w:r w:rsidR="00E83E41">
        <w:rPr>
          <w:rFonts w:ascii="Arial" w:hAnsi="Arial" w:cs="Arial"/>
        </w:rPr>
        <w:t xml:space="preserve">and laboratory </w:t>
      </w:r>
      <w:r w:rsidR="00256A67" w:rsidRPr="00017B44">
        <w:rPr>
          <w:rFonts w:ascii="Arial" w:hAnsi="Arial" w:cs="Arial"/>
        </w:rPr>
        <w:t>tests, however</w:t>
      </w:r>
      <w:r w:rsidR="00E83E41">
        <w:rPr>
          <w:rFonts w:ascii="Arial" w:hAnsi="Arial" w:cs="Arial"/>
        </w:rPr>
        <w:t xml:space="preserve"> the situation will be changed due to investment in recent years. </w:t>
      </w:r>
      <w:r w:rsidR="00256A67" w:rsidRPr="00017B44">
        <w:rPr>
          <w:rFonts w:ascii="Arial" w:hAnsi="Arial" w:cs="Arial"/>
        </w:rPr>
        <w:t xml:space="preserve">Moreover, </w:t>
      </w:r>
      <w:r w:rsidR="000A0655">
        <w:rPr>
          <w:rFonts w:ascii="Arial" w:hAnsi="Arial" w:cs="Arial"/>
        </w:rPr>
        <w:t xml:space="preserve">the new </w:t>
      </w:r>
      <w:r w:rsidR="000A0655">
        <w:rPr>
          <w:rFonts w:ascii="Arial" w:hAnsi="Arial" w:cs="Arial"/>
        </w:rPr>
        <w:lastRenderedPageBreak/>
        <w:t xml:space="preserve">law on health insurance expands its benefit package to cover some of the key services including home care and diagnostics. </w:t>
      </w:r>
    </w:p>
    <w:p w14:paraId="627C0744" w14:textId="77777777" w:rsidR="000A0655" w:rsidRDefault="000A0655" w:rsidP="00256A67">
      <w:pPr>
        <w:autoSpaceDE w:val="0"/>
        <w:autoSpaceDN w:val="0"/>
        <w:adjustRightInd w:val="0"/>
        <w:jc w:val="both"/>
        <w:rPr>
          <w:rFonts w:ascii="Arial" w:hAnsi="Arial" w:cs="Arial"/>
        </w:rPr>
      </w:pPr>
    </w:p>
    <w:p w14:paraId="6914C922" w14:textId="7CB97975" w:rsidR="00256A67" w:rsidRPr="00AC2AAB" w:rsidRDefault="000A0655" w:rsidP="00256A67">
      <w:pPr>
        <w:autoSpaceDE w:val="0"/>
        <w:autoSpaceDN w:val="0"/>
        <w:adjustRightInd w:val="0"/>
        <w:jc w:val="both"/>
        <w:rPr>
          <w:rFonts w:ascii="Arial" w:eastAsiaTheme="minorEastAsia" w:hAnsi="Arial" w:cs="Arial"/>
          <w:lang w:val="mn-MN"/>
        </w:rPr>
      </w:pPr>
      <w:r>
        <w:rPr>
          <w:rFonts w:ascii="Arial" w:hAnsi="Arial" w:cs="Arial"/>
        </w:rPr>
        <w:t xml:space="preserve">In addition, </w:t>
      </w:r>
      <w:r w:rsidR="00256A67" w:rsidRPr="00017B44">
        <w:rPr>
          <w:rFonts w:ascii="Arial" w:hAnsi="Arial" w:cs="Arial"/>
        </w:rPr>
        <w:t xml:space="preserve">FGP staffs appear not to be paid at the same level as other health personnel. For FGPs in </w:t>
      </w:r>
      <w:proofErr w:type="spellStart"/>
      <w:r w:rsidR="00256A67" w:rsidRPr="00017B44">
        <w:rPr>
          <w:rFonts w:ascii="Arial" w:hAnsi="Arial" w:cs="Arial"/>
        </w:rPr>
        <w:t>peri</w:t>
      </w:r>
      <w:proofErr w:type="spellEnd"/>
      <w:r w:rsidR="00256A67" w:rsidRPr="00017B44">
        <w:rPr>
          <w:rFonts w:ascii="Arial" w:hAnsi="Arial" w:cs="Arial"/>
        </w:rPr>
        <w:t>-urban areas to operate effectively and to meet the rising expectations of the population, funding should be increased to cover not only operational costs but also additional costs associated with home visits, remoteness of patients and fuel for their vehicles. Specific allowances and overall increases in FGP funding must be accompanied with targets to increase services to the poor and vulnerable. More specifically, existing capitation funding could be supplemented with fee for service payments for doctors and nurses for outreach services to the poor and vulnerable households to raise their health service utilization. For example, it has been suggested that an initial budget of around MNT 505,400 or $361 per capita, not including salaries and other variable costs, is needed to ensure effective operations of FGPs.</w:t>
      </w:r>
      <w:r w:rsidR="00256A67" w:rsidRPr="00017B44">
        <w:rPr>
          <w:rStyle w:val="FootnoteReference"/>
          <w:rFonts w:ascii="Arial" w:hAnsi="Arial" w:cs="Arial"/>
        </w:rPr>
        <w:footnoteReference w:id="6"/>
      </w:r>
    </w:p>
    <w:p w14:paraId="1CC18AA7" w14:textId="77777777" w:rsidR="00256A67" w:rsidRPr="00017B44" w:rsidRDefault="00256A67" w:rsidP="00A164D4">
      <w:pPr>
        <w:rPr>
          <w:rFonts w:ascii="Arial" w:hAnsi="Arial"/>
        </w:rPr>
      </w:pPr>
    </w:p>
    <w:p w14:paraId="0C6940E0" w14:textId="49DB8F00" w:rsidR="00035E9E" w:rsidRPr="000A0655" w:rsidRDefault="00C51DBA" w:rsidP="00035E9E">
      <w:pPr>
        <w:pStyle w:val="ListParagraph"/>
        <w:numPr>
          <w:ilvl w:val="0"/>
          <w:numId w:val="15"/>
        </w:numPr>
        <w:ind w:left="360"/>
        <w:rPr>
          <w:rFonts w:ascii="Arial" w:hAnsi="Arial"/>
        </w:rPr>
      </w:pPr>
      <w:r w:rsidRPr="000A0655">
        <w:rPr>
          <w:rFonts w:ascii="Arial" w:hAnsi="Arial"/>
          <w:i/>
        </w:rPr>
        <w:t xml:space="preserve">Revise the hospital payment system in line with equity objectives </w:t>
      </w:r>
    </w:p>
    <w:p w14:paraId="0709D995" w14:textId="77777777" w:rsidR="000A0655" w:rsidRPr="000A0655" w:rsidRDefault="000A0655" w:rsidP="000A0655">
      <w:pPr>
        <w:pStyle w:val="ListParagraph"/>
        <w:ind w:left="360"/>
        <w:rPr>
          <w:rFonts w:ascii="Arial" w:hAnsi="Arial"/>
        </w:rPr>
      </w:pPr>
    </w:p>
    <w:p w14:paraId="66A32825" w14:textId="75A2A5E6" w:rsidR="005B1DFC" w:rsidRPr="00C33BB4" w:rsidRDefault="005B1DFC" w:rsidP="005B1DFC">
      <w:pPr>
        <w:jc w:val="both"/>
        <w:rPr>
          <w:rFonts w:ascii="Arial" w:hAnsi="Arial" w:cs="Arial"/>
          <w:lang w:val="en-GB"/>
        </w:rPr>
      </w:pPr>
      <w:r>
        <w:rPr>
          <w:rFonts w:ascii="Arial" w:hAnsi="Arial" w:cs="Arial"/>
          <w:lang w:val="en-GB"/>
        </w:rPr>
        <w:t>The recent a comprehensive assessment of all payments system recommended implementation of a Road map to improve existing payment system in Mongolia. The</w:t>
      </w:r>
      <w:r w:rsidR="00F923B1">
        <w:rPr>
          <w:rFonts w:ascii="Arial" w:hAnsi="Arial" w:cs="Arial"/>
          <w:lang w:val="en-GB"/>
        </w:rPr>
        <w:t>se specific</w:t>
      </w:r>
      <w:r>
        <w:rPr>
          <w:rFonts w:ascii="Arial" w:hAnsi="Arial" w:cs="Arial"/>
          <w:lang w:val="en-GB"/>
        </w:rPr>
        <w:t xml:space="preserve"> recommendations should be part of the next health financing strategy and a thorough monitoring is needed to ensure effectiveness. Some of the key concerns identified in the assessment </w:t>
      </w:r>
      <w:r w:rsidR="00F923B1">
        <w:rPr>
          <w:rFonts w:ascii="Arial" w:hAnsi="Arial" w:cs="Arial"/>
          <w:lang w:val="en-GB"/>
        </w:rPr>
        <w:t>are</w:t>
      </w:r>
      <w:r>
        <w:rPr>
          <w:rFonts w:ascii="Arial" w:hAnsi="Arial" w:cs="Arial"/>
          <w:lang w:val="en-GB"/>
        </w:rPr>
        <w:t xml:space="preserve"> related to line item payment system and DRGs in Mongolia. </w:t>
      </w:r>
    </w:p>
    <w:p w14:paraId="1C47F454" w14:textId="77777777" w:rsidR="005B1DFC" w:rsidRDefault="005B1DFC" w:rsidP="00C33BB4">
      <w:pPr>
        <w:jc w:val="both"/>
        <w:rPr>
          <w:rFonts w:ascii="Arial" w:hAnsi="Arial" w:cs="Arial"/>
        </w:rPr>
      </w:pPr>
    </w:p>
    <w:p w14:paraId="5E061ACC" w14:textId="19D15B17" w:rsidR="006515BD" w:rsidRPr="00C33BB4" w:rsidRDefault="006515BD" w:rsidP="00C33BB4">
      <w:pPr>
        <w:jc w:val="both"/>
        <w:rPr>
          <w:rFonts w:ascii="Arial" w:hAnsi="Arial" w:cs="Arial"/>
        </w:rPr>
      </w:pPr>
      <w:r w:rsidRPr="00C33BB4">
        <w:rPr>
          <w:rFonts w:ascii="Arial" w:hAnsi="Arial" w:cs="Arial"/>
        </w:rPr>
        <w:t xml:space="preserve">The mix of payment systems received by an individual provider varies widely, even within one provider category. </w:t>
      </w:r>
      <w:r w:rsidR="008F1BF6">
        <w:rPr>
          <w:rFonts w:ascii="Arial" w:hAnsi="Arial" w:cs="Arial"/>
        </w:rPr>
        <w:t>This creates mixed signals to providers and sometimes contradictory to health objectives. For example, m</w:t>
      </w:r>
      <w:r w:rsidRPr="00C33BB4">
        <w:rPr>
          <w:rFonts w:ascii="Arial" w:hAnsi="Arial" w:cs="Arial"/>
        </w:rPr>
        <w:t>ovement between line items is reported to be difficult, with bur</w:t>
      </w:r>
      <w:r w:rsidR="00F33A5E">
        <w:rPr>
          <w:rFonts w:ascii="Arial" w:hAnsi="Arial" w:cs="Arial"/>
        </w:rPr>
        <w:t xml:space="preserve">densome approval requirements. </w:t>
      </w:r>
      <w:r w:rsidRPr="00C33BB4">
        <w:rPr>
          <w:rFonts w:ascii="Arial" w:hAnsi="Arial" w:cs="Arial"/>
        </w:rPr>
        <w:t>A number of providers reported having savings in one line item but not being able to move funds to cover deficits in others.  In fact, the lack of flexibility to allocate spending was noted as a problem more frequently than the inadequate amount of the budget.</w:t>
      </w:r>
      <w:r w:rsidR="00F33A5E">
        <w:rPr>
          <w:rStyle w:val="FootnoteReference"/>
          <w:rFonts w:ascii="Arial" w:hAnsi="Arial" w:cs="Arial"/>
        </w:rPr>
        <w:footnoteReference w:id="7"/>
      </w:r>
      <w:r w:rsidRPr="00C33BB4">
        <w:rPr>
          <w:rFonts w:ascii="Arial" w:hAnsi="Arial" w:cs="Arial"/>
        </w:rPr>
        <w:t xml:space="preserve">  </w:t>
      </w:r>
      <w:r w:rsidR="008F1BF6">
        <w:rPr>
          <w:rFonts w:ascii="Arial" w:hAnsi="Arial" w:cs="Arial"/>
        </w:rPr>
        <w:t>Therefore, efforts to moving away from line item payment to DRGs payment system should be sustained and intensified.</w:t>
      </w:r>
    </w:p>
    <w:p w14:paraId="07338425" w14:textId="77777777" w:rsidR="006515BD" w:rsidRPr="00C33BB4" w:rsidRDefault="006515BD" w:rsidP="000A0655">
      <w:pPr>
        <w:jc w:val="both"/>
        <w:rPr>
          <w:rFonts w:ascii="Arial" w:hAnsi="Arial" w:cs="Arial"/>
        </w:rPr>
      </w:pPr>
    </w:p>
    <w:p w14:paraId="4D5A2808" w14:textId="7762D865" w:rsidR="006515BD" w:rsidRDefault="008F1BF6" w:rsidP="00C33BB4">
      <w:pPr>
        <w:jc w:val="both"/>
        <w:rPr>
          <w:rFonts w:ascii="Arial" w:hAnsi="Arial" w:cs="Arial"/>
          <w:lang w:val="en-GB"/>
        </w:rPr>
      </w:pPr>
      <w:r>
        <w:rPr>
          <w:rFonts w:ascii="Arial" w:hAnsi="Arial" w:cs="Arial"/>
          <w:lang w:val="en-GB"/>
        </w:rPr>
        <w:t xml:space="preserve">On the other hand, although </w:t>
      </w:r>
      <w:r w:rsidR="00831D1E" w:rsidRPr="00C33BB4">
        <w:rPr>
          <w:rFonts w:ascii="Arial" w:hAnsi="Arial" w:cs="Arial"/>
          <w:lang w:val="en-GB"/>
        </w:rPr>
        <w:t xml:space="preserve">DRGs </w:t>
      </w:r>
      <w:r>
        <w:rPr>
          <w:rFonts w:ascii="Arial" w:hAnsi="Arial" w:cs="Arial"/>
          <w:lang w:val="en-GB"/>
        </w:rPr>
        <w:t xml:space="preserve">are linked to health services and also used by the health insurance agency there are </w:t>
      </w:r>
      <w:r w:rsidR="00F923B1">
        <w:rPr>
          <w:rFonts w:ascii="Arial" w:hAnsi="Arial" w:cs="Arial"/>
          <w:lang w:val="en-GB"/>
        </w:rPr>
        <w:t xml:space="preserve">apparent </w:t>
      </w:r>
      <w:r>
        <w:rPr>
          <w:rFonts w:ascii="Arial" w:hAnsi="Arial" w:cs="Arial"/>
          <w:lang w:val="en-GB"/>
        </w:rPr>
        <w:t>shortcomings</w:t>
      </w:r>
      <w:r w:rsidR="00F923B1">
        <w:rPr>
          <w:rFonts w:ascii="Arial" w:hAnsi="Arial" w:cs="Arial"/>
          <w:lang w:val="en-GB"/>
        </w:rPr>
        <w:t xml:space="preserve"> in design and implementation of this payment system</w:t>
      </w:r>
      <w:r>
        <w:rPr>
          <w:rFonts w:ascii="Arial" w:hAnsi="Arial" w:cs="Arial"/>
          <w:lang w:val="en-GB"/>
        </w:rPr>
        <w:t>. For example, the payment for p</w:t>
      </w:r>
      <w:r w:rsidR="00831D1E" w:rsidRPr="00C33BB4">
        <w:rPr>
          <w:rFonts w:ascii="Arial" w:hAnsi="Arial" w:cs="Arial"/>
          <w:lang w:val="en-GB"/>
        </w:rPr>
        <w:t xml:space="preserve">rivate hospitals </w:t>
      </w:r>
      <w:r>
        <w:rPr>
          <w:rFonts w:ascii="Arial" w:hAnsi="Arial" w:cs="Arial"/>
          <w:lang w:val="en-GB"/>
        </w:rPr>
        <w:t>is at</w:t>
      </w:r>
      <w:r w:rsidR="005B1DFC">
        <w:rPr>
          <w:rFonts w:ascii="Arial" w:hAnsi="Arial" w:cs="Arial"/>
          <w:lang w:val="en-GB"/>
        </w:rPr>
        <w:t xml:space="preserve"> 50%</w:t>
      </w:r>
      <w:r w:rsidR="00831D1E" w:rsidRPr="00C33BB4">
        <w:rPr>
          <w:rFonts w:ascii="Arial" w:hAnsi="Arial" w:cs="Arial"/>
          <w:lang w:val="en-GB"/>
        </w:rPr>
        <w:t xml:space="preserve"> of the DRG tariffs paid to public sector facilities. </w:t>
      </w:r>
      <w:r w:rsidR="00C33BB4" w:rsidRPr="00C33BB4">
        <w:rPr>
          <w:rFonts w:ascii="Arial" w:hAnsi="Arial" w:cs="Arial"/>
          <w:lang w:val="en-GB"/>
        </w:rPr>
        <w:t>The basis for this payment differentiation is not clear. In addition, t</w:t>
      </w:r>
      <w:r w:rsidR="006515BD" w:rsidRPr="00C33BB4">
        <w:rPr>
          <w:rFonts w:ascii="Arial" w:hAnsi="Arial" w:cs="Arial"/>
          <w:lang w:val="en-GB"/>
        </w:rPr>
        <w:t xml:space="preserve">he main shortcoming providers raised about the design of the DRG-based payment system is that it does not account for co-morbidities, so cases within a DRG are paid the same </w:t>
      </w:r>
      <w:r w:rsidR="006515BD" w:rsidRPr="00C33BB4">
        <w:rPr>
          <w:rFonts w:ascii="Arial" w:hAnsi="Arial" w:cs="Arial"/>
          <w:lang w:val="en-GB"/>
        </w:rPr>
        <w:lastRenderedPageBreak/>
        <w:t>regardless of whether the patient has complications or any additional diagnoses.  There is also no mechanism to pay for outliers (particularly high-cost cases in a DRG).</w:t>
      </w:r>
      <w:r w:rsidR="00C33BB4" w:rsidRPr="00C33BB4">
        <w:rPr>
          <w:rFonts w:ascii="Arial" w:hAnsi="Arial" w:cs="Arial"/>
          <w:lang w:val="en-GB"/>
        </w:rPr>
        <w:t xml:space="preserve"> </w:t>
      </w:r>
      <w:r w:rsidR="006515BD" w:rsidRPr="00C33BB4">
        <w:rPr>
          <w:rFonts w:ascii="Arial" w:hAnsi="Arial" w:cs="Arial"/>
          <w:lang w:val="en-GB"/>
        </w:rPr>
        <w:t>Several providers specifically noted that while maternal care is paid for through the budget, they do not receive DRG-based payments for services related to complications and co-morbidities of pregnant women.</w:t>
      </w:r>
    </w:p>
    <w:p w14:paraId="648535A0" w14:textId="77777777" w:rsidR="00947050" w:rsidRDefault="00947050" w:rsidP="007E4048">
      <w:pPr>
        <w:rPr>
          <w:rFonts w:ascii="Arial" w:hAnsi="Arial" w:cs="Arial"/>
        </w:rPr>
      </w:pPr>
    </w:p>
    <w:p w14:paraId="2E2491D5" w14:textId="72599766" w:rsidR="00E3192E" w:rsidRPr="00E3192E" w:rsidRDefault="005B1DFC" w:rsidP="00E3192E">
      <w:pPr>
        <w:pStyle w:val="ListParagraph"/>
        <w:numPr>
          <w:ilvl w:val="0"/>
          <w:numId w:val="15"/>
        </w:numPr>
        <w:autoSpaceDE w:val="0"/>
        <w:autoSpaceDN w:val="0"/>
        <w:adjustRightInd w:val="0"/>
        <w:ind w:left="360"/>
        <w:jc w:val="both"/>
        <w:rPr>
          <w:rFonts w:ascii="Arial" w:hAnsi="Arial" w:cs="Arial"/>
          <w:i/>
        </w:rPr>
      </w:pPr>
      <w:r>
        <w:rPr>
          <w:rFonts w:ascii="Arial" w:hAnsi="Arial" w:cs="Arial"/>
          <w:i/>
        </w:rPr>
        <w:t xml:space="preserve">Establish </w:t>
      </w:r>
      <w:r w:rsidR="00E3192E">
        <w:rPr>
          <w:rFonts w:ascii="Arial" w:hAnsi="Arial" w:cs="Arial"/>
          <w:i/>
        </w:rPr>
        <w:t xml:space="preserve">SHI </w:t>
      </w:r>
      <w:r w:rsidR="00E3192E" w:rsidRPr="00E3192E">
        <w:rPr>
          <w:rFonts w:ascii="Arial" w:hAnsi="Arial" w:cs="Arial"/>
          <w:i/>
        </w:rPr>
        <w:t xml:space="preserve">contracted </w:t>
      </w:r>
      <w:r w:rsidR="008E22A6" w:rsidRPr="00E3192E">
        <w:rPr>
          <w:rFonts w:ascii="Arial" w:hAnsi="Arial" w:cs="Arial"/>
          <w:i/>
        </w:rPr>
        <w:t xml:space="preserve">pharmacies </w:t>
      </w:r>
      <w:r>
        <w:rPr>
          <w:rFonts w:ascii="Arial" w:hAnsi="Arial" w:cs="Arial"/>
          <w:i/>
        </w:rPr>
        <w:t>at places where mostly poor and disadvantaged live</w:t>
      </w:r>
      <w:r w:rsidR="008E22A6" w:rsidRPr="00E3192E">
        <w:rPr>
          <w:rFonts w:ascii="Arial" w:hAnsi="Arial" w:cs="Arial"/>
          <w:i/>
        </w:rPr>
        <w:t xml:space="preserve"> </w:t>
      </w:r>
    </w:p>
    <w:p w14:paraId="0434EFBE" w14:textId="77777777" w:rsidR="00E3192E" w:rsidRDefault="00E3192E" w:rsidP="008E22A6">
      <w:pPr>
        <w:autoSpaceDE w:val="0"/>
        <w:autoSpaceDN w:val="0"/>
        <w:adjustRightInd w:val="0"/>
        <w:jc w:val="both"/>
        <w:rPr>
          <w:rFonts w:ascii="Arial" w:hAnsi="Arial" w:cs="Arial"/>
          <w:b/>
        </w:rPr>
      </w:pPr>
    </w:p>
    <w:p w14:paraId="5550F422" w14:textId="3E8D27E7" w:rsidR="008E22A6" w:rsidRPr="00017B44" w:rsidRDefault="00C33BB4" w:rsidP="008E22A6">
      <w:pPr>
        <w:autoSpaceDE w:val="0"/>
        <w:autoSpaceDN w:val="0"/>
        <w:adjustRightInd w:val="0"/>
        <w:jc w:val="both"/>
        <w:rPr>
          <w:rFonts w:ascii="Arial" w:hAnsi="Arial" w:cs="Arial"/>
        </w:rPr>
      </w:pPr>
      <w:r>
        <w:rPr>
          <w:rFonts w:ascii="Arial" w:hAnsi="Arial" w:cs="Arial"/>
        </w:rPr>
        <w:t>T</w:t>
      </w:r>
      <w:r w:rsidR="008E22A6" w:rsidRPr="00017B44">
        <w:rPr>
          <w:rFonts w:ascii="Arial" w:hAnsi="Arial" w:cs="Arial"/>
        </w:rPr>
        <w:t xml:space="preserve">here </w:t>
      </w:r>
      <w:r w:rsidR="00147CD1" w:rsidRPr="00017B44">
        <w:rPr>
          <w:rFonts w:ascii="Arial" w:hAnsi="Arial" w:cs="Arial"/>
        </w:rPr>
        <w:t>is limited number</w:t>
      </w:r>
      <w:r w:rsidR="00147CD1">
        <w:rPr>
          <w:rFonts w:ascii="Arial" w:hAnsi="Arial" w:cs="Arial"/>
        </w:rPr>
        <w:t xml:space="preserve"> of</w:t>
      </w:r>
      <w:r w:rsidR="008E22A6" w:rsidRPr="00017B44">
        <w:rPr>
          <w:rFonts w:ascii="Arial" w:hAnsi="Arial" w:cs="Arial"/>
        </w:rPr>
        <w:t xml:space="preserve"> pharmacies in the remote </w:t>
      </w:r>
      <w:proofErr w:type="spellStart"/>
      <w:r w:rsidR="008E22A6" w:rsidRPr="00017B44">
        <w:rPr>
          <w:rFonts w:ascii="Arial" w:hAnsi="Arial" w:cs="Arial"/>
          <w:iCs/>
        </w:rPr>
        <w:t>khoroos</w:t>
      </w:r>
      <w:proofErr w:type="spellEnd"/>
      <w:r w:rsidR="008E22A6" w:rsidRPr="00017B44">
        <w:rPr>
          <w:rFonts w:ascii="Arial" w:hAnsi="Arial" w:cs="Arial"/>
          <w:i/>
          <w:iCs/>
        </w:rPr>
        <w:t xml:space="preserve"> </w:t>
      </w:r>
      <w:r w:rsidR="008E22A6" w:rsidRPr="00017B44">
        <w:rPr>
          <w:rFonts w:ascii="Arial" w:hAnsi="Arial" w:cs="Arial"/>
          <w:iCs/>
        </w:rPr>
        <w:t xml:space="preserve">that </w:t>
      </w:r>
      <w:r w:rsidR="008E22A6" w:rsidRPr="00017B44">
        <w:rPr>
          <w:rFonts w:ascii="Arial" w:hAnsi="Arial" w:cs="Arial"/>
        </w:rPr>
        <w:t>sell medicines at discounted prices.</w:t>
      </w:r>
      <w:r w:rsidR="008E22A6" w:rsidRPr="00017B44">
        <w:rPr>
          <w:rStyle w:val="FootnoteReference"/>
          <w:rFonts w:ascii="Arial" w:hAnsi="Arial" w:cs="Arial"/>
        </w:rPr>
        <w:footnoteReference w:id="8"/>
      </w:r>
      <w:r w:rsidR="008E22A6" w:rsidRPr="00017B44">
        <w:rPr>
          <w:rFonts w:ascii="Arial" w:hAnsi="Arial" w:cs="Arial"/>
        </w:rPr>
        <w:t xml:space="preserve"> Therefore, poor citizens who do not have access to needed medications resort to traditional medicine, such as urine therapy, herb and cranberry potions </w:t>
      </w:r>
      <w:proofErr w:type="spellStart"/>
      <w:r w:rsidR="008E22A6" w:rsidRPr="00017B44">
        <w:rPr>
          <w:rFonts w:ascii="Arial" w:hAnsi="Arial" w:cs="Arial"/>
        </w:rPr>
        <w:t>etc</w:t>
      </w:r>
      <w:proofErr w:type="spellEnd"/>
      <w:r w:rsidR="008E22A6" w:rsidRPr="00017B44">
        <w:rPr>
          <w:rFonts w:ascii="Arial" w:hAnsi="Arial" w:cs="Arial"/>
        </w:rPr>
        <w:t xml:space="preserve"> to treat themselves. This situation should be improved and more pharmacies should be located within accessible reach to the poor and vulnerable. In this regard</w:t>
      </w:r>
      <w:r w:rsidR="00147CD1">
        <w:rPr>
          <w:rFonts w:ascii="Arial" w:hAnsi="Arial" w:cs="Arial"/>
        </w:rPr>
        <w:t>, social insurance organization</w:t>
      </w:r>
      <w:r w:rsidR="008E22A6" w:rsidRPr="00017B44">
        <w:rPr>
          <w:rFonts w:ascii="Arial" w:hAnsi="Arial" w:cs="Arial"/>
        </w:rPr>
        <w:t xml:space="preserve"> that </w:t>
      </w:r>
      <w:r w:rsidR="00147CD1">
        <w:rPr>
          <w:rFonts w:ascii="Arial" w:hAnsi="Arial" w:cs="Arial"/>
        </w:rPr>
        <w:t>contract</w:t>
      </w:r>
      <w:r w:rsidR="008E22A6" w:rsidRPr="00017B44">
        <w:rPr>
          <w:rFonts w:ascii="Arial" w:hAnsi="Arial" w:cs="Arial"/>
        </w:rPr>
        <w:t xml:space="preserve"> pharmacies can play an important role by providing a favorable environment for these facilities to open </w:t>
      </w:r>
      <w:r w:rsidR="00147CD1">
        <w:rPr>
          <w:rFonts w:ascii="Arial" w:hAnsi="Arial" w:cs="Arial"/>
        </w:rPr>
        <w:t>pharmacies</w:t>
      </w:r>
      <w:r w:rsidR="008E22A6" w:rsidRPr="00017B44">
        <w:rPr>
          <w:rFonts w:ascii="Arial" w:hAnsi="Arial" w:cs="Arial"/>
        </w:rPr>
        <w:t xml:space="preserve"> in areas where the poor and vulnerable live. This effort will involve not only making the contracting process more flexible </w:t>
      </w:r>
      <w:r w:rsidR="00147CD1">
        <w:rPr>
          <w:rFonts w:ascii="Arial" w:hAnsi="Arial" w:cs="Arial"/>
        </w:rPr>
        <w:t>for</w:t>
      </w:r>
      <w:r w:rsidR="008E22A6" w:rsidRPr="00017B44">
        <w:rPr>
          <w:rFonts w:ascii="Arial" w:hAnsi="Arial" w:cs="Arial"/>
        </w:rPr>
        <w:t xml:space="preserve"> pharmacies but also providing information to users and training </w:t>
      </w:r>
      <w:r w:rsidR="00147CD1">
        <w:rPr>
          <w:rFonts w:ascii="Arial" w:hAnsi="Arial" w:cs="Arial"/>
        </w:rPr>
        <w:t xml:space="preserve">of </w:t>
      </w:r>
      <w:r w:rsidR="008E22A6" w:rsidRPr="00017B44">
        <w:rPr>
          <w:rFonts w:ascii="Arial" w:hAnsi="Arial" w:cs="Arial"/>
        </w:rPr>
        <w:t>FGP doctors.</w:t>
      </w:r>
    </w:p>
    <w:p w14:paraId="1DB28DF3" w14:textId="77777777" w:rsidR="008E22A6" w:rsidRPr="00017B44" w:rsidRDefault="008E22A6" w:rsidP="008E22A6">
      <w:pPr>
        <w:rPr>
          <w:rFonts w:ascii="Arial" w:hAnsi="Arial"/>
        </w:rPr>
      </w:pPr>
    </w:p>
    <w:p w14:paraId="0F98008B" w14:textId="77777777" w:rsidR="006E75F3" w:rsidRPr="00271741" w:rsidRDefault="006E75F3" w:rsidP="006E75F3">
      <w:pPr>
        <w:pStyle w:val="ListParagraph"/>
        <w:numPr>
          <w:ilvl w:val="3"/>
          <w:numId w:val="15"/>
        </w:numPr>
        <w:ind w:left="360"/>
        <w:rPr>
          <w:rFonts w:ascii="Arial" w:hAnsi="Arial"/>
          <w:i/>
        </w:rPr>
      </w:pPr>
      <w:r w:rsidRPr="00271741">
        <w:rPr>
          <w:rFonts w:ascii="Arial" w:hAnsi="Arial"/>
          <w:i/>
        </w:rPr>
        <w:t>Promote service utilization by</w:t>
      </w:r>
      <w:r>
        <w:rPr>
          <w:rFonts w:ascii="Arial" w:hAnsi="Arial"/>
          <w:i/>
        </w:rPr>
        <w:t xml:space="preserve"> the</w:t>
      </w:r>
      <w:r w:rsidRPr="00271741">
        <w:rPr>
          <w:rFonts w:ascii="Arial" w:hAnsi="Arial"/>
          <w:i/>
        </w:rPr>
        <w:t xml:space="preserve"> poor at government hospitals. </w:t>
      </w:r>
    </w:p>
    <w:p w14:paraId="555985CC" w14:textId="77777777" w:rsidR="006E75F3" w:rsidRPr="00017B44" w:rsidRDefault="006E75F3" w:rsidP="006E75F3">
      <w:pPr>
        <w:rPr>
          <w:rFonts w:ascii="Arial" w:hAnsi="Arial"/>
        </w:rPr>
      </w:pPr>
    </w:p>
    <w:p w14:paraId="666ED0E1" w14:textId="77777777" w:rsidR="006E75F3" w:rsidRPr="006E75F3" w:rsidRDefault="006E75F3" w:rsidP="006E75F3">
      <w:pPr>
        <w:pStyle w:val="BodyText"/>
        <w:spacing w:after="0"/>
        <w:rPr>
          <w:rFonts w:cs="Arial"/>
          <w:szCs w:val="24"/>
        </w:rPr>
      </w:pPr>
      <w:r w:rsidRPr="00017B44">
        <w:t xml:space="preserve">Barriers to utilization of health services by </w:t>
      </w:r>
      <w:r>
        <w:t xml:space="preserve">the </w:t>
      </w:r>
      <w:r w:rsidRPr="00017B44">
        <w:t xml:space="preserve">poor at health facilities are explained by </w:t>
      </w:r>
      <w:r>
        <w:t xml:space="preserve">many factors including financial hardships due to health payments, responsiveness of health care providers, and distance and transport related hurdles. </w:t>
      </w:r>
      <w:r w:rsidRPr="00017B44">
        <w:rPr>
          <w:rFonts w:cs="Arial"/>
          <w:szCs w:val="24"/>
        </w:rPr>
        <w:t xml:space="preserve">Copayments are currently applied to essential drugs prescribed by FGPs, outpatient diagnosis and tests and in-patient admissions at hospitals. Exemption policies are used in many countries to protect the poor from catastrophic health payments and impoverishment. </w:t>
      </w:r>
      <w:r>
        <w:t xml:space="preserve">Interventions in this regard include continue subsidizing the hospital service utilization of poor people through improved system of targeting the budget and social health insurance funds and effective exemption policy for user fees. In relation to the latter there is a need to assess the </w:t>
      </w:r>
      <w:r w:rsidRPr="00017B44">
        <w:t xml:space="preserve">exemption policy for poor and vulnerable. </w:t>
      </w:r>
    </w:p>
    <w:p w14:paraId="65672213" w14:textId="77777777" w:rsidR="00947050" w:rsidRDefault="00947050" w:rsidP="007E4048">
      <w:pPr>
        <w:rPr>
          <w:rFonts w:ascii="Arial" w:hAnsi="Arial" w:cs="Arial"/>
        </w:rPr>
      </w:pPr>
    </w:p>
    <w:p w14:paraId="409322C5" w14:textId="4EFAAA23" w:rsidR="00947050" w:rsidRDefault="00E127ED" w:rsidP="00E127ED">
      <w:pPr>
        <w:pStyle w:val="Heading2"/>
      </w:pPr>
      <w:bookmarkStart w:id="69" w:name="_Toc305764316"/>
      <w:r>
        <w:t>Reference</w:t>
      </w:r>
      <w:bookmarkEnd w:id="69"/>
    </w:p>
    <w:p w14:paraId="015DECEA" w14:textId="77777777" w:rsidR="00E127ED" w:rsidRDefault="00E127ED" w:rsidP="00E127ED"/>
    <w:p w14:paraId="72F567D5" w14:textId="77777777" w:rsidR="003522D3" w:rsidRPr="00116795" w:rsidRDefault="003522D3" w:rsidP="00E127ED">
      <w:pPr>
        <w:rPr>
          <w:rFonts w:ascii="Arial" w:eastAsiaTheme="minorEastAsia" w:hAnsi="Arial" w:cs="Arial"/>
          <w:sz w:val="22"/>
          <w:szCs w:val="22"/>
        </w:rPr>
      </w:pPr>
      <w:proofErr w:type="spellStart"/>
      <w:r w:rsidRPr="00116795">
        <w:rPr>
          <w:rFonts w:ascii="Arial" w:eastAsiaTheme="minorEastAsia" w:hAnsi="Arial" w:cs="Arial"/>
          <w:sz w:val="22"/>
          <w:szCs w:val="22"/>
        </w:rPr>
        <w:t>Cashin</w:t>
      </w:r>
      <w:proofErr w:type="spellEnd"/>
      <w:r w:rsidRPr="00116795">
        <w:rPr>
          <w:rFonts w:ascii="Arial" w:eastAsiaTheme="minorEastAsia" w:hAnsi="Arial" w:cs="Arial"/>
          <w:sz w:val="22"/>
          <w:szCs w:val="22"/>
        </w:rPr>
        <w:t xml:space="preserve">, Cheryl; </w:t>
      </w:r>
      <w:proofErr w:type="spellStart"/>
      <w:r w:rsidRPr="00116795">
        <w:rPr>
          <w:rFonts w:ascii="Arial" w:eastAsiaTheme="minorEastAsia" w:hAnsi="Arial" w:cs="Arial"/>
          <w:sz w:val="22"/>
          <w:szCs w:val="22"/>
        </w:rPr>
        <w:t>Somanathan</w:t>
      </w:r>
      <w:proofErr w:type="spellEnd"/>
      <w:r w:rsidRPr="00116795">
        <w:rPr>
          <w:rFonts w:ascii="Arial" w:eastAsiaTheme="minorEastAsia" w:hAnsi="Arial" w:cs="Arial"/>
          <w:sz w:val="22"/>
          <w:szCs w:val="22"/>
        </w:rPr>
        <w:t xml:space="preserve">, </w:t>
      </w:r>
      <w:proofErr w:type="spellStart"/>
      <w:r w:rsidRPr="00116795">
        <w:rPr>
          <w:rFonts w:ascii="Arial" w:eastAsiaTheme="minorEastAsia" w:hAnsi="Arial" w:cs="Arial"/>
          <w:sz w:val="22"/>
          <w:szCs w:val="22"/>
        </w:rPr>
        <w:t>Aparnaa</w:t>
      </w:r>
      <w:proofErr w:type="spellEnd"/>
      <w:r w:rsidRPr="00116795">
        <w:rPr>
          <w:rFonts w:ascii="Arial" w:eastAsiaTheme="minorEastAsia" w:hAnsi="Arial" w:cs="Arial"/>
          <w:sz w:val="22"/>
          <w:szCs w:val="22"/>
        </w:rPr>
        <w:t xml:space="preserve">. 2015. </w:t>
      </w:r>
      <w:r w:rsidRPr="00116795">
        <w:rPr>
          <w:rFonts w:ascii="Arial" w:eastAsiaTheme="minorEastAsia" w:hAnsi="Arial" w:cs="Arial"/>
          <w:i/>
          <w:iCs/>
          <w:sz w:val="22"/>
          <w:szCs w:val="22"/>
        </w:rPr>
        <w:t xml:space="preserve">Assessment of systems for paying health care providers in </w:t>
      </w:r>
      <w:proofErr w:type="gramStart"/>
      <w:r w:rsidRPr="00116795">
        <w:rPr>
          <w:rFonts w:ascii="Arial" w:eastAsiaTheme="minorEastAsia" w:hAnsi="Arial" w:cs="Arial"/>
          <w:i/>
          <w:iCs/>
          <w:sz w:val="22"/>
          <w:szCs w:val="22"/>
        </w:rPr>
        <w:t>Mongolia :</w:t>
      </w:r>
      <w:proofErr w:type="gramEnd"/>
      <w:r w:rsidRPr="00116795">
        <w:rPr>
          <w:rFonts w:ascii="Arial" w:eastAsiaTheme="minorEastAsia" w:hAnsi="Arial" w:cs="Arial"/>
          <w:i/>
          <w:iCs/>
          <w:sz w:val="22"/>
          <w:szCs w:val="22"/>
        </w:rPr>
        <w:t xml:space="preserve"> implications for equity, efficiency and universal health coverage</w:t>
      </w:r>
      <w:r w:rsidRPr="00116795">
        <w:rPr>
          <w:rFonts w:ascii="Arial" w:eastAsiaTheme="minorEastAsia" w:hAnsi="Arial" w:cs="Arial"/>
          <w:sz w:val="22"/>
          <w:szCs w:val="22"/>
        </w:rPr>
        <w:t>. Washington, D.C</w:t>
      </w:r>
      <w:proofErr w:type="gramStart"/>
      <w:r w:rsidRPr="00116795">
        <w:rPr>
          <w:rFonts w:ascii="Arial" w:eastAsiaTheme="minorEastAsia" w:hAnsi="Arial" w:cs="Arial"/>
          <w:sz w:val="22"/>
          <w:szCs w:val="22"/>
        </w:rPr>
        <w:t>. :</w:t>
      </w:r>
      <w:proofErr w:type="gramEnd"/>
      <w:r w:rsidRPr="00116795">
        <w:rPr>
          <w:rFonts w:ascii="Arial" w:eastAsiaTheme="minorEastAsia" w:hAnsi="Arial" w:cs="Arial"/>
          <w:sz w:val="22"/>
          <w:szCs w:val="22"/>
        </w:rPr>
        <w:t xml:space="preserve"> World Bank Group.</w:t>
      </w:r>
    </w:p>
    <w:p w14:paraId="6A5AE57B" w14:textId="77777777" w:rsidR="003522D3" w:rsidRPr="00116795" w:rsidRDefault="003522D3" w:rsidP="00E127ED">
      <w:pPr>
        <w:rPr>
          <w:rFonts w:ascii="Arial" w:eastAsiaTheme="minorEastAsia" w:hAnsi="Arial" w:cs="Arial"/>
          <w:sz w:val="22"/>
          <w:szCs w:val="22"/>
        </w:rPr>
      </w:pPr>
    </w:p>
    <w:p w14:paraId="19ED4094" w14:textId="77777777" w:rsidR="00116795" w:rsidRPr="00116795" w:rsidRDefault="00116795" w:rsidP="00116795">
      <w:pPr>
        <w:pStyle w:val="FootnoteText"/>
        <w:jc w:val="both"/>
        <w:rPr>
          <w:rFonts w:ascii="Arial" w:hAnsi="Arial" w:cs="Arial"/>
          <w:sz w:val="22"/>
          <w:szCs w:val="22"/>
        </w:rPr>
      </w:pPr>
      <w:r w:rsidRPr="00116795">
        <w:rPr>
          <w:rFonts w:ascii="Arial" w:hAnsi="Arial" w:cs="Arial"/>
          <w:i/>
          <w:sz w:val="22"/>
          <w:szCs w:val="22"/>
        </w:rPr>
        <w:t>Designing health financing systems to reduce catastrophic health expenditure</w:t>
      </w:r>
      <w:r w:rsidRPr="00116795">
        <w:rPr>
          <w:rFonts w:ascii="Arial" w:hAnsi="Arial" w:cs="Arial"/>
          <w:sz w:val="22"/>
          <w:szCs w:val="22"/>
        </w:rPr>
        <w:t>, Technical policy brief for policy makers #2, WHO 2005</w:t>
      </w:r>
    </w:p>
    <w:p w14:paraId="3DD334B9" w14:textId="77777777" w:rsidR="00116795" w:rsidRPr="00116795" w:rsidRDefault="00116795" w:rsidP="00116795">
      <w:pPr>
        <w:pStyle w:val="FootnoteText"/>
        <w:jc w:val="both"/>
        <w:rPr>
          <w:rFonts w:ascii="Arial" w:hAnsi="Arial" w:cs="Arial"/>
          <w:sz w:val="22"/>
          <w:szCs w:val="22"/>
        </w:rPr>
      </w:pPr>
    </w:p>
    <w:p w14:paraId="6A9A7791" w14:textId="77777777" w:rsidR="00116795" w:rsidRPr="00116795" w:rsidRDefault="00116795" w:rsidP="00116795">
      <w:pPr>
        <w:pStyle w:val="FootnoteText"/>
        <w:jc w:val="both"/>
        <w:rPr>
          <w:rFonts w:ascii="Arial" w:hAnsi="Arial" w:cs="Arial"/>
          <w:sz w:val="22"/>
          <w:szCs w:val="22"/>
        </w:rPr>
      </w:pPr>
      <w:proofErr w:type="spellStart"/>
      <w:r w:rsidRPr="00116795">
        <w:rPr>
          <w:rFonts w:ascii="Arial" w:hAnsi="Arial" w:cs="Arial"/>
          <w:sz w:val="22"/>
          <w:szCs w:val="22"/>
        </w:rPr>
        <w:t>O’Donnel</w:t>
      </w:r>
      <w:proofErr w:type="spellEnd"/>
      <w:r w:rsidRPr="00116795">
        <w:rPr>
          <w:rFonts w:ascii="Arial" w:hAnsi="Arial" w:cs="Arial"/>
          <w:sz w:val="22"/>
          <w:szCs w:val="22"/>
        </w:rPr>
        <w:t xml:space="preserve">, O., </w:t>
      </w:r>
      <w:r w:rsidRPr="00116795">
        <w:rPr>
          <w:rFonts w:ascii="Arial" w:hAnsi="Arial" w:cs="Arial"/>
          <w:color w:val="000000"/>
          <w:sz w:val="22"/>
          <w:szCs w:val="22"/>
        </w:rPr>
        <w:t xml:space="preserve">van </w:t>
      </w:r>
      <w:proofErr w:type="spellStart"/>
      <w:r w:rsidRPr="00116795">
        <w:rPr>
          <w:rFonts w:ascii="Arial" w:hAnsi="Arial" w:cs="Arial"/>
          <w:color w:val="000000"/>
          <w:sz w:val="22"/>
          <w:szCs w:val="22"/>
        </w:rPr>
        <w:t>Doorslaer</w:t>
      </w:r>
      <w:proofErr w:type="spellEnd"/>
      <w:proofErr w:type="gramStart"/>
      <w:r w:rsidRPr="00116795">
        <w:rPr>
          <w:rFonts w:ascii="Arial" w:hAnsi="Arial" w:cs="Arial"/>
          <w:color w:val="000000"/>
          <w:sz w:val="22"/>
          <w:szCs w:val="22"/>
        </w:rPr>
        <w:t>.,</w:t>
      </w:r>
      <w:proofErr w:type="gramEnd"/>
      <w:r w:rsidRPr="00116795">
        <w:rPr>
          <w:rFonts w:ascii="Arial" w:hAnsi="Arial" w:cs="Arial"/>
          <w:color w:val="000000"/>
          <w:sz w:val="22"/>
          <w:szCs w:val="22"/>
        </w:rPr>
        <w:t xml:space="preserve"> et al</w:t>
      </w:r>
      <w:r w:rsidRPr="00116795">
        <w:rPr>
          <w:rFonts w:ascii="Arial" w:hAnsi="Arial" w:cs="Arial"/>
          <w:i/>
          <w:iCs/>
          <w:color w:val="000000"/>
          <w:sz w:val="22"/>
          <w:szCs w:val="22"/>
        </w:rPr>
        <w:t xml:space="preserve">, </w:t>
      </w:r>
      <w:r w:rsidRPr="00116795">
        <w:rPr>
          <w:rFonts w:ascii="Arial" w:hAnsi="Arial" w:cs="Arial"/>
          <w:sz w:val="22"/>
          <w:szCs w:val="22"/>
        </w:rPr>
        <w:t xml:space="preserve">Analyzing Health Equity Using Household Survey Data: </w:t>
      </w:r>
      <w:r w:rsidRPr="00116795">
        <w:rPr>
          <w:rFonts w:ascii="Arial" w:hAnsi="Arial" w:cs="Arial"/>
          <w:i/>
          <w:sz w:val="22"/>
          <w:szCs w:val="22"/>
        </w:rPr>
        <w:t xml:space="preserve">A Guide to Techniques and Their Implementation. </w:t>
      </w:r>
      <w:proofErr w:type="gramStart"/>
      <w:r w:rsidRPr="00116795">
        <w:rPr>
          <w:rFonts w:ascii="Arial" w:hAnsi="Arial" w:cs="Arial"/>
          <w:sz w:val="22"/>
          <w:szCs w:val="22"/>
        </w:rPr>
        <w:t>The World Bank, 2007.</w:t>
      </w:r>
      <w:proofErr w:type="gramEnd"/>
      <w:r w:rsidRPr="00116795">
        <w:rPr>
          <w:rFonts w:ascii="Arial" w:hAnsi="Arial" w:cs="Arial"/>
          <w:sz w:val="22"/>
          <w:szCs w:val="22"/>
        </w:rPr>
        <w:t xml:space="preserve"> ISBN-13: 978-0-8213-6933-3</w:t>
      </w:r>
    </w:p>
    <w:p w14:paraId="42E9F820" w14:textId="77777777" w:rsidR="00116795" w:rsidRPr="00116795" w:rsidRDefault="00116795" w:rsidP="00116795">
      <w:pPr>
        <w:pStyle w:val="FootnoteText"/>
        <w:jc w:val="both"/>
        <w:rPr>
          <w:rFonts w:ascii="Arial" w:hAnsi="Arial" w:cs="Arial"/>
          <w:sz w:val="22"/>
          <w:szCs w:val="22"/>
        </w:rPr>
      </w:pPr>
    </w:p>
    <w:p w14:paraId="24E0C688" w14:textId="77777777" w:rsidR="00116795" w:rsidRPr="00116795" w:rsidRDefault="00116795" w:rsidP="00116795">
      <w:pPr>
        <w:rPr>
          <w:rFonts w:ascii="Arial" w:hAnsi="Arial" w:cs="Arial"/>
          <w:sz w:val="22"/>
          <w:szCs w:val="22"/>
        </w:rPr>
      </w:pPr>
      <w:proofErr w:type="gramStart"/>
      <w:r w:rsidRPr="00116795">
        <w:rPr>
          <w:rFonts w:ascii="Arial" w:hAnsi="Arial" w:cs="Arial"/>
          <w:sz w:val="22"/>
          <w:szCs w:val="22"/>
        </w:rPr>
        <w:t>Informal payments in health sector in Mongolia, Mongolian Public Health Professionals Association.</w:t>
      </w:r>
      <w:proofErr w:type="gramEnd"/>
      <w:r w:rsidRPr="00116795">
        <w:rPr>
          <w:rFonts w:ascii="Arial" w:hAnsi="Arial" w:cs="Arial"/>
          <w:sz w:val="22"/>
          <w:szCs w:val="22"/>
        </w:rPr>
        <w:t xml:space="preserve"> 2011.</w:t>
      </w:r>
    </w:p>
    <w:p w14:paraId="70F8F573" w14:textId="77777777" w:rsidR="00116795" w:rsidRPr="00116795" w:rsidRDefault="00116795" w:rsidP="00E127ED">
      <w:pPr>
        <w:rPr>
          <w:rFonts w:ascii="Arial" w:eastAsiaTheme="minorEastAsia" w:hAnsi="Arial" w:cs="Arial"/>
          <w:sz w:val="22"/>
          <w:szCs w:val="22"/>
        </w:rPr>
      </w:pPr>
    </w:p>
    <w:p w14:paraId="64347873" w14:textId="4C106C51" w:rsidR="00116795" w:rsidRDefault="00116795" w:rsidP="00E127ED">
      <w:pPr>
        <w:rPr>
          <w:rFonts w:ascii="Arial" w:hAnsi="Arial" w:cs="Arial"/>
          <w:bCs/>
          <w:sz w:val="22"/>
          <w:szCs w:val="22"/>
        </w:rPr>
      </w:pPr>
      <w:r w:rsidRPr="00116795">
        <w:rPr>
          <w:rFonts w:ascii="Arial" w:hAnsi="Arial" w:cs="Arial"/>
          <w:bCs/>
          <w:i/>
          <w:sz w:val="22"/>
          <w:szCs w:val="22"/>
        </w:rPr>
        <w:t>Poverty profile 2012</w:t>
      </w:r>
      <w:r>
        <w:rPr>
          <w:rFonts w:ascii="Arial" w:hAnsi="Arial" w:cs="Arial"/>
          <w:bCs/>
          <w:sz w:val="22"/>
          <w:szCs w:val="22"/>
        </w:rPr>
        <w:t>, National Statistics Office of Mongolia 2013, Ulaanbaatar</w:t>
      </w:r>
    </w:p>
    <w:p w14:paraId="4BFDC8D1" w14:textId="77777777" w:rsidR="00116795" w:rsidRDefault="00116795" w:rsidP="00E127ED">
      <w:pPr>
        <w:rPr>
          <w:rFonts w:ascii="Arial" w:hAnsi="Arial" w:cs="Arial"/>
          <w:bCs/>
          <w:sz w:val="22"/>
          <w:szCs w:val="22"/>
        </w:rPr>
      </w:pPr>
    </w:p>
    <w:p w14:paraId="0B568B94" w14:textId="4B9D3DDB" w:rsidR="00E127ED" w:rsidRPr="00116795" w:rsidRDefault="003522D3" w:rsidP="00E127ED">
      <w:pPr>
        <w:rPr>
          <w:rFonts w:ascii="Arial" w:hAnsi="Arial" w:cs="Arial"/>
          <w:bCs/>
          <w:sz w:val="22"/>
          <w:szCs w:val="22"/>
        </w:rPr>
      </w:pPr>
      <w:proofErr w:type="spellStart"/>
      <w:r w:rsidRPr="00116795">
        <w:rPr>
          <w:rFonts w:ascii="Arial" w:hAnsi="Arial" w:cs="Arial"/>
          <w:bCs/>
          <w:sz w:val="22"/>
          <w:szCs w:val="22"/>
        </w:rPr>
        <w:t>Tsolmongerel</w:t>
      </w:r>
      <w:proofErr w:type="spellEnd"/>
      <w:r w:rsidRPr="00116795">
        <w:rPr>
          <w:rFonts w:ascii="Arial" w:hAnsi="Arial" w:cs="Arial"/>
          <w:bCs/>
          <w:sz w:val="22"/>
          <w:szCs w:val="22"/>
        </w:rPr>
        <w:t xml:space="preserve"> </w:t>
      </w:r>
      <w:proofErr w:type="spellStart"/>
      <w:r w:rsidRPr="00116795">
        <w:rPr>
          <w:rFonts w:ascii="Arial" w:hAnsi="Arial" w:cs="Arial"/>
          <w:bCs/>
          <w:sz w:val="22"/>
          <w:szCs w:val="22"/>
        </w:rPr>
        <w:t>Ts</w:t>
      </w:r>
      <w:proofErr w:type="spellEnd"/>
      <w:r w:rsidRPr="00116795">
        <w:rPr>
          <w:rFonts w:ascii="Arial" w:hAnsi="Arial" w:cs="Arial"/>
          <w:bCs/>
          <w:sz w:val="22"/>
          <w:szCs w:val="22"/>
        </w:rPr>
        <w:t>, et al “</w:t>
      </w:r>
      <w:r w:rsidRPr="00116795">
        <w:rPr>
          <w:rFonts w:ascii="Arial" w:hAnsi="Arial" w:cs="Arial"/>
          <w:bCs/>
          <w:i/>
          <w:sz w:val="22"/>
          <w:szCs w:val="22"/>
        </w:rPr>
        <w:t>Mongolia Health System Review</w:t>
      </w:r>
      <w:r w:rsidRPr="00116795">
        <w:rPr>
          <w:rFonts w:ascii="Arial" w:hAnsi="Arial" w:cs="Arial"/>
          <w:bCs/>
          <w:sz w:val="22"/>
          <w:szCs w:val="22"/>
        </w:rPr>
        <w:t xml:space="preserve">”, Health systems in transition. </w:t>
      </w:r>
      <w:proofErr w:type="gramStart"/>
      <w:r w:rsidRPr="00116795">
        <w:rPr>
          <w:rFonts w:ascii="Arial" w:hAnsi="Arial" w:cs="Arial"/>
          <w:bCs/>
          <w:sz w:val="22"/>
          <w:szCs w:val="22"/>
        </w:rPr>
        <w:t>Vol.3 No.2 2013, Asia Pacific Observatory on Health Systems and Policies.</w:t>
      </w:r>
      <w:proofErr w:type="gramEnd"/>
    </w:p>
    <w:p w14:paraId="3C22813E" w14:textId="77777777" w:rsidR="003522D3" w:rsidRPr="00116795" w:rsidRDefault="003522D3" w:rsidP="00E127ED">
      <w:pPr>
        <w:rPr>
          <w:rFonts w:ascii="Arial" w:hAnsi="Arial" w:cs="Arial"/>
          <w:bCs/>
          <w:sz w:val="22"/>
          <w:szCs w:val="22"/>
        </w:rPr>
      </w:pPr>
    </w:p>
    <w:p w14:paraId="0747AFEB" w14:textId="77777777" w:rsidR="00116795" w:rsidRPr="00116795" w:rsidRDefault="00116795" w:rsidP="00116795">
      <w:pPr>
        <w:pStyle w:val="FootnoteText"/>
        <w:rPr>
          <w:rFonts w:ascii="Arial" w:hAnsi="Arial" w:cs="Arial"/>
          <w:sz w:val="22"/>
          <w:szCs w:val="22"/>
        </w:rPr>
      </w:pPr>
      <w:proofErr w:type="spellStart"/>
      <w:proofErr w:type="gramStart"/>
      <w:r w:rsidRPr="00116795">
        <w:rPr>
          <w:rFonts w:ascii="Arial" w:hAnsi="Arial" w:cs="Arial"/>
          <w:sz w:val="22"/>
          <w:szCs w:val="22"/>
        </w:rPr>
        <w:t>Tsolmongerel</w:t>
      </w:r>
      <w:proofErr w:type="spellEnd"/>
      <w:r w:rsidRPr="00116795">
        <w:rPr>
          <w:rFonts w:ascii="Arial" w:hAnsi="Arial" w:cs="Arial"/>
          <w:sz w:val="22"/>
          <w:szCs w:val="22"/>
        </w:rPr>
        <w:t xml:space="preserve"> T, </w:t>
      </w:r>
      <w:proofErr w:type="spellStart"/>
      <w:r w:rsidRPr="00116795">
        <w:rPr>
          <w:rFonts w:ascii="Arial" w:hAnsi="Arial" w:cs="Arial"/>
          <w:sz w:val="22"/>
          <w:szCs w:val="22"/>
        </w:rPr>
        <w:t>Chimeddagva</w:t>
      </w:r>
      <w:proofErr w:type="spellEnd"/>
      <w:r w:rsidRPr="00116795">
        <w:rPr>
          <w:rFonts w:ascii="Arial" w:hAnsi="Arial" w:cs="Arial"/>
          <w:sz w:val="22"/>
          <w:szCs w:val="22"/>
        </w:rPr>
        <w:t xml:space="preserve"> D, </w:t>
      </w:r>
      <w:proofErr w:type="spellStart"/>
      <w:r w:rsidRPr="00116795">
        <w:rPr>
          <w:rFonts w:ascii="Arial" w:hAnsi="Arial" w:cs="Arial"/>
          <w:sz w:val="22"/>
          <w:szCs w:val="22"/>
        </w:rPr>
        <w:t>Erdenechimeg</w:t>
      </w:r>
      <w:proofErr w:type="spellEnd"/>
      <w:r w:rsidRPr="00116795">
        <w:rPr>
          <w:rFonts w:ascii="Arial" w:hAnsi="Arial" w:cs="Arial"/>
          <w:sz w:val="22"/>
          <w:szCs w:val="22"/>
        </w:rPr>
        <w:t xml:space="preserve"> E, and </w:t>
      </w:r>
      <w:proofErr w:type="spellStart"/>
      <w:r w:rsidRPr="00116795">
        <w:rPr>
          <w:rFonts w:ascii="Arial" w:hAnsi="Arial" w:cs="Arial"/>
          <w:sz w:val="22"/>
          <w:szCs w:val="22"/>
        </w:rPr>
        <w:t>Ulzii-Orshikh</w:t>
      </w:r>
      <w:proofErr w:type="spellEnd"/>
      <w:r w:rsidRPr="00116795">
        <w:rPr>
          <w:rFonts w:ascii="Arial" w:hAnsi="Arial" w:cs="Arial"/>
          <w:sz w:val="22"/>
          <w:szCs w:val="22"/>
        </w:rPr>
        <w:t>.</w:t>
      </w:r>
      <w:proofErr w:type="gramEnd"/>
      <w:r w:rsidRPr="00116795">
        <w:rPr>
          <w:rFonts w:ascii="Arial" w:hAnsi="Arial" w:cs="Arial"/>
          <w:sz w:val="22"/>
          <w:szCs w:val="22"/>
        </w:rPr>
        <w:t xml:space="preserve">  </w:t>
      </w:r>
      <w:proofErr w:type="gramStart"/>
      <w:r w:rsidRPr="00116795">
        <w:rPr>
          <w:rFonts w:ascii="Arial" w:hAnsi="Arial" w:cs="Arial"/>
          <w:sz w:val="22"/>
          <w:szCs w:val="22"/>
        </w:rPr>
        <w:t>Distribution of health payments and catastrophic expenditure in Mongolia.</w:t>
      </w:r>
      <w:proofErr w:type="gramEnd"/>
      <w:r w:rsidRPr="00116795">
        <w:rPr>
          <w:rFonts w:ascii="Arial" w:hAnsi="Arial" w:cs="Arial"/>
          <w:sz w:val="22"/>
          <w:szCs w:val="22"/>
        </w:rPr>
        <w:t xml:space="preserve">  </w:t>
      </w:r>
      <w:proofErr w:type="gramStart"/>
      <w:r w:rsidRPr="00116795">
        <w:rPr>
          <w:rFonts w:ascii="Arial" w:hAnsi="Arial" w:cs="Arial"/>
          <w:sz w:val="22"/>
          <w:szCs w:val="22"/>
        </w:rPr>
        <w:t>Report and policy brief.</w:t>
      </w:r>
      <w:proofErr w:type="gramEnd"/>
      <w:r w:rsidRPr="00116795">
        <w:rPr>
          <w:rFonts w:ascii="Arial" w:hAnsi="Arial" w:cs="Arial"/>
          <w:sz w:val="22"/>
          <w:szCs w:val="22"/>
        </w:rPr>
        <w:t xml:space="preserve">  </w:t>
      </w:r>
    </w:p>
    <w:p w14:paraId="27EC7FD3" w14:textId="77777777" w:rsidR="003522D3" w:rsidRPr="00116795" w:rsidRDefault="003522D3" w:rsidP="00E127ED">
      <w:pPr>
        <w:rPr>
          <w:rFonts w:ascii="Arial" w:hAnsi="Arial" w:cs="Arial"/>
          <w:bCs/>
          <w:sz w:val="22"/>
          <w:szCs w:val="22"/>
        </w:rPr>
      </w:pPr>
    </w:p>
    <w:p w14:paraId="12C4EE09" w14:textId="77777777" w:rsidR="003522D3" w:rsidRPr="00E127ED" w:rsidRDefault="003522D3" w:rsidP="00E127ED"/>
    <w:sectPr w:rsidR="003522D3" w:rsidRPr="00E127ED" w:rsidSect="00AD5F6B">
      <w:footerReference w:type="default" r:id="rId37"/>
      <w:pgSz w:w="12240" w:h="15840" w:code="1"/>
      <w:pgMar w:top="1440" w:right="1797" w:bottom="1440" w:left="1797"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A352E2" w14:textId="77777777" w:rsidR="007C5DA0" w:rsidRDefault="007C5DA0" w:rsidP="00E834E7">
      <w:r>
        <w:separator/>
      </w:r>
    </w:p>
  </w:endnote>
  <w:endnote w:type="continuationSeparator" w:id="0">
    <w:p w14:paraId="6CFF4467" w14:textId="77777777" w:rsidR="007C5DA0" w:rsidRDefault="007C5DA0" w:rsidP="00E834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NXJVMI+ChFreeset">
    <w:altName w:val="Cambria"/>
    <w:panose1 w:val="00000000000000000000"/>
    <w:charset w:val="00"/>
    <w:family w:val="swiss"/>
    <w:notTrueType/>
    <w:pitch w:val="default"/>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Microsoft Sans Serif">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110510"/>
      <w:docPartObj>
        <w:docPartGallery w:val="Page Numbers (Bottom of Page)"/>
        <w:docPartUnique/>
      </w:docPartObj>
    </w:sdtPr>
    <w:sdtContent>
      <w:p w14:paraId="73037789" w14:textId="77777777" w:rsidR="007C5DA0" w:rsidRDefault="007C5DA0">
        <w:pPr>
          <w:pStyle w:val="Footer"/>
          <w:jc w:val="right"/>
        </w:pPr>
        <w:r>
          <w:fldChar w:fldCharType="begin"/>
        </w:r>
        <w:r>
          <w:instrText xml:space="preserve"> PAGE   \* MERGEFORMAT </w:instrText>
        </w:r>
        <w:r>
          <w:fldChar w:fldCharType="separate"/>
        </w:r>
        <w:r w:rsidR="00676B97">
          <w:rPr>
            <w:noProof/>
          </w:rPr>
          <w:t>20</w:t>
        </w:r>
        <w:r>
          <w:rPr>
            <w:noProof/>
          </w:rPr>
          <w:fldChar w:fldCharType="end"/>
        </w:r>
      </w:p>
    </w:sdtContent>
  </w:sdt>
  <w:p w14:paraId="670DC930" w14:textId="77777777" w:rsidR="007C5DA0" w:rsidRDefault="007C5DA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9D6A3C" w14:textId="77777777" w:rsidR="007C5DA0" w:rsidRDefault="007C5DA0" w:rsidP="00E834E7">
      <w:r>
        <w:separator/>
      </w:r>
    </w:p>
  </w:footnote>
  <w:footnote w:type="continuationSeparator" w:id="0">
    <w:p w14:paraId="005DA77E" w14:textId="77777777" w:rsidR="007C5DA0" w:rsidRDefault="007C5DA0" w:rsidP="00E834E7">
      <w:r>
        <w:continuationSeparator/>
      </w:r>
    </w:p>
  </w:footnote>
  <w:footnote w:id="1">
    <w:p w14:paraId="674A6713" w14:textId="77777777" w:rsidR="007C5DA0" w:rsidRPr="00A75F22" w:rsidRDefault="007C5DA0" w:rsidP="00DF792C">
      <w:pPr>
        <w:pStyle w:val="FootnoteText"/>
        <w:jc w:val="both"/>
        <w:rPr>
          <w:rFonts w:ascii="Arial" w:hAnsi="Arial" w:cs="Arial"/>
        </w:rPr>
      </w:pPr>
      <w:r w:rsidRPr="00A75F22">
        <w:rPr>
          <w:rStyle w:val="FootnoteReference"/>
          <w:rFonts w:ascii="Arial" w:hAnsi="Arial" w:cs="Arial"/>
        </w:rPr>
        <w:footnoteRef/>
      </w:r>
      <w:r w:rsidRPr="00A75F22">
        <w:rPr>
          <w:rFonts w:ascii="Arial" w:hAnsi="Arial" w:cs="Arial"/>
        </w:rPr>
        <w:t>Designing health financing systems to reduce catastrophic health expenditure, Technical policy brief for policy makers #2, WHO 2005</w:t>
      </w:r>
    </w:p>
  </w:footnote>
  <w:footnote w:id="2">
    <w:p w14:paraId="42477E9F" w14:textId="09FE80A8" w:rsidR="007C5DA0" w:rsidRPr="00A75F22" w:rsidRDefault="007C5DA0" w:rsidP="00DF792C">
      <w:pPr>
        <w:pStyle w:val="FootnoteText"/>
        <w:jc w:val="both"/>
        <w:rPr>
          <w:rFonts w:ascii="Arial" w:hAnsi="Arial" w:cs="Arial"/>
        </w:rPr>
      </w:pPr>
      <w:r w:rsidRPr="00A75F22">
        <w:rPr>
          <w:rStyle w:val="FootnoteReference"/>
          <w:rFonts w:ascii="Arial" w:hAnsi="Arial" w:cs="Arial"/>
        </w:rPr>
        <w:footnoteRef/>
      </w:r>
      <w:proofErr w:type="spellStart"/>
      <w:r w:rsidRPr="00A75F22">
        <w:rPr>
          <w:rFonts w:ascii="Arial" w:hAnsi="Arial" w:cs="Arial"/>
        </w:rPr>
        <w:t>O’Donnel</w:t>
      </w:r>
      <w:proofErr w:type="spellEnd"/>
      <w:r w:rsidRPr="00A75F22">
        <w:rPr>
          <w:rFonts w:ascii="Arial" w:hAnsi="Arial" w:cs="Arial"/>
        </w:rPr>
        <w:t xml:space="preserve">, O., </w:t>
      </w:r>
      <w:r w:rsidRPr="00A75F22">
        <w:rPr>
          <w:rFonts w:ascii="Arial" w:hAnsi="Arial" w:cs="Arial"/>
          <w:color w:val="000000"/>
        </w:rPr>
        <w:t xml:space="preserve">van </w:t>
      </w:r>
      <w:proofErr w:type="spellStart"/>
      <w:r w:rsidRPr="00A75F22">
        <w:rPr>
          <w:rFonts w:ascii="Arial" w:hAnsi="Arial" w:cs="Arial"/>
          <w:color w:val="000000"/>
        </w:rPr>
        <w:t>Doorslaer</w:t>
      </w:r>
      <w:proofErr w:type="spellEnd"/>
      <w:proofErr w:type="gramStart"/>
      <w:r w:rsidRPr="00A75F22">
        <w:rPr>
          <w:rFonts w:ascii="Arial" w:hAnsi="Arial" w:cs="Arial"/>
          <w:color w:val="000000"/>
        </w:rPr>
        <w:t>.,</w:t>
      </w:r>
      <w:proofErr w:type="gramEnd"/>
      <w:r w:rsidRPr="00A75F22">
        <w:rPr>
          <w:rFonts w:ascii="Arial" w:hAnsi="Arial" w:cs="Arial"/>
          <w:color w:val="000000"/>
        </w:rPr>
        <w:t xml:space="preserve"> et al</w:t>
      </w:r>
      <w:r w:rsidRPr="00A75F22">
        <w:rPr>
          <w:rFonts w:ascii="Arial" w:hAnsi="Arial" w:cs="Arial"/>
          <w:i/>
          <w:iCs/>
          <w:color w:val="000000"/>
        </w:rPr>
        <w:t xml:space="preserve">, </w:t>
      </w:r>
      <w:r w:rsidRPr="00A75F22">
        <w:rPr>
          <w:rFonts w:ascii="Arial" w:hAnsi="Arial" w:cs="Arial"/>
        </w:rPr>
        <w:t xml:space="preserve">Analyzing Health Equity Using Household Survey Data: </w:t>
      </w:r>
      <w:r>
        <w:rPr>
          <w:rFonts w:ascii="Arial" w:hAnsi="Arial" w:cs="Arial"/>
          <w:i/>
        </w:rPr>
        <w:t xml:space="preserve">A </w:t>
      </w:r>
      <w:r w:rsidRPr="00A75F22">
        <w:rPr>
          <w:rFonts w:ascii="Arial" w:hAnsi="Arial" w:cs="Arial"/>
          <w:i/>
        </w:rPr>
        <w:t xml:space="preserve">Guide to Techniques and Their Implementation. </w:t>
      </w:r>
      <w:proofErr w:type="gramStart"/>
      <w:r w:rsidRPr="00A75F22">
        <w:rPr>
          <w:rFonts w:ascii="Arial" w:hAnsi="Arial" w:cs="Arial"/>
        </w:rPr>
        <w:t>The World Bank, 2007.</w:t>
      </w:r>
      <w:proofErr w:type="gramEnd"/>
      <w:r w:rsidRPr="00A75F22">
        <w:rPr>
          <w:rFonts w:ascii="Arial" w:hAnsi="Arial" w:cs="Arial"/>
        </w:rPr>
        <w:t xml:space="preserve"> ISBN-13: 978-0-8213-6933-3</w:t>
      </w:r>
    </w:p>
  </w:footnote>
  <w:footnote w:id="3">
    <w:p w14:paraId="11753FB6" w14:textId="39778CAA" w:rsidR="007C5DA0" w:rsidRPr="0070661B" w:rsidRDefault="007C5DA0">
      <w:pPr>
        <w:pStyle w:val="FootnoteText"/>
        <w:rPr>
          <w:rFonts w:ascii="Arial" w:hAnsi="Arial"/>
        </w:rPr>
      </w:pPr>
      <w:r w:rsidRPr="0070661B">
        <w:rPr>
          <w:rStyle w:val="FootnoteReference"/>
          <w:rFonts w:ascii="Arial" w:hAnsi="Arial"/>
        </w:rPr>
        <w:footnoteRef/>
      </w:r>
      <w:r w:rsidRPr="0070661B">
        <w:rPr>
          <w:rFonts w:ascii="Arial" w:hAnsi="Arial"/>
        </w:rPr>
        <w:t xml:space="preserve"> </w:t>
      </w:r>
      <w:proofErr w:type="gramStart"/>
      <w:r w:rsidRPr="0070661B">
        <w:rPr>
          <w:rFonts w:ascii="Arial" w:hAnsi="Arial"/>
        </w:rPr>
        <w:t>Informal payments in health sector in Mongolia, Mongolian Public Health Professionals Association</w:t>
      </w:r>
      <w:r w:rsidRPr="0070661B">
        <w:rPr>
          <w:rFonts w:ascii="Arial" w:hAnsi="Arial" w:cs="Arial"/>
        </w:rPr>
        <w:t>.</w:t>
      </w:r>
      <w:proofErr w:type="gramEnd"/>
      <w:r w:rsidRPr="0070661B">
        <w:rPr>
          <w:rFonts w:ascii="Arial" w:hAnsi="Arial" w:cs="Arial"/>
        </w:rPr>
        <w:t xml:space="preserve"> 2011. </w:t>
      </w:r>
      <w:r>
        <w:rPr>
          <w:rFonts w:ascii="Arial" w:hAnsi="Arial" w:cs="Arial"/>
        </w:rPr>
        <w:t>The study revealed that about 60% of OOPs were informally paid.</w:t>
      </w:r>
    </w:p>
  </w:footnote>
  <w:footnote w:id="4">
    <w:p w14:paraId="02BC1C13" w14:textId="77777777" w:rsidR="007C5DA0" w:rsidRPr="002F000E" w:rsidRDefault="007C5DA0" w:rsidP="00DD5601">
      <w:pPr>
        <w:pStyle w:val="FootnoteText"/>
        <w:jc w:val="both"/>
      </w:pPr>
      <w:r>
        <w:rPr>
          <w:rStyle w:val="FootnoteReference"/>
        </w:rPr>
        <w:footnoteRef/>
      </w:r>
      <w:r>
        <w:t xml:space="preserve"> </w:t>
      </w:r>
      <w:r w:rsidRPr="002F000E">
        <w:rPr>
          <w:rFonts w:ascii="Arial" w:hAnsi="Arial" w:cs="Arial"/>
        </w:rPr>
        <w:t xml:space="preserve">The West is comprised of the </w:t>
      </w:r>
      <w:proofErr w:type="spellStart"/>
      <w:r w:rsidRPr="002F000E">
        <w:rPr>
          <w:rFonts w:ascii="Arial" w:hAnsi="Arial" w:cs="Arial"/>
          <w:i/>
          <w:iCs/>
        </w:rPr>
        <w:t>aimag</w:t>
      </w:r>
      <w:r w:rsidRPr="002F000E">
        <w:rPr>
          <w:rFonts w:ascii="Arial" w:hAnsi="Arial" w:cs="Arial"/>
        </w:rPr>
        <w:t>s</w:t>
      </w:r>
      <w:proofErr w:type="spellEnd"/>
      <w:r w:rsidRPr="002F000E">
        <w:rPr>
          <w:rFonts w:ascii="Arial" w:hAnsi="Arial" w:cs="Arial"/>
        </w:rPr>
        <w:t xml:space="preserve"> of Bayan-</w:t>
      </w:r>
      <w:proofErr w:type="spellStart"/>
      <w:r w:rsidRPr="002F000E">
        <w:rPr>
          <w:rFonts w:ascii="Arial" w:hAnsi="Arial" w:cs="Arial"/>
        </w:rPr>
        <w:t>Olgii</w:t>
      </w:r>
      <w:proofErr w:type="spellEnd"/>
      <w:r w:rsidRPr="002F000E">
        <w:rPr>
          <w:rFonts w:ascii="Arial" w:hAnsi="Arial" w:cs="Arial"/>
        </w:rPr>
        <w:t xml:space="preserve">, </w:t>
      </w:r>
      <w:proofErr w:type="spellStart"/>
      <w:r w:rsidRPr="002F000E">
        <w:rPr>
          <w:rFonts w:ascii="Arial" w:hAnsi="Arial" w:cs="Arial"/>
        </w:rPr>
        <w:t>Govi</w:t>
      </w:r>
      <w:proofErr w:type="spellEnd"/>
      <w:r w:rsidRPr="002F000E">
        <w:rPr>
          <w:rFonts w:ascii="Arial" w:hAnsi="Arial" w:cs="Arial"/>
        </w:rPr>
        <w:t xml:space="preserve">-Altai, </w:t>
      </w:r>
      <w:proofErr w:type="spellStart"/>
      <w:r w:rsidRPr="002F000E">
        <w:rPr>
          <w:rFonts w:ascii="Arial" w:hAnsi="Arial" w:cs="Arial"/>
        </w:rPr>
        <w:t>Zavkhan</w:t>
      </w:r>
      <w:proofErr w:type="spellEnd"/>
      <w:r w:rsidRPr="002F000E">
        <w:rPr>
          <w:rFonts w:ascii="Arial" w:hAnsi="Arial" w:cs="Arial"/>
        </w:rPr>
        <w:t xml:space="preserve">, </w:t>
      </w:r>
      <w:proofErr w:type="spellStart"/>
      <w:r w:rsidRPr="002F000E">
        <w:rPr>
          <w:rFonts w:ascii="Arial" w:hAnsi="Arial" w:cs="Arial"/>
        </w:rPr>
        <w:t>Uvs</w:t>
      </w:r>
      <w:proofErr w:type="spellEnd"/>
      <w:r w:rsidRPr="002F000E">
        <w:rPr>
          <w:rFonts w:ascii="Arial" w:hAnsi="Arial" w:cs="Arial"/>
        </w:rPr>
        <w:t xml:space="preserve"> and </w:t>
      </w:r>
      <w:proofErr w:type="spellStart"/>
      <w:r w:rsidRPr="002F000E">
        <w:rPr>
          <w:rFonts w:ascii="Arial" w:hAnsi="Arial" w:cs="Arial"/>
        </w:rPr>
        <w:t>Khovd</w:t>
      </w:r>
      <w:proofErr w:type="spellEnd"/>
      <w:r w:rsidRPr="002F000E">
        <w:rPr>
          <w:rFonts w:ascii="Arial" w:hAnsi="Arial" w:cs="Arial"/>
        </w:rPr>
        <w:t xml:space="preserve">; the Highlands </w:t>
      </w:r>
      <w:proofErr w:type="spellStart"/>
      <w:r w:rsidRPr="002F000E">
        <w:rPr>
          <w:rFonts w:ascii="Arial" w:hAnsi="Arial" w:cs="Arial"/>
        </w:rPr>
        <w:t>Arkhangai</w:t>
      </w:r>
      <w:proofErr w:type="spellEnd"/>
      <w:r w:rsidRPr="002F000E">
        <w:rPr>
          <w:rFonts w:ascii="Arial" w:hAnsi="Arial" w:cs="Arial"/>
        </w:rPr>
        <w:t xml:space="preserve">, </w:t>
      </w:r>
      <w:proofErr w:type="spellStart"/>
      <w:r w:rsidRPr="002F000E">
        <w:rPr>
          <w:rFonts w:ascii="Arial" w:hAnsi="Arial" w:cs="Arial"/>
        </w:rPr>
        <w:t>Bayankhongor</w:t>
      </w:r>
      <w:proofErr w:type="spellEnd"/>
      <w:r w:rsidRPr="002F000E">
        <w:rPr>
          <w:rFonts w:ascii="Arial" w:hAnsi="Arial" w:cs="Arial"/>
        </w:rPr>
        <w:t xml:space="preserve">, </w:t>
      </w:r>
      <w:proofErr w:type="spellStart"/>
      <w:r w:rsidRPr="002F000E">
        <w:rPr>
          <w:rFonts w:ascii="Arial" w:hAnsi="Arial" w:cs="Arial"/>
        </w:rPr>
        <w:t>Bulgan</w:t>
      </w:r>
      <w:proofErr w:type="spellEnd"/>
      <w:r w:rsidRPr="002F000E">
        <w:rPr>
          <w:rFonts w:ascii="Arial" w:hAnsi="Arial" w:cs="Arial"/>
        </w:rPr>
        <w:t xml:space="preserve">, </w:t>
      </w:r>
      <w:proofErr w:type="spellStart"/>
      <w:r w:rsidRPr="002F000E">
        <w:rPr>
          <w:rFonts w:ascii="Arial" w:hAnsi="Arial" w:cs="Arial"/>
        </w:rPr>
        <w:t>Ovorkhangai</w:t>
      </w:r>
      <w:proofErr w:type="spellEnd"/>
      <w:r w:rsidRPr="002F000E">
        <w:rPr>
          <w:rFonts w:ascii="Arial" w:hAnsi="Arial" w:cs="Arial"/>
        </w:rPr>
        <w:t xml:space="preserve">, </w:t>
      </w:r>
      <w:proofErr w:type="spellStart"/>
      <w:r w:rsidRPr="002F000E">
        <w:rPr>
          <w:rFonts w:ascii="Arial" w:hAnsi="Arial" w:cs="Arial"/>
        </w:rPr>
        <w:t>Khovsgol</w:t>
      </w:r>
      <w:proofErr w:type="spellEnd"/>
      <w:r w:rsidRPr="002F000E">
        <w:rPr>
          <w:rFonts w:ascii="Arial" w:hAnsi="Arial" w:cs="Arial"/>
        </w:rPr>
        <w:t xml:space="preserve"> and </w:t>
      </w:r>
      <w:proofErr w:type="spellStart"/>
      <w:r w:rsidRPr="002F000E">
        <w:rPr>
          <w:rFonts w:ascii="Arial" w:hAnsi="Arial" w:cs="Arial"/>
        </w:rPr>
        <w:t>Orkhon</w:t>
      </w:r>
      <w:proofErr w:type="spellEnd"/>
      <w:r w:rsidRPr="002F000E">
        <w:rPr>
          <w:rFonts w:ascii="Arial" w:hAnsi="Arial" w:cs="Arial"/>
        </w:rPr>
        <w:t xml:space="preserve">; the Central </w:t>
      </w:r>
      <w:proofErr w:type="spellStart"/>
      <w:r w:rsidRPr="002F000E">
        <w:rPr>
          <w:rFonts w:ascii="Arial" w:hAnsi="Arial" w:cs="Arial"/>
        </w:rPr>
        <w:t>Dornogovi</w:t>
      </w:r>
      <w:proofErr w:type="spellEnd"/>
      <w:r w:rsidRPr="002F000E">
        <w:rPr>
          <w:rFonts w:ascii="Arial" w:hAnsi="Arial" w:cs="Arial"/>
        </w:rPr>
        <w:t xml:space="preserve">, </w:t>
      </w:r>
      <w:proofErr w:type="spellStart"/>
      <w:r w:rsidRPr="002F000E">
        <w:rPr>
          <w:rFonts w:ascii="Arial" w:hAnsi="Arial" w:cs="Arial"/>
        </w:rPr>
        <w:t>Dundgovi</w:t>
      </w:r>
      <w:proofErr w:type="spellEnd"/>
      <w:r w:rsidRPr="002F000E">
        <w:rPr>
          <w:rFonts w:ascii="Arial" w:hAnsi="Arial" w:cs="Arial"/>
        </w:rPr>
        <w:t xml:space="preserve">, </w:t>
      </w:r>
      <w:proofErr w:type="spellStart"/>
      <w:r w:rsidRPr="002F000E">
        <w:rPr>
          <w:rFonts w:ascii="Arial" w:hAnsi="Arial" w:cs="Arial"/>
        </w:rPr>
        <w:t>Omnogovi</w:t>
      </w:r>
      <w:proofErr w:type="spellEnd"/>
      <w:r w:rsidRPr="002F000E">
        <w:rPr>
          <w:rFonts w:ascii="Arial" w:hAnsi="Arial" w:cs="Arial"/>
        </w:rPr>
        <w:t xml:space="preserve">, </w:t>
      </w:r>
      <w:proofErr w:type="spellStart"/>
      <w:r w:rsidRPr="002F000E">
        <w:rPr>
          <w:rFonts w:ascii="Arial" w:hAnsi="Arial" w:cs="Arial"/>
        </w:rPr>
        <w:t>Govisumber</w:t>
      </w:r>
      <w:proofErr w:type="spellEnd"/>
      <w:r w:rsidRPr="002F000E">
        <w:rPr>
          <w:rFonts w:ascii="Arial" w:hAnsi="Arial" w:cs="Arial"/>
        </w:rPr>
        <w:t xml:space="preserve">, </w:t>
      </w:r>
      <w:proofErr w:type="spellStart"/>
      <w:r w:rsidRPr="002F000E">
        <w:rPr>
          <w:rFonts w:ascii="Arial" w:hAnsi="Arial" w:cs="Arial"/>
        </w:rPr>
        <w:t>Selenge</w:t>
      </w:r>
      <w:proofErr w:type="spellEnd"/>
      <w:r w:rsidRPr="002F000E">
        <w:rPr>
          <w:rFonts w:ascii="Arial" w:hAnsi="Arial" w:cs="Arial"/>
        </w:rPr>
        <w:t xml:space="preserve">, Tov and </w:t>
      </w:r>
      <w:proofErr w:type="spellStart"/>
      <w:r w:rsidRPr="002F000E">
        <w:rPr>
          <w:rFonts w:ascii="Arial" w:hAnsi="Arial" w:cs="Arial"/>
        </w:rPr>
        <w:t>Darkhan-Uul</w:t>
      </w:r>
      <w:proofErr w:type="spellEnd"/>
      <w:r w:rsidRPr="002F000E">
        <w:rPr>
          <w:rFonts w:ascii="Arial" w:hAnsi="Arial" w:cs="Arial"/>
        </w:rPr>
        <w:t xml:space="preserve">; and the East </w:t>
      </w:r>
      <w:proofErr w:type="spellStart"/>
      <w:r w:rsidRPr="002F000E">
        <w:rPr>
          <w:rFonts w:ascii="Arial" w:hAnsi="Arial" w:cs="Arial"/>
        </w:rPr>
        <w:t>Dornod</w:t>
      </w:r>
      <w:proofErr w:type="spellEnd"/>
      <w:r w:rsidRPr="002F000E">
        <w:rPr>
          <w:rFonts w:ascii="Arial" w:hAnsi="Arial" w:cs="Arial"/>
        </w:rPr>
        <w:t xml:space="preserve">, </w:t>
      </w:r>
      <w:proofErr w:type="spellStart"/>
      <w:r w:rsidRPr="002F000E">
        <w:rPr>
          <w:rFonts w:ascii="Arial" w:hAnsi="Arial" w:cs="Arial"/>
        </w:rPr>
        <w:t>Sukhbaatar</w:t>
      </w:r>
      <w:proofErr w:type="spellEnd"/>
      <w:r w:rsidRPr="002F000E">
        <w:rPr>
          <w:rFonts w:ascii="Arial" w:hAnsi="Arial" w:cs="Arial"/>
        </w:rPr>
        <w:t xml:space="preserve">; and </w:t>
      </w:r>
      <w:proofErr w:type="spellStart"/>
      <w:r w:rsidRPr="002F000E">
        <w:rPr>
          <w:rFonts w:ascii="Arial" w:hAnsi="Arial" w:cs="Arial"/>
        </w:rPr>
        <w:t>Khentii</w:t>
      </w:r>
      <w:proofErr w:type="spellEnd"/>
      <w:r w:rsidRPr="002F000E">
        <w:rPr>
          <w:rFonts w:ascii="Arial" w:hAnsi="Arial" w:cs="Arial"/>
        </w:rPr>
        <w:t>.</w:t>
      </w:r>
      <w:r w:rsidRPr="002F000E">
        <w:t xml:space="preserve">  </w:t>
      </w:r>
    </w:p>
    <w:p w14:paraId="34394BFD" w14:textId="45CDC99B" w:rsidR="007C5DA0" w:rsidRDefault="007C5DA0">
      <w:pPr>
        <w:pStyle w:val="FootnoteText"/>
      </w:pPr>
    </w:p>
  </w:footnote>
  <w:footnote w:id="5">
    <w:p w14:paraId="58D10AF7" w14:textId="42F4672D" w:rsidR="007C5DA0" w:rsidRPr="00125EBB" w:rsidRDefault="007C5DA0">
      <w:pPr>
        <w:pStyle w:val="FootnoteText"/>
      </w:pPr>
      <w:r>
        <w:rPr>
          <w:rStyle w:val="FootnoteReference"/>
        </w:rPr>
        <w:footnoteRef/>
      </w:r>
      <w:r w:rsidRPr="00125EBB">
        <w:rPr>
          <w:rFonts w:ascii="Arial" w:eastAsiaTheme="minorEastAsia" w:hAnsi="Arial" w:cs="Arial"/>
          <w:lang w:val="mn-MN"/>
        </w:rPr>
        <w:t>A completely equal distribution</w:t>
      </w:r>
      <w:r w:rsidRPr="00125EBB">
        <w:rPr>
          <w:rFonts w:ascii="Arial" w:eastAsiaTheme="minorEastAsia" w:hAnsi="Arial" w:cs="Arial"/>
        </w:rPr>
        <w:t xml:space="preserve"> </w:t>
      </w:r>
      <w:r w:rsidRPr="00125EBB">
        <w:rPr>
          <w:rFonts w:ascii="Arial" w:eastAsiaTheme="minorEastAsia" w:hAnsi="Arial" w:cs="Arial"/>
          <w:lang w:val="mn-MN"/>
        </w:rPr>
        <w:t>of expenditure is represented by the 45 degree line where the 20 percent poorest</w:t>
      </w:r>
      <w:r w:rsidRPr="00125EBB">
        <w:rPr>
          <w:rFonts w:ascii="Arial" w:eastAsiaTheme="minorEastAsia" w:hAnsi="Arial" w:cs="Arial"/>
        </w:rPr>
        <w:t xml:space="preserve"> </w:t>
      </w:r>
      <w:r w:rsidRPr="00125EBB">
        <w:rPr>
          <w:rFonts w:ascii="Arial" w:eastAsiaTheme="minorEastAsia" w:hAnsi="Arial" w:cs="Arial"/>
          <w:lang w:val="mn-MN"/>
        </w:rPr>
        <w:t>individuals receive 20 percent of the subsidy</w:t>
      </w:r>
      <w:r>
        <w:rPr>
          <w:rFonts w:ascii="Arial" w:eastAsiaTheme="minorEastAsia" w:hAnsi="Arial" w:cs="Arial"/>
          <w:lang w:val="mn-MN"/>
        </w:rPr>
        <w:t>.</w:t>
      </w:r>
    </w:p>
  </w:footnote>
  <w:footnote w:id="6">
    <w:p w14:paraId="24F2915F" w14:textId="77777777" w:rsidR="007C5DA0" w:rsidRPr="008D0A13" w:rsidRDefault="007C5DA0" w:rsidP="008D0A13">
      <w:pPr>
        <w:pStyle w:val="FootnoteText"/>
        <w:jc w:val="both"/>
        <w:rPr>
          <w:rFonts w:ascii="Arial" w:hAnsi="Arial" w:cs="Arial"/>
        </w:rPr>
      </w:pPr>
      <w:r w:rsidRPr="008D0A13">
        <w:rPr>
          <w:rStyle w:val="FootnoteReference"/>
          <w:rFonts w:ascii="Arial" w:hAnsi="Arial" w:cs="Arial"/>
        </w:rPr>
        <w:footnoteRef/>
      </w:r>
      <w:r w:rsidRPr="008D0A13">
        <w:rPr>
          <w:rFonts w:ascii="Arial" w:hAnsi="Arial" w:cs="Arial"/>
        </w:rPr>
        <w:t xml:space="preserve"> World Bank. 2010. </w:t>
      </w:r>
      <w:r w:rsidRPr="008D0A13">
        <w:rPr>
          <w:rFonts w:ascii="Arial" w:hAnsi="Arial" w:cs="Arial"/>
          <w:i/>
        </w:rPr>
        <w:t xml:space="preserve">Managing urban expansion in Mongolia: best practices in scenario based urban planning. </w:t>
      </w:r>
      <w:r w:rsidRPr="008D0A13">
        <w:rPr>
          <w:rFonts w:ascii="Arial" w:hAnsi="Arial" w:cs="Arial"/>
        </w:rPr>
        <w:t>Washington, DC</w:t>
      </w:r>
    </w:p>
  </w:footnote>
  <w:footnote w:id="7">
    <w:p w14:paraId="1705C806" w14:textId="16131D0C" w:rsidR="007C5DA0" w:rsidRPr="00F33A5E" w:rsidRDefault="007C5DA0" w:rsidP="00F33A5E">
      <w:pPr>
        <w:pStyle w:val="FootnoteText"/>
        <w:jc w:val="both"/>
        <w:rPr>
          <w:rFonts w:ascii="Arial" w:hAnsi="Arial" w:cs="Arial"/>
        </w:rPr>
      </w:pPr>
      <w:r w:rsidRPr="00F33A5E">
        <w:rPr>
          <w:rStyle w:val="FootnoteReference"/>
          <w:rFonts w:ascii="Arial" w:hAnsi="Arial" w:cs="Arial"/>
        </w:rPr>
        <w:footnoteRef/>
      </w:r>
      <w:r w:rsidRPr="00F33A5E">
        <w:rPr>
          <w:rFonts w:ascii="Arial" w:hAnsi="Arial" w:cs="Arial"/>
        </w:rPr>
        <w:t xml:space="preserve"> </w:t>
      </w:r>
      <w:proofErr w:type="gramStart"/>
      <w:r w:rsidRPr="00F33A5E">
        <w:rPr>
          <w:rFonts w:ascii="Arial" w:hAnsi="Arial" w:cs="Arial"/>
        </w:rPr>
        <w:t>Provider payment assessment, Ministry of Health.</w:t>
      </w:r>
      <w:proofErr w:type="gramEnd"/>
      <w:r w:rsidRPr="00F33A5E">
        <w:rPr>
          <w:rFonts w:ascii="Arial" w:hAnsi="Arial" w:cs="Arial"/>
        </w:rPr>
        <w:t xml:space="preserve"> World Health </w:t>
      </w:r>
      <w:proofErr w:type="spellStart"/>
      <w:r w:rsidRPr="00F33A5E">
        <w:rPr>
          <w:rFonts w:ascii="Arial" w:hAnsi="Arial" w:cs="Arial"/>
        </w:rPr>
        <w:t>Orgnization</w:t>
      </w:r>
      <w:proofErr w:type="spellEnd"/>
      <w:r w:rsidRPr="00F33A5E">
        <w:rPr>
          <w:rFonts w:ascii="Arial" w:hAnsi="Arial" w:cs="Arial"/>
        </w:rPr>
        <w:t xml:space="preserve"> and World Bank, 2015</w:t>
      </w:r>
    </w:p>
  </w:footnote>
  <w:footnote w:id="8">
    <w:p w14:paraId="65FC75B2" w14:textId="68ECB72F" w:rsidR="007C5DA0" w:rsidRPr="008D0A13" w:rsidRDefault="007C5DA0" w:rsidP="008D0A13">
      <w:pPr>
        <w:pStyle w:val="FootnoteText"/>
        <w:jc w:val="both"/>
        <w:rPr>
          <w:rFonts w:ascii="Arial" w:hAnsi="Arial" w:cs="Arial"/>
        </w:rPr>
      </w:pPr>
      <w:r w:rsidRPr="008D0A13">
        <w:rPr>
          <w:rStyle w:val="FootnoteReference"/>
          <w:rFonts w:ascii="Arial" w:hAnsi="Arial" w:cs="Arial"/>
        </w:rPr>
        <w:footnoteRef/>
      </w:r>
      <w:r w:rsidRPr="008D0A13">
        <w:rPr>
          <w:rFonts w:ascii="Arial" w:hAnsi="Arial" w:cs="Arial"/>
        </w:rPr>
        <w:t xml:space="preserve">The </w:t>
      </w:r>
      <w:proofErr w:type="gramStart"/>
      <w:r w:rsidRPr="008D0A13">
        <w:rPr>
          <w:rFonts w:ascii="Arial" w:hAnsi="Arial" w:cs="Arial"/>
        </w:rPr>
        <w:t>medicines included in the national essential list of drugs are covered by the Mongolian Social Health Insurance</w:t>
      </w:r>
      <w:proofErr w:type="gramEnd"/>
      <w:r w:rsidRPr="008D0A13">
        <w:rPr>
          <w:rFonts w:ascii="Arial" w:hAnsi="Arial" w:cs="Arial"/>
        </w:rPr>
        <w:t xml:space="preserve"> with copayment by the insured when prescribed by primary health care doctors. This arrangement is called the health insurance drug price discoun</w:t>
      </w:r>
      <w:r>
        <w:rPr>
          <w:rFonts w:ascii="Arial" w:hAnsi="Arial" w:cs="Arial"/>
        </w:rPr>
        <w:t>t system. Currently, 339 drugs of 134</w:t>
      </w:r>
      <w:r w:rsidRPr="008D0A13">
        <w:rPr>
          <w:rFonts w:ascii="Arial" w:hAnsi="Arial" w:cs="Arial"/>
        </w:rPr>
        <w:t xml:space="preserve"> types are included under the drug price discount system.</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87ABB"/>
    <w:multiLevelType w:val="hybridMultilevel"/>
    <w:tmpl w:val="FBB88CF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720" w:hanging="360"/>
      </w:pPr>
      <w:rPr>
        <w:rFonts w:ascii="Courier New" w:hAnsi="Courier New" w:hint="default"/>
      </w:rPr>
    </w:lvl>
    <w:lvl w:ilvl="2" w:tplc="04090005">
      <w:start w:val="1"/>
      <w:numFmt w:val="bullet"/>
      <w:lvlText w:val=""/>
      <w:lvlJc w:val="left"/>
      <w:pPr>
        <w:ind w:left="0" w:hanging="360"/>
      </w:pPr>
      <w:rPr>
        <w:rFonts w:ascii="Wingdings" w:hAnsi="Wingdings" w:hint="default"/>
      </w:rPr>
    </w:lvl>
    <w:lvl w:ilvl="3" w:tplc="04090001">
      <w:start w:val="1"/>
      <w:numFmt w:val="bullet"/>
      <w:lvlText w:val=""/>
      <w:lvlJc w:val="left"/>
      <w:pPr>
        <w:ind w:left="720" w:hanging="360"/>
      </w:pPr>
      <w:rPr>
        <w:rFonts w:ascii="Symbol" w:hAnsi="Symbol" w:hint="default"/>
      </w:rPr>
    </w:lvl>
    <w:lvl w:ilvl="4" w:tplc="04090003" w:tentative="1">
      <w:start w:val="1"/>
      <w:numFmt w:val="bullet"/>
      <w:lvlText w:val="o"/>
      <w:lvlJc w:val="left"/>
      <w:pPr>
        <w:ind w:left="1440" w:hanging="360"/>
      </w:pPr>
      <w:rPr>
        <w:rFonts w:ascii="Courier New" w:hAnsi="Courier New"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880" w:hanging="360"/>
      </w:pPr>
      <w:rPr>
        <w:rFonts w:ascii="Symbol" w:hAnsi="Symbol" w:hint="default"/>
      </w:rPr>
    </w:lvl>
    <w:lvl w:ilvl="7" w:tplc="04090003" w:tentative="1">
      <w:start w:val="1"/>
      <w:numFmt w:val="bullet"/>
      <w:lvlText w:val="o"/>
      <w:lvlJc w:val="left"/>
      <w:pPr>
        <w:ind w:left="3600" w:hanging="360"/>
      </w:pPr>
      <w:rPr>
        <w:rFonts w:ascii="Courier New" w:hAnsi="Courier New" w:hint="default"/>
      </w:rPr>
    </w:lvl>
    <w:lvl w:ilvl="8" w:tplc="04090005" w:tentative="1">
      <w:start w:val="1"/>
      <w:numFmt w:val="bullet"/>
      <w:lvlText w:val=""/>
      <w:lvlJc w:val="left"/>
      <w:pPr>
        <w:ind w:left="4320" w:hanging="360"/>
      </w:pPr>
      <w:rPr>
        <w:rFonts w:ascii="Wingdings" w:hAnsi="Wingdings" w:hint="default"/>
      </w:rPr>
    </w:lvl>
  </w:abstractNum>
  <w:abstractNum w:abstractNumId="1">
    <w:nsid w:val="011E141E"/>
    <w:multiLevelType w:val="hybridMultilevel"/>
    <w:tmpl w:val="00BEE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075267"/>
    <w:multiLevelType w:val="hybridMultilevel"/>
    <w:tmpl w:val="7F5445DE"/>
    <w:lvl w:ilvl="0" w:tplc="0450000F">
      <w:start w:val="1"/>
      <w:numFmt w:val="decimal"/>
      <w:lvlText w:val="%1."/>
      <w:lvlJc w:val="left"/>
      <w:pPr>
        <w:ind w:left="720" w:hanging="360"/>
      </w:pPr>
      <w:rPr>
        <w:rFonts w:hint="default"/>
      </w:rPr>
    </w:lvl>
    <w:lvl w:ilvl="1" w:tplc="04500019" w:tentative="1">
      <w:start w:val="1"/>
      <w:numFmt w:val="lowerLetter"/>
      <w:lvlText w:val="%2."/>
      <w:lvlJc w:val="left"/>
      <w:pPr>
        <w:ind w:left="1440" w:hanging="360"/>
      </w:pPr>
    </w:lvl>
    <w:lvl w:ilvl="2" w:tplc="0450001B" w:tentative="1">
      <w:start w:val="1"/>
      <w:numFmt w:val="lowerRoman"/>
      <w:lvlText w:val="%3."/>
      <w:lvlJc w:val="right"/>
      <w:pPr>
        <w:ind w:left="2160" w:hanging="180"/>
      </w:pPr>
    </w:lvl>
    <w:lvl w:ilvl="3" w:tplc="0450000F" w:tentative="1">
      <w:start w:val="1"/>
      <w:numFmt w:val="decimal"/>
      <w:lvlText w:val="%4."/>
      <w:lvlJc w:val="left"/>
      <w:pPr>
        <w:ind w:left="2880" w:hanging="360"/>
      </w:pPr>
    </w:lvl>
    <w:lvl w:ilvl="4" w:tplc="04500019" w:tentative="1">
      <w:start w:val="1"/>
      <w:numFmt w:val="lowerLetter"/>
      <w:lvlText w:val="%5."/>
      <w:lvlJc w:val="left"/>
      <w:pPr>
        <w:ind w:left="3600" w:hanging="360"/>
      </w:pPr>
    </w:lvl>
    <w:lvl w:ilvl="5" w:tplc="0450001B" w:tentative="1">
      <w:start w:val="1"/>
      <w:numFmt w:val="lowerRoman"/>
      <w:lvlText w:val="%6."/>
      <w:lvlJc w:val="right"/>
      <w:pPr>
        <w:ind w:left="4320" w:hanging="180"/>
      </w:pPr>
    </w:lvl>
    <w:lvl w:ilvl="6" w:tplc="0450000F" w:tentative="1">
      <w:start w:val="1"/>
      <w:numFmt w:val="decimal"/>
      <w:lvlText w:val="%7."/>
      <w:lvlJc w:val="left"/>
      <w:pPr>
        <w:ind w:left="5040" w:hanging="360"/>
      </w:pPr>
    </w:lvl>
    <w:lvl w:ilvl="7" w:tplc="04500019" w:tentative="1">
      <w:start w:val="1"/>
      <w:numFmt w:val="lowerLetter"/>
      <w:lvlText w:val="%8."/>
      <w:lvlJc w:val="left"/>
      <w:pPr>
        <w:ind w:left="5760" w:hanging="360"/>
      </w:pPr>
    </w:lvl>
    <w:lvl w:ilvl="8" w:tplc="0450001B" w:tentative="1">
      <w:start w:val="1"/>
      <w:numFmt w:val="lowerRoman"/>
      <w:lvlText w:val="%9."/>
      <w:lvlJc w:val="right"/>
      <w:pPr>
        <w:ind w:left="6480" w:hanging="180"/>
      </w:pPr>
    </w:lvl>
  </w:abstractNum>
  <w:abstractNum w:abstractNumId="3">
    <w:nsid w:val="0B347894"/>
    <w:multiLevelType w:val="hybridMultilevel"/>
    <w:tmpl w:val="162CFC9C"/>
    <w:lvl w:ilvl="0" w:tplc="04090017">
      <w:start w:val="1"/>
      <w:numFmt w:val="lowerLetter"/>
      <w:lvlText w:val="%1)"/>
      <w:lvlJc w:val="left"/>
      <w:pPr>
        <w:ind w:left="360" w:hanging="360"/>
      </w:pPr>
    </w:lvl>
    <w:lvl w:ilvl="1" w:tplc="04500019" w:tentative="1">
      <w:start w:val="1"/>
      <w:numFmt w:val="lowerLetter"/>
      <w:lvlText w:val="%2."/>
      <w:lvlJc w:val="left"/>
      <w:pPr>
        <w:ind w:left="1440" w:hanging="360"/>
      </w:pPr>
    </w:lvl>
    <w:lvl w:ilvl="2" w:tplc="0450001B" w:tentative="1">
      <w:start w:val="1"/>
      <w:numFmt w:val="lowerRoman"/>
      <w:lvlText w:val="%3."/>
      <w:lvlJc w:val="right"/>
      <w:pPr>
        <w:ind w:left="2160" w:hanging="180"/>
      </w:pPr>
    </w:lvl>
    <w:lvl w:ilvl="3" w:tplc="0450000F" w:tentative="1">
      <w:start w:val="1"/>
      <w:numFmt w:val="decimal"/>
      <w:lvlText w:val="%4."/>
      <w:lvlJc w:val="left"/>
      <w:pPr>
        <w:ind w:left="2880" w:hanging="360"/>
      </w:pPr>
    </w:lvl>
    <w:lvl w:ilvl="4" w:tplc="04500019" w:tentative="1">
      <w:start w:val="1"/>
      <w:numFmt w:val="lowerLetter"/>
      <w:lvlText w:val="%5."/>
      <w:lvlJc w:val="left"/>
      <w:pPr>
        <w:ind w:left="3600" w:hanging="360"/>
      </w:pPr>
    </w:lvl>
    <w:lvl w:ilvl="5" w:tplc="0450001B" w:tentative="1">
      <w:start w:val="1"/>
      <w:numFmt w:val="lowerRoman"/>
      <w:lvlText w:val="%6."/>
      <w:lvlJc w:val="right"/>
      <w:pPr>
        <w:ind w:left="4320" w:hanging="180"/>
      </w:pPr>
    </w:lvl>
    <w:lvl w:ilvl="6" w:tplc="0450000F" w:tentative="1">
      <w:start w:val="1"/>
      <w:numFmt w:val="decimal"/>
      <w:lvlText w:val="%7."/>
      <w:lvlJc w:val="left"/>
      <w:pPr>
        <w:ind w:left="5040" w:hanging="360"/>
      </w:pPr>
    </w:lvl>
    <w:lvl w:ilvl="7" w:tplc="04500019" w:tentative="1">
      <w:start w:val="1"/>
      <w:numFmt w:val="lowerLetter"/>
      <w:lvlText w:val="%8."/>
      <w:lvlJc w:val="left"/>
      <w:pPr>
        <w:ind w:left="5760" w:hanging="360"/>
      </w:pPr>
    </w:lvl>
    <w:lvl w:ilvl="8" w:tplc="0450001B" w:tentative="1">
      <w:start w:val="1"/>
      <w:numFmt w:val="lowerRoman"/>
      <w:lvlText w:val="%9."/>
      <w:lvlJc w:val="right"/>
      <w:pPr>
        <w:ind w:left="6480" w:hanging="180"/>
      </w:pPr>
    </w:lvl>
  </w:abstractNum>
  <w:abstractNum w:abstractNumId="4">
    <w:nsid w:val="14EA1B47"/>
    <w:multiLevelType w:val="hybridMultilevel"/>
    <w:tmpl w:val="558A0A38"/>
    <w:lvl w:ilvl="0" w:tplc="04500001">
      <w:start w:val="1"/>
      <w:numFmt w:val="bullet"/>
      <w:lvlText w:val=""/>
      <w:lvlJc w:val="left"/>
      <w:pPr>
        <w:ind w:left="720" w:hanging="360"/>
      </w:pPr>
      <w:rPr>
        <w:rFonts w:ascii="Symbol" w:hAnsi="Symbol" w:hint="default"/>
      </w:rPr>
    </w:lvl>
    <w:lvl w:ilvl="1" w:tplc="04500003" w:tentative="1">
      <w:start w:val="1"/>
      <w:numFmt w:val="bullet"/>
      <w:lvlText w:val="o"/>
      <w:lvlJc w:val="left"/>
      <w:pPr>
        <w:ind w:left="1440" w:hanging="360"/>
      </w:pPr>
      <w:rPr>
        <w:rFonts w:ascii="Courier New" w:hAnsi="Courier New" w:cs="Courier New" w:hint="default"/>
      </w:rPr>
    </w:lvl>
    <w:lvl w:ilvl="2" w:tplc="04500005" w:tentative="1">
      <w:start w:val="1"/>
      <w:numFmt w:val="bullet"/>
      <w:lvlText w:val=""/>
      <w:lvlJc w:val="left"/>
      <w:pPr>
        <w:ind w:left="2160" w:hanging="360"/>
      </w:pPr>
      <w:rPr>
        <w:rFonts w:ascii="Wingdings" w:hAnsi="Wingdings" w:hint="default"/>
      </w:rPr>
    </w:lvl>
    <w:lvl w:ilvl="3" w:tplc="04500001" w:tentative="1">
      <w:start w:val="1"/>
      <w:numFmt w:val="bullet"/>
      <w:lvlText w:val=""/>
      <w:lvlJc w:val="left"/>
      <w:pPr>
        <w:ind w:left="2880" w:hanging="360"/>
      </w:pPr>
      <w:rPr>
        <w:rFonts w:ascii="Symbol" w:hAnsi="Symbol" w:hint="default"/>
      </w:rPr>
    </w:lvl>
    <w:lvl w:ilvl="4" w:tplc="04500003" w:tentative="1">
      <w:start w:val="1"/>
      <w:numFmt w:val="bullet"/>
      <w:lvlText w:val="o"/>
      <w:lvlJc w:val="left"/>
      <w:pPr>
        <w:ind w:left="3600" w:hanging="360"/>
      </w:pPr>
      <w:rPr>
        <w:rFonts w:ascii="Courier New" w:hAnsi="Courier New" w:cs="Courier New" w:hint="default"/>
      </w:rPr>
    </w:lvl>
    <w:lvl w:ilvl="5" w:tplc="04500005" w:tentative="1">
      <w:start w:val="1"/>
      <w:numFmt w:val="bullet"/>
      <w:lvlText w:val=""/>
      <w:lvlJc w:val="left"/>
      <w:pPr>
        <w:ind w:left="4320" w:hanging="360"/>
      </w:pPr>
      <w:rPr>
        <w:rFonts w:ascii="Wingdings" w:hAnsi="Wingdings" w:hint="default"/>
      </w:rPr>
    </w:lvl>
    <w:lvl w:ilvl="6" w:tplc="04500001" w:tentative="1">
      <w:start w:val="1"/>
      <w:numFmt w:val="bullet"/>
      <w:lvlText w:val=""/>
      <w:lvlJc w:val="left"/>
      <w:pPr>
        <w:ind w:left="5040" w:hanging="360"/>
      </w:pPr>
      <w:rPr>
        <w:rFonts w:ascii="Symbol" w:hAnsi="Symbol" w:hint="default"/>
      </w:rPr>
    </w:lvl>
    <w:lvl w:ilvl="7" w:tplc="04500003" w:tentative="1">
      <w:start w:val="1"/>
      <w:numFmt w:val="bullet"/>
      <w:lvlText w:val="o"/>
      <w:lvlJc w:val="left"/>
      <w:pPr>
        <w:ind w:left="5760" w:hanging="360"/>
      </w:pPr>
      <w:rPr>
        <w:rFonts w:ascii="Courier New" w:hAnsi="Courier New" w:cs="Courier New" w:hint="default"/>
      </w:rPr>
    </w:lvl>
    <w:lvl w:ilvl="8" w:tplc="04500005" w:tentative="1">
      <w:start w:val="1"/>
      <w:numFmt w:val="bullet"/>
      <w:lvlText w:val=""/>
      <w:lvlJc w:val="left"/>
      <w:pPr>
        <w:ind w:left="6480" w:hanging="360"/>
      </w:pPr>
      <w:rPr>
        <w:rFonts w:ascii="Wingdings" w:hAnsi="Wingdings" w:hint="default"/>
      </w:rPr>
    </w:lvl>
  </w:abstractNum>
  <w:abstractNum w:abstractNumId="5">
    <w:nsid w:val="1F164FA8"/>
    <w:multiLevelType w:val="hybridMultilevel"/>
    <w:tmpl w:val="43B8808C"/>
    <w:lvl w:ilvl="0" w:tplc="0450000F">
      <w:start w:val="1"/>
      <w:numFmt w:val="decimal"/>
      <w:lvlText w:val="%1."/>
      <w:lvlJc w:val="left"/>
      <w:pPr>
        <w:ind w:left="720" w:hanging="360"/>
      </w:pPr>
    </w:lvl>
    <w:lvl w:ilvl="1" w:tplc="04500019" w:tentative="1">
      <w:start w:val="1"/>
      <w:numFmt w:val="lowerLetter"/>
      <w:lvlText w:val="%2."/>
      <w:lvlJc w:val="left"/>
      <w:pPr>
        <w:ind w:left="1440" w:hanging="360"/>
      </w:pPr>
    </w:lvl>
    <w:lvl w:ilvl="2" w:tplc="0450001B" w:tentative="1">
      <w:start w:val="1"/>
      <w:numFmt w:val="lowerRoman"/>
      <w:lvlText w:val="%3."/>
      <w:lvlJc w:val="right"/>
      <w:pPr>
        <w:ind w:left="2160" w:hanging="180"/>
      </w:pPr>
    </w:lvl>
    <w:lvl w:ilvl="3" w:tplc="0450000F" w:tentative="1">
      <w:start w:val="1"/>
      <w:numFmt w:val="decimal"/>
      <w:lvlText w:val="%4."/>
      <w:lvlJc w:val="left"/>
      <w:pPr>
        <w:ind w:left="2880" w:hanging="360"/>
      </w:pPr>
    </w:lvl>
    <w:lvl w:ilvl="4" w:tplc="04500019" w:tentative="1">
      <w:start w:val="1"/>
      <w:numFmt w:val="lowerLetter"/>
      <w:lvlText w:val="%5."/>
      <w:lvlJc w:val="left"/>
      <w:pPr>
        <w:ind w:left="3600" w:hanging="360"/>
      </w:pPr>
    </w:lvl>
    <w:lvl w:ilvl="5" w:tplc="0450001B" w:tentative="1">
      <w:start w:val="1"/>
      <w:numFmt w:val="lowerRoman"/>
      <w:lvlText w:val="%6."/>
      <w:lvlJc w:val="right"/>
      <w:pPr>
        <w:ind w:left="4320" w:hanging="180"/>
      </w:pPr>
    </w:lvl>
    <w:lvl w:ilvl="6" w:tplc="0450000F" w:tentative="1">
      <w:start w:val="1"/>
      <w:numFmt w:val="decimal"/>
      <w:lvlText w:val="%7."/>
      <w:lvlJc w:val="left"/>
      <w:pPr>
        <w:ind w:left="5040" w:hanging="360"/>
      </w:pPr>
    </w:lvl>
    <w:lvl w:ilvl="7" w:tplc="04500019" w:tentative="1">
      <w:start w:val="1"/>
      <w:numFmt w:val="lowerLetter"/>
      <w:lvlText w:val="%8."/>
      <w:lvlJc w:val="left"/>
      <w:pPr>
        <w:ind w:left="5760" w:hanging="360"/>
      </w:pPr>
    </w:lvl>
    <w:lvl w:ilvl="8" w:tplc="0450001B" w:tentative="1">
      <w:start w:val="1"/>
      <w:numFmt w:val="lowerRoman"/>
      <w:lvlText w:val="%9."/>
      <w:lvlJc w:val="right"/>
      <w:pPr>
        <w:ind w:left="6480" w:hanging="180"/>
      </w:pPr>
    </w:lvl>
  </w:abstractNum>
  <w:abstractNum w:abstractNumId="6">
    <w:nsid w:val="22D626F3"/>
    <w:multiLevelType w:val="hybridMultilevel"/>
    <w:tmpl w:val="0A3857A8"/>
    <w:lvl w:ilvl="0" w:tplc="04090017">
      <w:start w:val="1"/>
      <w:numFmt w:val="lowerLetter"/>
      <w:lvlText w:val="%1)"/>
      <w:lvlJc w:val="left"/>
      <w:pPr>
        <w:ind w:left="900" w:hanging="360"/>
      </w:pPr>
    </w:lvl>
    <w:lvl w:ilvl="1" w:tplc="04500019" w:tentative="1">
      <w:start w:val="1"/>
      <w:numFmt w:val="lowerLetter"/>
      <w:lvlText w:val="%2."/>
      <w:lvlJc w:val="left"/>
      <w:pPr>
        <w:ind w:left="1440" w:hanging="360"/>
      </w:pPr>
    </w:lvl>
    <w:lvl w:ilvl="2" w:tplc="0450001B" w:tentative="1">
      <w:start w:val="1"/>
      <w:numFmt w:val="lowerRoman"/>
      <w:lvlText w:val="%3."/>
      <w:lvlJc w:val="right"/>
      <w:pPr>
        <w:ind w:left="2160" w:hanging="180"/>
      </w:pPr>
    </w:lvl>
    <w:lvl w:ilvl="3" w:tplc="0450000F" w:tentative="1">
      <w:start w:val="1"/>
      <w:numFmt w:val="decimal"/>
      <w:lvlText w:val="%4."/>
      <w:lvlJc w:val="left"/>
      <w:pPr>
        <w:ind w:left="2880" w:hanging="360"/>
      </w:pPr>
    </w:lvl>
    <w:lvl w:ilvl="4" w:tplc="04500019" w:tentative="1">
      <w:start w:val="1"/>
      <w:numFmt w:val="lowerLetter"/>
      <w:lvlText w:val="%5."/>
      <w:lvlJc w:val="left"/>
      <w:pPr>
        <w:ind w:left="3600" w:hanging="360"/>
      </w:pPr>
    </w:lvl>
    <w:lvl w:ilvl="5" w:tplc="0450001B" w:tentative="1">
      <w:start w:val="1"/>
      <w:numFmt w:val="lowerRoman"/>
      <w:lvlText w:val="%6."/>
      <w:lvlJc w:val="right"/>
      <w:pPr>
        <w:ind w:left="4320" w:hanging="180"/>
      </w:pPr>
    </w:lvl>
    <w:lvl w:ilvl="6" w:tplc="0450000F" w:tentative="1">
      <w:start w:val="1"/>
      <w:numFmt w:val="decimal"/>
      <w:lvlText w:val="%7."/>
      <w:lvlJc w:val="left"/>
      <w:pPr>
        <w:ind w:left="5040" w:hanging="360"/>
      </w:pPr>
    </w:lvl>
    <w:lvl w:ilvl="7" w:tplc="04500019" w:tentative="1">
      <w:start w:val="1"/>
      <w:numFmt w:val="lowerLetter"/>
      <w:lvlText w:val="%8."/>
      <w:lvlJc w:val="left"/>
      <w:pPr>
        <w:ind w:left="5760" w:hanging="360"/>
      </w:pPr>
    </w:lvl>
    <w:lvl w:ilvl="8" w:tplc="0450001B" w:tentative="1">
      <w:start w:val="1"/>
      <w:numFmt w:val="lowerRoman"/>
      <w:lvlText w:val="%9."/>
      <w:lvlJc w:val="right"/>
      <w:pPr>
        <w:ind w:left="6480" w:hanging="180"/>
      </w:pPr>
    </w:lvl>
  </w:abstractNum>
  <w:abstractNum w:abstractNumId="7">
    <w:nsid w:val="23065E7C"/>
    <w:multiLevelType w:val="hybridMultilevel"/>
    <w:tmpl w:val="95A8D80A"/>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DB10FB2"/>
    <w:multiLevelType w:val="hybridMultilevel"/>
    <w:tmpl w:val="AB0ED34C"/>
    <w:lvl w:ilvl="0" w:tplc="5B88F8E6">
      <w:start w:val="1"/>
      <w:numFmt w:val="decimal"/>
      <w:lvlText w:val="(%1)"/>
      <w:lvlJc w:val="left"/>
      <w:pPr>
        <w:ind w:left="900" w:hanging="360"/>
      </w:pPr>
      <w:rPr>
        <w:rFonts w:hint="default"/>
      </w:rPr>
    </w:lvl>
    <w:lvl w:ilvl="1" w:tplc="08090019">
      <w:start w:val="1"/>
      <w:numFmt w:val="lowerLetter"/>
      <w:lvlText w:val="%2."/>
      <w:lvlJc w:val="left"/>
      <w:pPr>
        <w:ind w:left="1620" w:hanging="360"/>
      </w:pPr>
    </w:lvl>
    <w:lvl w:ilvl="2" w:tplc="04090017">
      <w:start w:val="1"/>
      <w:numFmt w:val="lowerLetter"/>
      <w:lvlText w:val="%3)"/>
      <w:lvlJc w:val="left"/>
      <w:pPr>
        <w:ind w:left="900" w:hanging="360"/>
      </w:pPr>
    </w:lvl>
    <w:lvl w:ilvl="3" w:tplc="0809000F">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9">
    <w:nsid w:val="2ED01628"/>
    <w:multiLevelType w:val="hybridMultilevel"/>
    <w:tmpl w:val="3F5AE4B4"/>
    <w:lvl w:ilvl="0" w:tplc="5B88F8E6">
      <w:start w:val="1"/>
      <w:numFmt w:val="decimal"/>
      <w:lvlText w:val="(%1)"/>
      <w:lvlJc w:val="left"/>
      <w:pPr>
        <w:ind w:left="900" w:hanging="360"/>
      </w:pPr>
      <w:rPr>
        <w:rFonts w:hint="default"/>
      </w:rPr>
    </w:lvl>
    <w:lvl w:ilvl="1" w:tplc="08090019">
      <w:start w:val="1"/>
      <w:numFmt w:val="lowerLetter"/>
      <w:lvlText w:val="%2."/>
      <w:lvlJc w:val="left"/>
      <w:pPr>
        <w:ind w:left="1620" w:hanging="360"/>
      </w:pPr>
    </w:lvl>
    <w:lvl w:ilvl="2" w:tplc="0809001B">
      <w:start w:val="1"/>
      <w:numFmt w:val="lowerRoman"/>
      <w:lvlText w:val="%3."/>
      <w:lvlJc w:val="right"/>
      <w:pPr>
        <w:ind w:left="2340" w:hanging="180"/>
      </w:pPr>
    </w:lvl>
    <w:lvl w:ilvl="3" w:tplc="0809000F">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10">
    <w:nsid w:val="36AB0B74"/>
    <w:multiLevelType w:val="hybridMultilevel"/>
    <w:tmpl w:val="082AA97C"/>
    <w:lvl w:ilvl="0" w:tplc="04090017">
      <w:start w:val="1"/>
      <w:numFmt w:val="lowerLetter"/>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1">
    <w:nsid w:val="384A38E8"/>
    <w:multiLevelType w:val="hybridMultilevel"/>
    <w:tmpl w:val="B404738A"/>
    <w:lvl w:ilvl="0" w:tplc="04500001">
      <w:start w:val="1"/>
      <w:numFmt w:val="bullet"/>
      <w:lvlText w:val=""/>
      <w:lvlJc w:val="left"/>
      <w:pPr>
        <w:ind w:left="720" w:hanging="360"/>
      </w:pPr>
      <w:rPr>
        <w:rFonts w:ascii="Symbol" w:hAnsi="Symbol" w:hint="default"/>
      </w:rPr>
    </w:lvl>
    <w:lvl w:ilvl="1" w:tplc="04500003" w:tentative="1">
      <w:start w:val="1"/>
      <w:numFmt w:val="bullet"/>
      <w:lvlText w:val="o"/>
      <w:lvlJc w:val="left"/>
      <w:pPr>
        <w:ind w:left="1440" w:hanging="360"/>
      </w:pPr>
      <w:rPr>
        <w:rFonts w:ascii="Courier New" w:hAnsi="Courier New" w:cs="Courier New" w:hint="default"/>
      </w:rPr>
    </w:lvl>
    <w:lvl w:ilvl="2" w:tplc="04500005" w:tentative="1">
      <w:start w:val="1"/>
      <w:numFmt w:val="bullet"/>
      <w:lvlText w:val=""/>
      <w:lvlJc w:val="left"/>
      <w:pPr>
        <w:ind w:left="2160" w:hanging="360"/>
      </w:pPr>
      <w:rPr>
        <w:rFonts w:ascii="Wingdings" w:hAnsi="Wingdings" w:hint="default"/>
      </w:rPr>
    </w:lvl>
    <w:lvl w:ilvl="3" w:tplc="04500001" w:tentative="1">
      <w:start w:val="1"/>
      <w:numFmt w:val="bullet"/>
      <w:lvlText w:val=""/>
      <w:lvlJc w:val="left"/>
      <w:pPr>
        <w:ind w:left="2880" w:hanging="360"/>
      </w:pPr>
      <w:rPr>
        <w:rFonts w:ascii="Symbol" w:hAnsi="Symbol" w:hint="default"/>
      </w:rPr>
    </w:lvl>
    <w:lvl w:ilvl="4" w:tplc="04500003" w:tentative="1">
      <w:start w:val="1"/>
      <w:numFmt w:val="bullet"/>
      <w:lvlText w:val="o"/>
      <w:lvlJc w:val="left"/>
      <w:pPr>
        <w:ind w:left="3600" w:hanging="360"/>
      </w:pPr>
      <w:rPr>
        <w:rFonts w:ascii="Courier New" w:hAnsi="Courier New" w:cs="Courier New" w:hint="default"/>
      </w:rPr>
    </w:lvl>
    <w:lvl w:ilvl="5" w:tplc="04500005" w:tentative="1">
      <w:start w:val="1"/>
      <w:numFmt w:val="bullet"/>
      <w:lvlText w:val=""/>
      <w:lvlJc w:val="left"/>
      <w:pPr>
        <w:ind w:left="4320" w:hanging="360"/>
      </w:pPr>
      <w:rPr>
        <w:rFonts w:ascii="Wingdings" w:hAnsi="Wingdings" w:hint="default"/>
      </w:rPr>
    </w:lvl>
    <w:lvl w:ilvl="6" w:tplc="04500001" w:tentative="1">
      <w:start w:val="1"/>
      <w:numFmt w:val="bullet"/>
      <w:lvlText w:val=""/>
      <w:lvlJc w:val="left"/>
      <w:pPr>
        <w:ind w:left="5040" w:hanging="360"/>
      </w:pPr>
      <w:rPr>
        <w:rFonts w:ascii="Symbol" w:hAnsi="Symbol" w:hint="default"/>
      </w:rPr>
    </w:lvl>
    <w:lvl w:ilvl="7" w:tplc="04500003" w:tentative="1">
      <w:start w:val="1"/>
      <w:numFmt w:val="bullet"/>
      <w:lvlText w:val="o"/>
      <w:lvlJc w:val="left"/>
      <w:pPr>
        <w:ind w:left="5760" w:hanging="360"/>
      </w:pPr>
      <w:rPr>
        <w:rFonts w:ascii="Courier New" w:hAnsi="Courier New" w:cs="Courier New" w:hint="default"/>
      </w:rPr>
    </w:lvl>
    <w:lvl w:ilvl="8" w:tplc="04500005" w:tentative="1">
      <w:start w:val="1"/>
      <w:numFmt w:val="bullet"/>
      <w:lvlText w:val=""/>
      <w:lvlJc w:val="left"/>
      <w:pPr>
        <w:ind w:left="6480" w:hanging="360"/>
      </w:pPr>
      <w:rPr>
        <w:rFonts w:ascii="Wingdings" w:hAnsi="Wingdings" w:hint="default"/>
      </w:rPr>
    </w:lvl>
  </w:abstractNum>
  <w:abstractNum w:abstractNumId="12">
    <w:nsid w:val="52E02BDC"/>
    <w:multiLevelType w:val="hybridMultilevel"/>
    <w:tmpl w:val="999433AA"/>
    <w:lvl w:ilvl="0" w:tplc="04090017">
      <w:start w:val="1"/>
      <w:numFmt w:val="lowerLetter"/>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3">
    <w:nsid w:val="53DB2D74"/>
    <w:multiLevelType w:val="hybridMultilevel"/>
    <w:tmpl w:val="045C9F88"/>
    <w:lvl w:ilvl="0" w:tplc="04500001">
      <w:start w:val="1"/>
      <w:numFmt w:val="bullet"/>
      <w:lvlText w:val=""/>
      <w:lvlJc w:val="left"/>
      <w:pPr>
        <w:ind w:left="720" w:hanging="360"/>
      </w:pPr>
      <w:rPr>
        <w:rFonts w:ascii="Symbol" w:hAnsi="Symbol" w:hint="default"/>
      </w:rPr>
    </w:lvl>
    <w:lvl w:ilvl="1" w:tplc="04500003" w:tentative="1">
      <w:start w:val="1"/>
      <w:numFmt w:val="bullet"/>
      <w:lvlText w:val="o"/>
      <w:lvlJc w:val="left"/>
      <w:pPr>
        <w:ind w:left="1440" w:hanging="360"/>
      </w:pPr>
      <w:rPr>
        <w:rFonts w:ascii="Courier New" w:hAnsi="Courier New" w:cs="Courier New" w:hint="default"/>
      </w:rPr>
    </w:lvl>
    <w:lvl w:ilvl="2" w:tplc="04500005" w:tentative="1">
      <w:start w:val="1"/>
      <w:numFmt w:val="bullet"/>
      <w:lvlText w:val=""/>
      <w:lvlJc w:val="left"/>
      <w:pPr>
        <w:ind w:left="2160" w:hanging="360"/>
      </w:pPr>
      <w:rPr>
        <w:rFonts w:ascii="Wingdings" w:hAnsi="Wingdings" w:hint="default"/>
      </w:rPr>
    </w:lvl>
    <w:lvl w:ilvl="3" w:tplc="04500001" w:tentative="1">
      <w:start w:val="1"/>
      <w:numFmt w:val="bullet"/>
      <w:lvlText w:val=""/>
      <w:lvlJc w:val="left"/>
      <w:pPr>
        <w:ind w:left="2880" w:hanging="360"/>
      </w:pPr>
      <w:rPr>
        <w:rFonts w:ascii="Symbol" w:hAnsi="Symbol" w:hint="default"/>
      </w:rPr>
    </w:lvl>
    <w:lvl w:ilvl="4" w:tplc="04500003" w:tentative="1">
      <w:start w:val="1"/>
      <w:numFmt w:val="bullet"/>
      <w:lvlText w:val="o"/>
      <w:lvlJc w:val="left"/>
      <w:pPr>
        <w:ind w:left="3600" w:hanging="360"/>
      </w:pPr>
      <w:rPr>
        <w:rFonts w:ascii="Courier New" w:hAnsi="Courier New" w:cs="Courier New" w:hint="default"/>
      </w:rPr>
    </w:lvl>
    <w:lvl w:ilvl="5" w:tplc="04500005" w:tentative="1">
      <w:start w:val="1"/>
      <w:numFmt w:val="bullet"/>
      <w:lvlText w:val=""/>
      <w:lvlJc w:val="left"/>
      <w:pPr>
        <w:ind w:left="4320" w:hanging="360"/>
      </w:pPr>
      <w:rPr>
        <w:rFonts w:ascii="Wingdings" w:hAnsi="Wingdings" w:hint="default"/>
      </w:rPr>
    </w:lvl>
    <w:lvl w:ilvl="6" w:tplc="04500001" w:tentative="1">
      <w:start w:val="1"/>
      <w:numFmt w:val="bullet"/>
      <w:lvlText w:val=""/>
      <w:lvlJc w:val="left"/>
      <w:pPr>
        <w:ind w:left="5040" w:hanging="360"/>
      </w:pPr>
      <w:rPr>
        <w:rFonts w:ascii="Symbol" w:hAnsi="Symbol" w:hint="default"/>
      </w:rPr>
    </w:lvl>
    <w:lvl w:ilvl="7" w:tplc="04500003" w:tentative="1">
      <w:start w:val="1"/>
      <w:numFmt w:val="bullet"/>
      <w:lvlText w:val="o"/>
      <w:lvlJc w:val="left"/>
      <w:pPr>
        <w:ind w:left="5760" w:hanging="360"/>
      </w:pPr>
      <w:rPr>
        <w:rFonts w:ascii="Courier New" w:hAnsi="Courier New" w:cs="Courier New" w:hint="default"/>
      </w:rPr>
    </w:lvl>
    <w:lvl w:ilvl="8" w:tplc="04500005" w:tentative="1">
      <w:start w:val="1"/>
      <w:numFmt w:val="bullet"/>
      <w:lvlText w:val=""/>
      <w:lvlJc w:val="left"/>
      <w:pPr>
        <w:ind w:left="6480" w:hanging="360"/>
      </w:pPr>
      <w:rPr>
        <w:rFonts w:ascii="Wingdings" w:hAnsi="Wingdings" w:hint="default"/>
      </w:rPr>
    </w:lvl>
  </w:abstractNum>
  <w:abstractNum w:abstractNumId="14">
    <w:nsid w:val="592E7090"/>
    <w:multiLevelType w:val="hybridMultilevel"/>
    <w:tmpl w:val="2CAC1D7A"/>
    <w:lvl w:ilvl="0" w:tplc="5B88F8E6">
      <w:start w:val="1"/>
      <w:numFmt w:val="decimal"/>
      <w:lvlText w:val="(%1)"/>
      <w:lvlJc w:val="left"/>
      <w:pPr>
        <w:ind w:left="900" w:hanging="360"/>
      </w:pPr>
      <w:rPr>
        <w:rFonts w:hint="default"/>
      </w:rPr>
    </w:lvl>
    <w:lvl w:ilvl="1" w:tplc="08090019">
      <w:start w:val="1"/>
      <w:numFmt w:val="lowerLetter"/>
      <w:lvlText w:val="%2."/>
      <w:lvlJc w:val="left"/>
      <w:pPr>
        <w:ind w:left="1620" w:hanging="360"/>
      </w:pPr>
    </w:lvl>
    <w:lvl w:ilvl="2" w:tplc="04090017">
      <w:start w:val="1"/>
      <w:numFmt w:val="lowerLetter"/>
      <w:lvlText w:val="%3)"/>
      <w:lvlJc w:val="left"/>
      <w:pPr>
        <w:ind w:left="360" w:hanging="360"/>
      </w:pPr>
    </w:lvl>
    <w:lvl w:ilvl="3" w:tplc="0809000F">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15">
    <w:nsid w:val="59F66A37"/>
    <w:multiLevelType w:val="hybridMultilevel"/>
    <w:tmpl w:val="12327804"/>
    <w:lvl w:ilvl="0" w:tplc="8FE6F8B6">
      <w:start w:val="1"/>
      <w:numFmt w:val="bullet"/>
      <w:lvlText w:val=""/>
      <w:lvlJc w:val="left"/>
      <w:pPr>
        <w:tabs>
          <w:tab w:val="num" w:pos="720"/>
        </w:tabs>
        <w:ind w:left="720" w:hanging="360"/>
      </w:pPr>
      <w:rPr>
        <w:rFonts w:ascii="Wingdings" w:hAnsi="Wingdings" w:hint="default"/>
      </w:rPr>
    </w:lvl>
    <w:lvl w:ilvl="1" w:tplc="F196B5FA" w:tentative="1">
      <w:start w:val="1"/>
      <w:numFmt w:val="bullet"/>
      <w:lvlText w:val=""/>
      <w:lvlJc w:val="left"/>
      <w:pPr>
        <w:tabs>
          <w:tab w:val="num" w:pos="1440"/>
        </w:tabs>
        <w:ind w:left="1440" w:hanging="360"/>
      </w:pPr>
      <w:rPr>
        <w:rFonts w:ascii="Wingdings" w:hAnsi="Wingdings" w:hint="default"/>
      </w:rPr>
    </w:lvl>
    <w:lvl w:ilvl="2" w:tplc="B3B4B77C" w:tentative="1">
      <w:start w:val="1"/>
      <w:numFmt w:val="bullet"/>
      <w:lvlText w:val=""/>
      <w:lvlJc w:val="left"/>
      <w:pPr>
        <w:tabs>
          <w:tab w:val="num" w:pos="2160"/>
        </w:tabs>
        <w:ind w:left="2160" w:hanging="360"/>
      </w:pPr>
      <w:rPr>
        <w:rFonts w:ascii="Wingdings" w:hAnsi="Wingdings" w:hint="default"/>
      </w:rPr>
    </w:lvl>
    <w:lvl w:ilvl="3" w:tplc="9C226576" w:tentative="1">
      <w:start w:val="1"/>
      <w:numFmt w:val="bullet"/>
      <w:lvlText w:val=""/>
      <w:lvlJc w:val="left"/>
      <w:pPr>
        <w:tabs>
          <w:tab w:val="num" w:pos="2880"/>
        </w:tabs>
        <w:ind w:left="2880" w:hanging="360"/>
      </w:pPr>
      <w:rPr>
        <w:rFonts w:ascii="Wingdings" w:hAnsi="Wingdings" w:hint="default"/>
      </w:rPr>
    </w:lvl>
    <w:lvl w:ilvl="4" w:tplc="C7EC245C" w:tentative="1">
      <w:start w:val="1"/>
      <w:numFmt w:val="bullet"/>
      <w:lvlText w:val=""/>
      <w:lvlJc w:val="left"/>
      <w:pPr>
        <w:tabs>
          <w:tab w:val="num" w:pos="3600"/>
        </w:tabs>
        <w:ind w:left="3600" w:hanging="360"/>
      </w:pPr>
      <w:rPr>
        <w:rFonts w:ascii="Wingdings" w:hAnsi="Wingdings" w:hint="default"/>
      </w:rPr>
    </w:lvl>
    <w:lvl w:ilvl="5" w:tplc="3C8C57B0" w:tentative="1">
      <w:start w:val="1"/>
      <w:numFmt w:val="bullet"/>
      <w:lvlText w:val=""/>
      <w:lvlJc w:val="left"/>
      <w:pPr>
        <w:tabs>
          <w:tab w:val="num" w:pos="4320"/>
        </w:tabs>
        <w:ind w:left="4320" w:hanging="360"/>
      </w:pPr>
      <w:rPr>
        <w:rFonts w:ascii="Wingdings" w:hAnsi="Wingdings" w:hint="default"/>
      </w:rPr>
    </w:lvl>
    <w:lvl w:ilvl="6" w:tplc="60A4CAEC" w:tentative="1">
      <w:start w:val="1"/>
      <w:numFmt w:val="bullet"/>
      <w:lvlText w:val=""/>
      <w:lvlJc w:val="left"/>
      <w:pPr>
        <w:tabs>
          <w:tab w:val="num" w:pos="5040"/>
        </w:tabs>
        <w:ind w:left="5040" w:hanging="360"/>
      </w:pPr>
      <w:rPr>
        <w:rFonts w:ascii="Wingdings" w:hAnsi="Wingdings" w:hint="default"/>
      </w:rPr>
    </w:lvl>
    <w:lvl w:ilvl="7" w:tplc="5F5CBC5C" w:tentative="1">
      <w:start w:val="1"/>
      <w:numFmt w:val="bullet"/>
      <w:lvlText w:val=""/>
      <w:lvlJc w:val="left"/>
      <w:pPr>
        <w:tabs>
          <w:tab w:val="num" w:pos="5760"/>
        </w:tabs>
        <w:ind w:left="5760" w:hanging="360"/>
      </w:pPr>
      <w:rPr>
        <w:rFonts w:ascii="Wingdings" w:hAnsi="Wingdings" w:hint="default"/>
      </w:rPr>
    </w:lvl>
    <w:lvl w:ilvl="8" w:tplc="9B8A64AC" w:tentative="1">
      <w:start w:val="1"/>
      <w:numFmt w:val="bullet"/>
      <w:lvlText w:val=""/>
      <w:lvlJc w:val="left"/>
      <w:pPr>
        <w:tabs>
          <w:tab w:val="num" w:pos="6480"/>
        </w:tabs>
        <w:ind w:left="6480" w:hanging="360"/>
      </w:pPr>
      <w:rPr>
        <w:rFonts w:ascii="Wingdings" w:hAnsi="Wingdings" w:hint="default"/>
      </w:rPr>
    </w:lvl>
  </w:abstractNum>
  <w:abstractNum w:abstractNumId="16">
    <w:nsid w:val="684E456D"/>
    <w:multiLevelType w:val="hybridMultilevel"/>
    <w:tmpl w:val="2BE2CC4E"/>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76317521"/>
    <w:multiLevelType w:val="hybridMultilevel"/>
    <w:tmpl w:val="8EA61366"/>
    <w:lvl w:ilvl="0" w:tplc="04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17"/>
  </w:num>
  <w:num w:numId="3">
    <w:abstractNumId w:val="10"/>
  </w:num>
  <w:num w:numId="4">
    <w:abstractNumId w:val="8"/>
  </w:num>
  <w:num w:numId="5">
    <w:abstractNumId w:val="14"/>
  </w:num>
  <w:num w:numId="6">
    <w:abstractNumId w:val="12"/>
  </w:num>
  <w:num w:numId="7">
    <w:abstractNumId w:val="1"/>
  </w:num>
  <w:num w:numId="8">
    <w:abstractNumId w:val="16"/>
  </w:num>
  <w:num w:numId="9">
    <w:abstractNumId w:val="7"/>
  </w:num>
  <w:num w:numId="10">
    <w:abstractNumId w:val="6"/>
  </w:num>
  <w:num w:numId="11">
    <w:abstractNumId w:val="5"/>
  </w:num>
  <w:num w:numId="12">
    <w:abstractNumId w:val="2"/>
  </w:num>
  <w:num w:numId="13">
    <w:abstractNumId w:val="11"/>
  </w:num>
  <w:num w:numId="14">
    <w:abstractNumId w:val="13"/>
  </w:num>
  <w:num w:numId="15">
    <w:abstractNumId w:val="0"/>
  </w:num>
  <w:num w:numId="16">
    <w:abstractNumId w:val="3"/>
  </w:num>
  <w:num w:numId="17">
    <w:abstractNumId w:val="4"/>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574A"/>
    <w:rsid w:val="0000082B"/>
    <w:rsid w:val="00001237"/>
    <w:rsid w:val="00002301"/>
    <w:rsid w:val="00002A7E"/>
    <w:rsid w:val="0000530E"/>
    <w:rsid w:val="00005716"/>
    <w:rsid w:val="00006F4D"/>
    <w:rsid w:val="0001482B"/>
    <w:rsid w:val="0001753C"/>
    <w:rsid w:val="00017B44"/>
    <w:rsid w:val="00026FF0"/>
    <w:rsid w:val="00035E9E"/>
    <w:rsid w:val="00036D83"/>
    <w:rsid w:val="000476F1"/>
    <w:rsid w:val="000511AD"/>
    <w:rsid w:val="00054C6E"/>
    <w:rsid w:val="000553DE"/>
    <w:rsid w:val="000608D3"/>
    <w:rsid w:val="0006166C"/>
    <w:rsid w:val="000642EB"/>
    <w:rsid w:val="0006499A"/>
    <w:rsid w:val="00066CD5"/>
    <w:rsid w:val="00073A37"/>
    <w:rsid w:val="00077079"/>
    <w:rsid w:val="0008172F"/>
    <w:rsid w:val="0008483E"/>
    <w:rsid w:val="000851AB"/>
    <w:rsid w:val="00087DC7"/>
    <w:rsid w:val="0009094F"/>
    <w:rsid w:val="00091A5B"/>
    <w:rsid w:val="00091CF5"/>
    <w:rsid w:val="000A000B"/>
    <w:rsid w:val="000A0529"/>
    <w:rsid w:val="000A0655"/>
    <w:rsid w:val="000A1C2A"/>
    <w:rsid w:val="000A4935"/>
    <w:rsid w:val="000A6FCD"/>
    <w:rsid w:val="000B2E81"/>
    <w:rsid w:val="000B36CE"/>
    <w:rsid w:val="000B5169"/>
    <w:rsid w:val="000C2A6B"/>
    <w:rsid w:val="000C6C78"/>
    <w:rsid w:val="000D0B06"/>
    <w:rsid w:val="000D0EB7"/>
    <w:rsid w:val="000E0DF4"/>
    <w:rsid w:val="000E140F"/>
    <w:rsid w:val="000E20F2"/>
    <w:rsid w:val="000E2776"/>
    <w:rsid w:val="000E4594"/>
    <w:rsid w:val="000E59C1"/>
    <w:rsid w:val="001129C0"/>
    <w:rsid w:val="00116795"/>
    <w:rsid w:val="00121E66"/>
    <w:rsid w:val="001222BE"/>
    <w:rsid w:val="00125EBB"/>
    <w:rsid w:val="00131E29"/>
    <w:rsid w:val="001455A9"/>
    <w:rsid w:val="00147CD1"/>
    <w:rsid w:val="001561C3"/>
    <w:rsid w:val="00156753"/>
    <w:rsid w:val="001625A3"/>
    <w:rsid w:val="00165FD8"/>
    <w:rsid w:val="0016652F"/>
    <w:rsid w:val="0016795F"/>
    <w:rsid w:val="00170DBB"/>
    <w:rsid w:val="00171D3E"/>
    <w:rsid w:val="00173DB0"/>
    <w:rsid w:val="00174369"/>
    <w:rsid w:val="00176C8C"/>
    <w:rsid w:val="00183FCB"/>
    <w:rsid w:val="001866F0"/>
    <w:rsid w:val="001917BA"/>
    <w:rsid w:val="00194651"/>
    <w:rsid w:val="001950D0"/>
    <w:rsid w:val="00196A27"/>
    <w:rsid w:val="0019709E"/>
    <w:rsid w:val="00197EBB"/>
    <w:rsid w:val="001A040E"/>
    <w:rsid w:val="001A15BA"/>
    <w:rsid w:val="001B5438"/>
    <w:rsid w:val="001B60D3"/>
    <w:rsid w:val="001B6AC3"/>
    <w:rsid w:val="001B76DB"/>
    <w:rsid w:val="001C00E7"/>
    <w:rsid w:val="001C39FA"/>
    <w:rsid w:val="001C613C"/>
    <w:rsid w:val="001D371D"/>
    <w:rsid w:val="001D50AC"/>
    <w:rsid w:val="001D7D5F"/>
    <w:rsid w:val="001E3A7D"/>
    <w:rsid w:val="001E456B"/>
    <w:rsid w:val="001E4622"/>
    <w:rsid w:val="001E563A"/>
    <w:rsid w:val="001F45C2"/>
    <w:rsid w:val="001F4E72"/>
    <w:rsid w:val="00200375"/>
    <w:rsid w:val="002017EC"/>
    <w:rsid w:val="00202300"/>
    <w:rsid w:val="002037CD"/>
    <w:rsid w:val="00234C6A"/>
    <w:rsid w:val="00235ED3"/>
    <w:rsid w:val="00244E37"/>
    <w:rsid w:val="00244E53"/>
    <w:rsid w:val="002512CA"/>
    <w:rsid w:val="002524AD"/>
    <w:rsid w:val="00256A67"/>
    <w:rsid w:val="0026201A"/>
    <w:rsid w:val="00264DEC"/>
    <w:rsid w:val="00270C90"/>
    <w:rsid w:val="00271082"/>
    <w:rsid w:val="00271741"/>
    <w:rsid w:val="00281089"/>
    <w:rsid w:val="00283094"/>
    <w:rsid w:val="0029286B"/>
    <w:rsid w:val="00295001"/>
    <w:rsid w:val="00297F75"/>
    <w:rsid w:val="002A1226"/>
    <w:rsid w:val="002A2D43"/>
    <w:rsid w:val="002A364B"/>
    <w:rsid w:val="002A4DE1"/>
    <w:rsid w:val="002A531E"/>
    <w:rsid w:val="002A7DD5"/>
    <w:rsid w:val="002B2DE7"/>
    <w:rsid w:val="002C1168"/>
    <w:rsid w:val="002C1C1B"/>
    <w:rsid w:val="002C1D24"/>
    <w:rsid w:val="002C24CA"/>
    <w:rsid w:val="002C328D"/>
    <w:rsid w:val="002C6916"/>
    <w:rsid w:val="002D3E54"/>
    <w:rsid w:val="002D5AA0"/>
    <w:rsid w:val="002D64AD"/>
    <w:rsid w:val="002E5807"/>
    <w:rsid w:val="002F000E"/>
    <w:rsid w:val="002F3DB0"/>
    <w:rsid w:val="002F59DB"/>
    <w:rsid w:val="002F6EDC"/>
    <w:rsid w:val="00302D47"/>
    <w:rsid w:val="003059E0"/>
    <w:rsid w:val="00311863"/>
    <w:rsid w:val="0031333B"/>
    <w:rsid w:val="003148B5"/>
    <w:rsid w:val="00327F97"/>
    <w:rsid w:val="003354AF"/>
    <w:rsid w:val="00336474"/>
    <w:rsid w:val="00347AB8"/>
    <w:rsid w:val="003522D3"/>
    <w:rsid w:val="0035241D"/>
    <w:rsid w:val="003538DA"/>
    <w:rsid w:val="003550B2"/>
    <w:rsid w:val="00363D42"/>
    <w:rsid w:val="00365494"/>
    <w:rsid w:val="00366073"/>
    <w:rsid w:val="0037048F"/>
    <w:rsid w:val="00372505"/>
    <w:rsid w:val="00372EAD"/>
    <w:rsid w:val="00374A8B"/>
    <w:rsid w:val="0037518B"/>
    <w:rsid w:val="00381904"/>
    <w:rsid w:val="003907A5"/>
    <w:rsid w:val="00397AB4"/>
    <w:rsid w:val="003A2F04"/>
    <w:rsid w:val="003A712D"/>
    <w:rsid w:val="003B034C"/>
    <w:rsid w:val="003B2F6D"/>
    <w:rsid w:val="003B32BB"/>
    <w:rsid w:val="003B3655"/>
    <w:rsid w:val="003B42C2"/>
    <w:rsid w:val="003B6983"/>
    <w:rsid w:val="003C4F73"/>
    <w:rsid w:val="003C67A3"/>
    <w:rsid w:val="003C6C57"/>
    <w:rsid w:val="003D047D"/>
    <w:rsid w:val="003D2810"/>
    <w:rsid w:val="003D4D46"/>
    <w:rsid w:val="003E0E1D"/>
    <w:rsid w:val="003E345B"/>
    <w:rsid w:val="003E4843"/>
    <w:rsid w:val="003E52CC"/>
    <w:rsid w:val="003F128D"/>
    <w:rsid w:val="003F2402"/>
    <w:rsid w:val="003F3C31"/>
    <w:rsid w:val="003F5DCC"/>
    <w:rsid w:val="00404E99"/>
    <w:rsid w:val="004055C3"/>
    <w:rsid w:val="00410098"/>
    <w:rsid w:val="004152B9"/>
    <w:rsid w:val="00416719"/>
    <w:rsid w:val="00423DF3"/>
    <w:rsid w:val="0043410C"/>
    <w:rsid w:val="0043458D"/>
    <w:rsid w:val="00436EB7"/>
    <w:rsid w:val="00442E54"/>
    <w:rsid w:val="00444CAD"/>
    <w:rsid w:val="00444DB5"/>
    <w:rsid w:val="004458B3"/>
    <w:rsid w:val="00447BB0"/>
    <w:rsid w:val="0045021C"/>
    <w:rsid w:val="00451192"/>
    <w:rsid w:val="00453010"/>
    <w:rsid w:val="004771B5"/>
    <w:rsid w:val="00491767"/>
    <w:rsid w:val="00491D37"/>
    <w:rsid w:val="00493DBF"/>
    <w:rsid w:val="0049498A"/>
    <w:rsid w:val="00496650"/>
    <w:rsid w:val="004A6EAB"/>
    <w:rsid w:val="004B0783"/>
    <w:rsid w:val="004B13E9"/>
    <w:rsid w:val="004B38BD"/>
    <w:rsid w:val="004B458A"/>
    <w:rsid w:val="004C4517"/>
    <w:rsid w:val="004C65D6"/>
    <w:rsid w:val="004C68FB"/>
    <w:rsid w:val="004C7AC0"/>
    <w:rsid w:val="004D200E"/>
    <w:rsid w:val="004D64AD"/>
    <w:rsid w:val="004D74A4"/>
    <w:rsid w:val="004E2740"/>
    <w:rsid w:val="004E413A"/>
    <w:rsid w:val="004E43C0"/>
    <w:rsid w:val="004E6055"/>
    <w:rsid w:val="004E648F"/>
    <w:rsid w:val="004E7F2F"/>
    <w:rsid w:val="004F06E6"/>
    <w:rsid w:val="004F149A"/>
    <w:rsid w:val="004F1785"/>
    <w:rsid w:val="004F1DF8"/>
    <w:rsid w:val="004F3505"/>
    <w:rsid w:val="004F3953"/>
    <w:rsid w:val="004F3ADF"/>
    <w:rsid w:val="004F7C57"/>
    <w:rsid w:val="00503A9D"/>
    <w:rsid w:val="00510A4B"/>
    <w:rsid w:val="0051793F"/>
    <w:rsid w:val="00531BF6"/>
    <w:rsid w:val="00534EF7"/>
    <w:rsid w:val="00541D78"/>
    <w:rsid w:val="0054343F"/>
    <w:rsid w:val="005461CC"/>
    <w:rsid w:val="00547693"/>
    <w:rsid w:val="0055231E"/>
    <w:rsid w:val="0055234A"/>
    <w:rsid w:val="00552CB8"/>
    <w:rsid w:val="005561B6"/>
    <w:rsid w:val="005601F9"/>
    <w:rsid w:val="00560FA1"/>
    <w:rsid w:val="005658B5"/>
    <w:rsid w:val="00570ED4"/>
    <w:rsid w:val="005800F2"/>
    <w:rsid w:val="00580844"/>
    <w:rsid w:val="00581C3F"/>
    <w:rsid w:val="00586216"/>
    <w:rsid w:val="00592FE2"/>
    <w:rsid w:val="005947B5"/>
    <w:rsid w:val="0059576A"/>
    <w:rsid w:val="00595881"/>
    <w:rsid w:val="005A315D"/>
    <w:rsid w:val="005A42DF"/>
    <w:rsid w:val="005A7A96"/>
    <w:rsid w:val="005B1DFC"/>
    <w:rsid w:val="005B3A94"/>
    <w:rsid w:val="005B4CAB"/>
    <w:rsid w:val="005C771A"/>
    <w:rsid w:val="005D2A99"/>
    <w:rsid w:val="005D6C9E"/>
    <w:rsid w:val="005E2D5D"/>
    <w:rsid w:val="005E4266"/>
    <w:rsid w:val="005F4775"/>
    <w:rsid w:val="005F4FD8"/>
    <w:rsid w:val="00601314"/>
    <w:rsid w:val="006038F0"/>
    <w:rsid w:val="006066BA"/>
    <w:rsid w:val="00615408"/>
    <w:rsid w:val="00615E54"/>
    <w:rsid w:val="006168FB"/>
    <w:rsid w:val="0062023D"/>
    <w:rsid w:val="00620F20"/>
    <w:rsid w:val="006229F6"/>
    <w:rsid w:val="00623027"/>
    <w:rsid w:val="006255B8"/>
    <w:rsid w:val="00626496"/>
    <w:rsid w:val="0063093C"/>
    <w:rsid w:val="00631ADC"/>
    <w:rsid w:val="0063527C"/>
    <w:rsid w:val="00635347"/>
    <w:rsid w:val="0063628B"/>
    <w:rsid w:val="00636979"/>
    <w:rsid w:val="00641194"/>
    <w:rsid w:val="006411B5"/>
    <w:rsid w:val="00644E2A"/>
    <w:rsid w:val="006454AE"/>
    <w:rsid w:val="006515BD"/>
    <w:rsid w:val="00657EAC"/>
    <w:rsid w:val="00662EDB"/>
    <w:rsid w:val="0066332E"/>
    <w:rsid w:val="00663F5E"/>
    <w:rsid w:val="00664370"/>
    <w:rsid w:val="0067243C"/>
    <w:rsid w:val="00673421"/>
    <w:rsid w:val="00675050"/>
    <w:rsid w:val="00676B97"/>
    <w:rsid w:val="00677E7B"/>
    <w:rsid w:val="006811DE"/>
    <w:rsid w:val="006840DE"/>
    <w:rsid w:val="00692B2B"/>
    <w:rsid w:val="00697A7F"/>
    <w:rsid w:val="006A05CD"/>
    <w:rsid w:val="006A1A0A"/>
    <w:rsid w:val="006A3E68"/>
    <w:rsid w:val="006A468A"/>
    <w:rsid w:val="006B1422"/>
    <w:rsid w:val="006B3BC1"/>
    <w:rsid w:val="006B3D01"/>
    <w:rsid w:val="006B53C7"/>
    <w:rsid w:val="006B69EF"/>
    <w:rsid w:val="006B7E1A"/>
    <w:rsid w:val="006C0234"/>
    <w:rsid w:val="006C1848"/>
    <w:rsid w:val="006C18EC"/>
    <w:rsid w:val="006C5065"/>
    <w:rsid w:val="006C5BA6"/>
    <w:rsid w:val="006D29BD"/>
    <w:rsid w:val="006D389B"/>
    <w:rsid w:val="006D42CE"/>
    <w:rsid w:val="006D4F99"/>
    <w:rsid w:val="006E05A8"/>
    <w:rsid w:val="006E1452"/>
    <w:rsid w:val="006E75F3"/>
    <w:rsid w:val="006F0CDD"/>
    <w:rsid w:val="006F3359"/>
    <w:rsid w:val="006F4209"/>
    <w:rsid w:val="006F4476"/>
    <w:rsid w:val="006F4BF6"/>
    <w:rsid w:val="006F4CC7"/>
    <w:rsid w:val="007043D5"/>
    <w:rsid w:val="0070661B"/>
    <w:rsid w:val="00710E47"/>
    <w:rsid w:val="00711327"/>
    <w:rsid w:val="00711471"/>
    <w:rsid w:val="00713C53"/>
    <w:rsid w:val="007144D4"/>
    <w:rsid w:val="00714890"/>
    <w:rsid w:val="00715373"/>
    <w:rsid w:val="00720840"/>
    <w:rsid w:val="0072249A"/>
    <w:rsid w:val="00724601"/>
    <w:rsid w:val="0072485E"/>
    <w:rsid w:val="00724B08"/>
    <w:rsid w:val="007250F0"/>
    <w:rsid w:val="00727AEF"/>
    <w:rsid w:val="00735406"/>
    <w:rsid w:val="00736172"/>
    <w:rsid w:val="00736BE2"/>
    <w:rsid w:val="00752597"/>
    <w:rsid w:val="0075266D"/>
    <w:rsid w:val="00752D33"/>
    <w:rsid w:val="007532A7"/>
    <w:rsid w:val="00755EDE"/>
    <w:rsid w:val="00757904"/>
    <w:rsid w:val="0076173A"/>
    <w:rsid w:val="00763334"/>
    <w:rsid w:val="007721F9"/>
    <w:rsid w:val="00775638"/>
    <w:rsid w:val="007808E8"/>
    <w:rsid w:val="00785487"/>
    <w:rsid w:val="00785593"/>
    <w:rsid w:val="00785752"/>
    <w:rsid w:val="0078790E"/>
    <w:rsid w:val="00790DA8"/>
    <w:rsid w:val="00791759"/>
    <w:rsid w:val="00791C54"/>
    <w:rsid w:val="00793244"/>
    <w:rsid w:val="00797D66"/>
    <w:rsid w:val="007A1B5C"/>
    <w:rsid w:val="007A1C56"/>
    <w:rsid w:val="007A61D6"/>
    <w:rsid w:val="007B096C"/>
    <w:rsid w:val="007B1BDC"/>
    <w:rsid w:val="007B42E2"/>
    <w:rsid w:val="007B46FC"/>
    <w:rsid w:val="007B66D0"/>
    <w:rsid w:val="007C2399"/>
    <w:rsid w:val="007C2CA1"/>
    <w:rsid w:val="007C41CB"/>
    <w:rsid w:val="007C4BCE"/>
    <w:rsid w:val="007C5DA0"/>
    <w:rsid w:val="007C69DA"/>
    <w:rsid w:val="007D309F"/>
    <w:rsid w:val="007D77A0"/>
    <w:rsid w:val="007E201A"/>
    <w:rsid w:val="007E380D"/>
    <w:rsid w:val="007E4048"/>
    <w:rsid w:val="007E4249"/>
    <w:rsid w:val="007E46E0"/>
    <w:rsid w:val="007E5F64"/>
    <w:rsid w:val="007E72C6"/>
    <w:rsid w:val="007F5220"/>
    <w:rsid w:val="007F5289"/>
    <w:rsid w:val="007F7FF9"/>
    <w:rsid w:val="008036AD"/>
    <w:rsid w:val="008039B0"/>
    <w:rsid w:val="0080650E"/>
    <w:rsid w:val="008073F1"/>
    <w:rsid w:val="0081315B"/>
    <w:rsid w:val="008203ED"/>
    <w:rsid w:val="00820F00"/>
    <w:rsid w:val="008216B1"/>
    <w:rsid w:val="008225B5"/>
    <w:rsid w:val="008237EE"/>
    <w:rsid w:val="008257DA"/>
    <w:rsid w:val="00827581"/>
    <w:rsid w:val="00831D1E"/>
    <w:rsid w:val="00832DEB"/>
    <w:rsid w:val="0083626B"/>
    <w:rsid w:val="00840C10"/>
    <w:rsid w:val="0084142B"/>
    <w:rsid w:val="00841C62"/>
    <w:rsid w:val="00842625"/>
    <w:rsid w:val="008507A6"/>
    <w:rsid w:val="00850F9C"/>
    <w:rsid w:val="008579A1"/>
    <w:rsid w:val="00861603"/>
    <w:rsid w:val="00861933"/>
    <w:rsid w:val="00862D33"/>
    <w:rsid w:val="0087313D"/>
    <w:rsid w:val="008778E5"/>
    <w:rsid w:val="00877DBA"/>
    <w:rsid w:val="008811C1"/>
    <w:rsid w:val="008852A6"/>
    <w:rsid w:val="00892C00"/>
    <w:rsid w:val="008A061F"/>
    <w:rsid w:val="008A10E8"/>
    <w:rsid w:val="008A5314"/>
    <w:rsid w:val="008A60BF"/>
    <w:rsid w:val="008B4172"/>
    <w:rsid w:val="008B54A1"/>
    <w:rsid w:val="008B7EA0"/>
    <w:rsid w:val="008C1545"/>
    <w:rsid w:val="008C4819"/>
    <w:rsid w:val="008C530B"/>
    <w:rsid w:val="008D0052"/>
    <w:rsid w:val="008D0A13"/>
    <w:rsid w:val="008D2237"/>
    <w:rsid w:val="008D3398"/>
    <w:rsid w:val="008D7686"/>
    <w:rsid w:val="008E1CA3"/>
    <w:rsid w:val="008E22A6"/>
    <w:rsid w:val="008E3127"/>
    <w:rsid w:val="008E5094"/>
    <w:rsid w:val="008E5E3F"/>
    <w:rsid w:val="008E6C03"/>
    <w:rsid w:val="008E7FE9"/>
    <w:rsid w:val="008F1BF6"/>
    <w:rsid w:val="008F1C22"/>
    <w:rsid w:val="008F2CA9"/>
    <w:rsid w:val="008F3E28"/>
    <w:rsid w:val="008F7638"/>
    <w:rsid w:val="009013D2"/>
    <w:rsid w:val="00902FB2"/>
    <w:rsid w:val="009041EA"/>
    <w:rsid w:val="00906742"/>
    <w:rsid w:val="00911584"/>
    <w:rsid w:val="009139BD"/>
    <w:rsid w:val="00915D1C"/>
    <w:rsid w:val="00916F7A"/>
    <w:rsid w:val="00917EFA"/>
    <w:rsid w:val="00921D7D"/>
    <w:rsid w:val="00924DBB"/>
    <w:rsid w:val="00925795"/>
    <w:rsid w:val="009275B1"/>
    <w:rsid w:val="0093254F"/>
    <w:rsid w:val="0094212C"/>
    <w:rsid w:val="00942D58"/>
    <w:rsid w:val="009442D2"/>
    <w:rsid w:val="00947050"/>
    <w:rsid w:val="0095137A"/>
    <w:rsid w:val="00953471"/>
    <w:rsid w:val="009539EC"/>
    <w:rsid w:val="0095486C"/>
    <w:rsid w:val="009548C2"/>
    <w:rsid w:val="00956A5D"/>
    <w:rsid w:val="00961682"/>
    <w:rsid w:val="009712D5"/>
    <w:rsid w:val="00973BED"/>
    <w:rsid w:val="009748F6"/>
    <w:rsid w:val="0098119C"/>
    <w:rsid w:val="0098183D"/>
    <w:rsid w:val="00991F47"/>
    <w:rsid w:val="009A3706"/>
    <w:rsid w:val="009A68A8"/>
    <w:rsid w:val="009A771E"/>
    <w:rsid w:val="009A7B7C"/>
    <w:rsid w:val="009B0C9B"/>
    <w:rsid w:val="009B68D0"/>
    <w:rsid w:val="009C0732"/>
    <w:rsid w:val="009C21B8"/>
    <w:rsid w:val="009C57F9"/>
    <w:rsid w:val="009C77B9"/>
    <w:rsid w:val="009D054D"/>
    <w:rsid w:val="009D3DE7"/>
    <w:rsid w:val="009E1657"/>
    <w:rsid w:val="009E6BCE"/>
    <w:rsid w:val="009F577D"/>
    <w:rsid w:val="00A045F1"/>
    <w:rsid w:val="00A0649E"/>
    <w:rsid w:val="00A10469"/>
    <w:rsid w:val="00A10D16"/>
    <w:rsid w:val="00A11550"/>
    <w:rsid w:val="00A147BE"/>
    <w:rsid w:val="00A14AF8"/>
    <w:rsid w:val="00A15347"/>
    <w:rsid w:val="00A164D4"/>
    <w:rsid w:val="00A20C6F"/>
    <w:rsid w:val="00A21AE2"/>
    <w:rsid w:val="00A23670"/>
    <w:rsid w:val="00A247CA"/>
    <w:rsid w:val="00A254D6"/>
    <w:rsid w:val="00A25E17"/>
    <w:rsid w:val="00A263F5"/>
    <w:rsid w:val="00A30507"/>
    <w:rsid w:val="00A34330"/>
    <w:rsid w:val="00A41687"/>
    <w:rsid w:val="00A422C7"/>
    <w:rsid w:val="00A434AA"/>
    <w:rsid w:val="00A43DCC"/>
    <w:rsid w:val="00A45211"/>
    <w:rsid w:val="00A47D26"/>
    <w:rsid w:val="00A50AA9"/>
    <w:rsid w:val="00A552CB"/>
    <w:rsid w:val="00A55A46"/>
    <w:rsid w:val="00A60009"/>
    <w:rsid w:val="00A668EF"/>
    <w:rsid w:val="00A75168"/>
    <w:rsid w:val="00A75F22"/>
    <w:rsid w:val="00A7734A"/>
    <w:rsid w:val="00A77B11"/>
    <w:rsid w:val="00A77E78"/>
    <w:rsid w:val="00A83F9E"/>
    <w:rsid w:val="00A844C9"/>
    <w:rsid w:val="00A863E5"/>
    <w:rsid w:val="00A912E8"/>
    <w:rsid w:val="00A91528"/>
    <w:rsid w:val="00A9167D"/>
    <w:rsid w:val="00A91923"/>
    <w:rsid w:val="00A91B93"/>
    <w:rsid w:val="00A92750"/>
    <w:rsid w:val="00A95B06"/>
    <w:rsid w:val="00AA647E"/>
    <w:rsid w:val="00AB0027"/>
    <w:rsid w:val="00AB1D63"/>
    <w:rsid w:val="00AB1E98"/>
    <w:rsid w:val="00AB2621"/>
    <w:rsid w:val="00AB4AAF"/>
    <w:rsid w:val="00AB4B14"/>
    <w:rsid w:val="00AC0FA8"/>
    <w:rsid w:val="00AC2AAB"/>
    <w:rsid w:val="00AC5C64"/>
    <w:rsid w:val="00AD2D75"/>
    <w:rsid w:val="00AD426F"/>
    <w:rsid w:val="00AD5F6B"/>
    <w:rsid w:val="00AD6F57"/>
    <w:rsid w:val="00B0082C"/>
    <w:rsid w:val="00B02307"/>
    <w:rsid w:val="00B03E0E"/>
    <w:rsid w:val="00B13373"/>
    <w:rsid w:val="00B15F95"/>
    <w:rsid w:val="00B161D4"/>
    <w:rsid w:val="00B23365"/>
    <w:rsid w:val="00B25641"/>
    <w:rsid w:val="00B2683A"/>
    <w:rsid w:val="00B33661"/>
    <w:rsid w:val="00B33947"/>
    <w:rsid w:val="00B344BE"/>
    <w:rsid w:val="00B41D1B"/>
    <w:rsid w:val="00B41D7A"/>
    <w:rsid w:val="00B525D3"/>
    <w:rsid w:val="00B537F7"/>
    <w:rsid w:val="00B54859"/>
    <w:rsid w:val="00B54C4C"/>
    <w:rsid w:val="00B62D82"/>
    <w:rsid w:val="00B6408D"/>
    <w:rsid w:val="00B66576"/>
    <w:rsid w:val="00B742E5"/>
    <w:rsid w:val="00B76CAF"/>
    <w:rsid w:val="00B8069F"/>
    <w:rsid w:val="00B80C5E"/>
    <w:rsid w:val="00B811BB"/>
    <w:rsid w:val="00B81863"/>
    <w:rsid w:val="00B914BF"/>
    <w:rsid w:val="00B916A0"/>
    <w:rsid w:val="00B919C7"/>
    <w:rsid w:val="00B9279D"/>
    <w:rsid w:val="00B97801"/>
    <w:rsid w:val="00BA204F"/>
    <w:rsid w:val="00BA3778"/>
    <w:rsid w:val="00BA3F41"/>
    <w:rsid w:val="00BB4603"/>
    <w:rsid w:val="00BC1616"/>
    <w:rsid w:val="00BD090A"/>
    <w:rsid w:val="00BD48B4"/>
    <w:rsid w:val="00BD5381"/>
    <w:rsid w:val="00BD6149"/>
    <w:rsid w:val="00BE0B1D"/>
    <w:rsid w:val="00BE14B4"/>
    <w:rsid w:val="00BE1A53"/>
    <w:rsid w:val="00BE1FF8"/>
    <w:rsid w:val="00BE344F"/>
    <w:rsid w:val="00BE6F79"/>
    <w:rsid w:val="00BF19F5"/>
    <w:rsid w:val="00BF6225"/>
    <w:rsid w:val="00BF6B0E"/>
    <w:rsid w:val="00BF7391"/>
    <w:rsid w:val="00BF7FDA"/>
    <w:rsid w:val="00C011B2"/>
    <w:rsid w:val="00C0797E"/>
    <w:rsid w:val="00C16568"/>
    <w:rsid w:val="00C24D77"/>
    <w:rsid w:val="00C25A49"/>
    <w:rsid w:val="00C33BB4"/>
    <w:rsid w:val="00C43D75"/>
    <w:rsid w:val="00C45692"/>
    <w:rsid w:val="00C45E8E"/>
    <w:rsid w:val="00C475E8"/>
    <w:rsid w:val="00C51DBA"/>
    <w:rsid w:val="00C571CE"/>
    <w:rsid w:val="00C642C6"/>
    <w:rsid w:val="00C71E43"/>
    <w:rsid w:val="00C73714"/>
    <w:rsid w:val="00C74AFC"/>
    <w:rsid w:val="00C74BE3"/>
    <w:rsid w:val="00C7503C"/>
    <w:rsid w:val="00C7639E"/>
    <w:rsid w:val="00C76DE1"/>
    <w:rsid w:val="00C951C6"/>
    <w:rsid w:val="00CA18BC"/>
    <w:rsid w:val="00CA1ECA"/>
    <w:rsid w:val="00CA3D12"/>
    <w:rsid w:val="00CA72ED"/>
    <w:rsid w:val="00CB191B"/>
    <w:rsid w:val="00CB30F7"/>
    <w:rsid w:val="00CB4F33"/>
    <w:rsid w:val="00CB58E0"/>
    <w:rsid w:val="00CC14F7"/>
    <w:rsid w:val="00CC2E6C"/>
    <w:rsid w:val="00CC6540"/>
    <w:rsid w:val="00CD043F"/>
    <w:rsid w:val="00CD05EC"/>
    <w:rsid w:val="00CD205F"/>
    <w:rsid w:val="00CD27B6"/>
    <w:rsid w:val="00CD29E8"/>
    <w:rsid w:val="00CD332A"/>
    <w:rsid w:val="00CD760D"/>
    <w:rsid w:val="00CE2197"/>
    <w:rsid w:val="00CE59B0"/>
    <w:rsid w:val="00CE5EA4"/>
    <w:rsid w:val="00CE610E"/>
    <w:rsid w:val="00CF0E9E"/>
    <w:rsid w:val="00CF1BB9"/>
    <w:rsid w:val="00D10AE6"/>
    <w:rsid w:val="00D12698"/>
    <w:rsid w:val="00D13005"/>
    <w:rsid w:val="00D15000"/>
    <w:rsid w:val="00D16290"/>
    <w:rsid w:val="00D164C4"/>
    <w:rsid w:val="00D16F85"/>
    <w:rsid w:val="00D251F0"/>
    <w:rsid w:val="00D25CB6"/>
    <w:rsid w:val="00D27A3C"/>
    <w:rsid w:val="00D313CE"/>
    <w:rsid w:val="00D31D80"/>
    <w:rsid w:val="00D3265D"/>
    <w:rsid w:val="00D32CE6"/>
    <w:rsid w:val="00D34C53"/>
    <w:rsid w:val="00D3503C"/>
    <w:rsid w:val="00D46B5C"/>
    <w:rsid w:val="00D4714C"/>
    <w:rsid w:val="00D472FF"/>
    <w:rsid w:val="00D521F3"/>
    <w:rsid w:val="00D533CA"/>
    <w:rsid w:val="00D56BBD"/>
    <w:rsid w:val="00D66F3C"/>
    <w:rsid w:val="00D70BA9"/>
    <w:rsid w:val="00D7520C"/>
    <w:rsid w:val="00D75875"/>
    <w:rsid w:val="00D80610"/>
    <w:rsid w:val="00D84A43"/>
    <w:rsid w:val="00D90753"/>
    <w:rsid w:val="00DA1925"/>
    <w:rsid w:val="00DB51B0"/>
    <w:rsid w:val="00DB5FFB"/>
    <w:rsid w:val="00DB6339"/>
    <w:rsid w:val="00DC1B85"/>
    <w:rsid w:val="00DC2B21"/>
    <w:rsid w:val="00DC36C5"/>
    <w:rsid w:val="00DC4632"/>
    <w:rsid w:val="00DC4790"/>
    <w:rsid w:val="00DC4EC8"/>
    <w:rsid w:val="00DC5463"/>
    <w:rsid w:val="00DC5A8F"/>
    <w:rsid w:val="00DD4275"/>
    <w:rsid w:val="00DD49B0"/>
    <w:rsid w:val="00DD5601"/>
    <w:rsid w:val="00DD6665"/>
    <w:rsid w:val="00DE05C6"/>
    <w:rsid w:val="00DE14E1"/>
    <w:rsid w:val="00DE3B7B"/>
    <w:rsid w:val="00DE5B74"/>
    <w:rsid w:val="00DE6D74"/>
    <w:rsid w:val="00DE75FA"/>
    <w:rsid w:val="00DF1A38"/>
    <w:rsid w:val="00DF6293"/>
    <w:rsid w:val="00DF7921"/>
    <w:rsid w:val="00DF792C"/>
    <w:rsid w:val="00E0176F"/>
    <w:rsid w:val="00E0193D"/>
    <w:rsid w:val="00E06CC7"/>
    <w:rsid w:val="00E10D7A"/>
    <w:rsid w:val="00E127ED"/>
    <w:rsid w:val="00E14574"/>
    <w:rsid w:val="00E14E1F"/>
    <w:rsid w:val="00E15A3A"/>
    <w:rsid w:val="00E15BB8"/>
    <w:rsid w:val="00E165A0"/>
    <w:rsid w:val="00E21D09"/>
    <w:rsid w:val="00E274C1"/>
    <w:rsid w:val="00E27CAF"/>
    <w:rsid w:val="00E3192E"/>
    <w:rsid w:val="00E4671C"/>
    <w:rsid w:val="00E513DE"/>
    <w:rsid w:val="00E560F2"/>
    <w:rsid w:val="00E57E19"/>
    <w:rsid w:val="00E60A71"/>
    <w:rsid w:val="00E6793B"/>
    <w:rsid w:val="00E732CF"/>
    <w:rsid w:val="00E742CB"/>
    <w:rsid w:val="00E7739F"/>
    <w:rsid w:val="00E77ECE"/>
    <w:rsid w:val="00E807C9"/>
    <w:rsid w:val="00E80A9C"/>
    <w:rsid w:val="00E828C5"/>
    <w:rsid w:val="00E834E7"/>
    <w:rsid w:val="00E83E41"/>
    <w:rsid w:val="00E845C6"/>
    <w:rsid w:val="00E855FA"/>
    <w:rsid w:val="00E962A1"/>
    <w:rsid w:val="00EA314F"/>
    <w:rsid w:val="00EA7EEC"/>
    <w:rsid w:val="00EB2EE0"/>
    <w:rsid w:val="00EB44F9"/>
    <w:rsid w:val="00EB4F57"/>
    <w:rsid w:val="00EB5D1A"/>
    <w:rsid w:val="00EB7641"/>
    <w:rsid w:val="00EC49F6"/>
    <w:rsid w:val="00EC4DBE"/>
    <w:rsid w:val="00ED4941"/>
    <w:rsid w:val="00ED7AE3"/>
    <w:rsid w:val="00ED7D39"/>
    <w:rsid w:val="00EE3BE4"/>
    <w:rsid w:val="00EE4084"/>
    <w:rsid w:val="00EE5C79"/>
    <w:rsid w:val="00EE7865"/>
    <w:rsid w:val="00EF10DA"/>
    <w:rsid w:val="00EF5781"/>
    <w:rsid w:val="00EF6046"/>
    <w:rsid w:val="00EF7D3E"/>
    <w:rsid w:val="00F000CF"/>
    <w:rsid w:val="00F04E27"/>
    <w:rsid w:val="00F06031"/>
    <w:rsid w:val="00F062A9"/>
    <w:rsid w:val="00F073BA"/>
    <w:rsid w:val="00F11280"/>
    <w:rsid w:val="00F14300"/>
    <w:rsid w:val="00F1467C"/>
    <w:rsid w:val="00F15B25"/>
    <w:rsid w:val="00F15FBA"/>
    <w:rsid w:val="00F22F6E"/>
    <w:rsid w:val="00F25809"/>
    <w:rsid w:val="00F26290"/>
    <w:rsid w:val="00F2651D"/>
    <w:rsid w:val="00F30106"/>
    <w:rsid w:val="00F33A5E"/>
    <w:rsid w:val="00F33BBD"/>
    <w:rsid w:val="00F40604"/>
    <w:rsid w:val="00F51648"/>
    <w:rsid w:val="00F51B4E"/>
    <w:rsid w:val="00F52C06"/>
    <w:rsid w:val="00F545CD"/>
    <w:rsid w:val="00F55485"/>
    <w:rsid w:val="00F56CBD"/>
    <w:rsid w:val="00F56FD9"/>
    <w:rsid w:val="00F57314"/>
    <w:rsid w:val="00F6574A"/>
    <w:rsid w:val="00F671F9"/>
    <w:rsid w:val="00F67E95"/>
    <w:rsid w:val="00F726BB"/>
    <w:rsid w:val="00F76956"/>
    <w:rsid w:val="00F81A25"/>
    <w:rsid w:val="00F83FCE"/>
    <w:rsid w:val="00F8540F"/>
    <w:rsid w:val="00F85615"/>
    <w:rsid w:val="00F856AF"/>
    <w:rsid w:val="00F86003"/>
    <w:rsid w:val="00F923B1"/>
    <w:rsid w:val="00F950DA"/>
    <w:rsid w:val="00F96879"/>
    <w:rsid w:val="00FA2D3E"/>
    <w:rsid w:val="00FA490F"/>
    <w:rsid w:val="00FA4E7B"/>
    <w:rsid w:val="00FA5FE9"/>
    <w:rsid w:val="00FA763A"/>
    <w:rsid w:val="00FB185A"/>
    <w:rsid w:val="00FB368A"/>
    <w:rsid w:val="00FC1967"/>
    <w:rsid w:val="00FC2D6F"/>
    <w:rsid w:val="00FC7058"/>
    <w:rsid w:val="00FC79E4"/>
    <w:rsid w:val="00FD4069"/>
    <w:rsid w:val="00FD59CF"/>
    <w:rsid w:val="00FD59E7"/>
    <w:rsid w:val="00FD77A3"/>
    <w:rsid w:val="00FD7B75"/>
    <w:rsid w:val="00FE4DE5"/>
    <w:rsid w:val="00FE5C5C"/>
    <w:rsid w:val="00FE612F"/>
    <w:rsid w:val="00FF1BE2"/>
    <w:rsid w:val="00FF291D"/>
    <w:rsid w:val="00FF35FB"/>
    <w:rsid w:val="00FF66ED"/>
    <w:rsid w:val="00FF77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8ACE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574A"/>
    <w:rPr>
      <w:rFonts w:ascii="Times New Roman" w:eastAsia="Times New Roman" w:hAnsi="Times New Roman" w:cs="Times New Roman"/>
    </w:rPr>
  </w:style>
  <w:style w:type="paragraph" w:styleId="Heading1">
    <w:name w:val="heading 1"/>
    <w:basedOn w:val="Normal"/>
    <w:next w:val="Normal"/>
    <w:link w:val="Heading1Char"/>
    <w:uiPriority w:val="9"/>
    <w:qFormat/>
    <w:rsid w:val="00840C1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B919C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E1FF8"/>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368A"/>
    <w:pPr>
      <w:ind w:left="720"/>
      <w:contextualSpacing/>
    </w:pPr>
  </w:style>
  <w:style w:type="character" w:customStyle="1" w:styleId="Heading1Char">
    <w:name w:val="Heading 1 Char"/>
    <w:basedOn w:val="DefaultParagraphFont"/>
    <w:link w:val="Heading1"/>
    <w:uiPriority w:val="9"/>
    <w:rsid w:val="00840C10"/>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840C10"/>
    <w:pPr>
      <w:spacing w:line="276" w:lineRule="auto"/>
      <w:outlineLvl w:val="9"/>
    </w:pPr>
    <w:rPr>
      <w:color w:val="365F91" w:themeColor="accent1" w:themeShade="BF"/>
      <w:sz w:val="28"/>
      <w:szCs w:val="28"/>
    </w:rPr>
  </w:style>
  <w:style w:type="paragraph" w:styleId="BalloonText">
    <w:name w:val="Balloon Text"/>
    <w:basedOn w:val="Normal"/>
    <w:link w:val="BalloonTextChar"/>
    <w:uiPriority w:val="99"/>
    <w:semiHidden/>
    <w:unhideWhenUsed/>
    <w:rsid w:val="00840C1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40C10"/>
    <w:rPr>
      <w:rFonts w:ascii="Lucida Grande" w:eastAsia="Times New Roman" w:hAnsi="Lucida Grande" w:cs="Lucida Grande"/>
      <w:sz w:val="18"/>
      <w:szCs w:val="18"/>
    </w:rPr>
  </w:style>
  <w:style w:type="paragraph" w:styleId="TOC1">
    <w:name w:val="toc 1"/>
    <w:basedOn w:val="Normal"/>
    <w:next w:val="Normal"/>
    <w:autoRedefine/>
    <w:uiPriority w:val="39"/>
    <w:unhideWhenUsed/>
    <w:rsid w:val="00840C10"/>
    <w:pPr>
      <w:spacing w:before="120"/>
    </w:pPr>
    <w:rPr>
      <w:rFonts w:asciiTheme="minorHAnsi" w:hAnsiTheme="minorHAnsi"/>
      <w:b/>
    </w:rPr>
  </w:style>
  <w:style w:type="paragraph" w:styleId="TOC2">
    <w:name w:val="toc 2"/>
    <w:basedOn w:val="Normal"/>
    <w:next w:val="Normal"/>
    <w:autoRedefine/>
    <w:uiPriority w:val="39"/>
    <w:unhideWhenUsed/>
    <w:rsid w:val="00026FF0"/>
    <w:pPr>
      <w:tabs>
        <w:tab w:val="right" w:leader="dot" w:pos="8630"/>
      </w:tabs>
      <w:ind w:left="240"/>
    </w:pPr>
    <w:rPr>
      <w:rFonts w:asciiTheme="minorHAnsi" w:hAnsiTheme="minorHAnsi"/>
      <w:b/>
      <w:sz w:val="22"/>
      <w:szCs w:val="22"/>
    </w:rPr>
  </w:style>
  <w:style w:type="paragraph" w:styleId="TOC3">
    <w:name w:val="toc 3"/>
    <w:basedOn w:val="Normal"/>
    <w:next w:val="Normal"/>
    <w:autoRedefine/>
    <w:uiPriority w:val="39"/>
    <w:unhideWhenUsed/>
    <w:rsid w:val="00840C10"/>
    <w:pPr>
      <w:ind w:left="480"/>
    </w:pPr>
    <w:rPr>
      <w:rFonts w:asciiTheme="minorHAnsi" w:hAnsiTheme="minorHAnsi"/>
      <w:sz w:val="22"/>
      <w:szCs w:val="22"/>
    </w:rPr>
  </w:style>
  <w:style w:type="paragraph" w:styleId="TOC4">
    <w:name w:val="toc 4"/>
    <w:basedOn w:val="Normal"/>
    <w:next w:val="Normal"/>
    <w:autoRedefine/>
    <w:uiPriority w:val="39"/>
    <w:unhideWhenUsed/>
    <w:rsid w:val="00840C10"/>
    <w:pPr>
      <w:ind w:left="720"/>
    </w:pPr>
    <w:rPr>
      <w:rFonts w:asciiTheme="minorHAnsi" w:hAnsiTheme="minorHAnsi"/>
      <w:sz w:val="20"/>
      <w:szCs w:val="20"/>
    </w:rPr>
  </w:style>
  <w:style w:type="paragraph" w:styleId="TOC5">
    <w:name w:val="toc 5"/>
    <w:basedOn w:val="Normal"/>
    <w:next w:val="Normal"/>
    <w:autoRedefine/>
    <w:uiPriority w:val="39"/>
    <w:unhideWhenUsed/>
    <w:rsid w:val="00840C10"/>
    <w:pPr>
      <w:ind w:left="960"/>
    </w:pPr>
    <w:rPr>
      <w:rFonts w:asciiTheme="minorHAnsi" w:hAnsiTheme="minorHAnsi"/>
      <w:sz w:val="20"/>
      <w:szCs w:val="20"/>
    </w:rPr>
  </w:style>
  <w:style w:type="paragraph" w:styleId="TOC6">
    <w:name w:val="toc 6"/>
    <w:basedOn w:val="Normal"/>
    <w:next w:val="Normal"/>
    <w:autoRedefine/>
    <w:uiPriority w:val="39"/>
    <w:unhideWhenUsed/>
    <w:rsid w:val="00840C10"/>
    <w:pPr>
      <w:ind w:left="1200"/>
    </w:pPr>
    <w:rPr>
      <w:rFonts w:asciiTheme="minorHAnsi" w:hAnsiTheme="minorHAnsi"/>
      <w:sz w:val="20"/>
      <w:szCs w:val="20"/>
    </w:rPr>
  </w:style>
  <w:style w:type="paragraph" w:styleId="TOC7">
    <w:name w:val="toc 7"/>
    <w:basedOn w:val="Normal"/>
    <w:next w:val="Normal"/>
    <w:autoRedefine/>
    <w:uiPriority w:val="39"/>
    <w:unhideWhenUsed/>
    <w:rsid w:val="00840C10"/>
    <w:pPr>
      <w:ind w:left="1440"/>
    </w:pPr>
    <w:rPr>
      <w:rFonts w:asciiTheme="minorHAnsi" w:hAnsiTheme="minorHAnsi"/>
      <w:sz w:val="20"/>
      <w:szCs w:val="20"/>
    </w:rPr>
  </w:style>
  <w:style w:type="paragraph" w:styleId="TOC8">
    <w:name w:val="toc 8"/>
    <w:basedOn w:val="Normal"/>
    <w:next w:val="Normal"/>
    <w:autoRedefine/>
    <w:uiPriority w:val="39"/>
    <w:unhideWhenUsed/>
    <w:rsid w:val="00840C10"/>
    <w:pPr>
      <w:ind w:left="1680"/>
    </w:pPr>
    <w:rPr>
      <w:rFonts w:asciiTheme="minorHAnsi" w:hAnsiTheme="minorHAnsi"/>
      <w:sz w:val="20"/>
      <w:szCs w:val="20"/>
    </w:rPr>
  </w:style>
  <w:style w:type="paragraph" w:styleId="TOC9">
    <w:name w:val="toc 9"/>
    <w:basedOn w:val="Normal"/>
    <w:next w:val="Normal"/>
    <w:autoRedefine/>
    <w:uiPriority w:val="39"/>
    <w:unhideWhenUsed/>
    <w:rsid w:val="00840C10"/>
    <w:pPr>
      <w:ind w:left="1920"/>
    </w:pPr>
    <w:rPr>
      <w:rFonts w:asciiTheme="minorHAnsi" w:hAnsiTheme="minorHAnsi"/>
      <w:sz w:val="20"/>
      <w:szCs w:val="20"/>
    </w:rPr>
  </w:style>
  <w:style w:type="character" w:customStyle="1" w:styleId="apple-style-span">
    <w:name w:val="apple-style-span"/>
    <w:basedOn w:val="DefaultParagraphFont"/>
    <w:uiPriority w:val="99"/>
    <w:rsid w:val="00D34C53"/>
    <w:rPr>
      <w:rFonts w:cs="Times New Roman"/>
    </w:rPr>
  </w:style>
  <w:style w:type="character" w:customStyle="1" w:styleId="Heading2Char">
    <w:name w:val="Heading 2 Char"/>
    <w:basedOn w:val="DefaultParagraphFont"/>
    <w:link w:val="Heading2"/>
    <w:uiPriority w:val="9"/>
    <w:rsid w:val="00B919C7"/>
    <w:rPr>
      <w:rFonts w:asciiTheme="majorHAnsi" w:eastAsiaTheme="majorEastAsia" w:hAnsiTheme="majorHAnsi" w:cstheme="majorBidi"/>
      <w:b/>
      <w:bCs/>
      <w:color w:val="4F81BD" w:themeColor="accent1"/>
      <w:sz w:val="26"/>
      <w:szCs w:val="26"/>
    </w:rPr>
  </w:style>
  <w:style w:type="paragraph" w:customStyle="1" w:styleId="Default">
    <w:name w:val="Default"/>
    <w:rsid w:val="00BD6149"/>
    <w:pPr>
      <w:widowControl w:val="0"/>
      <w:autoSpaceDE w:val="0"/>
      <w:autoSpaceDN w:val="0"/>
      <w:adjustRightInd w:val="0"/>
    </w:pPr>
    <w:rPr>
      <w:rFonts w:ascii="NXJVMI+ChFreeset" w:hAnsi="NXJVMI+ChFreeset" w:cs="NXJVMI+ChFreeset"/>
      <w:color w:val="000000"/>
    </w:rPr>
  </w:style>
  <w:style w:type="paragraph" w:styleId="Caption">
    <w:name w:val="caption"/>
    <w:basedOn w:val="Normal"/>
    <w:next w:val="Normal"/>
    <w:unhideWhenUsed/>
    <w:qFormat/>
    <w:rsid w:val="00CE2197"/>
    <w:pPr>
      <w:spacing w:after="200" w:line="276" w:lineRule="auto"/>
    </w:pPr>
    <w:rPr>
      <w:rFonts w:ascii="Calibri" w:eastAsia="Calibri" w:hAnsi="Calibri"/>
      <w:b/>
      <w:bCs/>
      <w:sz w:val="20"/>
      <w:szCs w:val="20"/>
    </w:rPr>
  </w:style>
  <w:style w:type="character" w:customStyle="1" w:styleId="Heading3Char">
    <w:name w:val="Heading 3 Char"/>
    <w:basedOn w:val="DefaultParagraphFont"/>
    <w:link w:val="Heading3"/>
    <w:uiPriority w:val="9"/>
    <w:rsid w:val="00BE1FF8"/>
    <w:rPr>
      <w:rFonts w:asciiTheme="majorHAnsi" w:eastAsiaTheme="majorEastAsia" w:hAnsiTheme="majorHAnsi" w:cstheme="majorBidi"/>
      <w:b/>
      <w:bCs/>
      <w:color w:val="4F81BD" w:themeColor="accent1"/>
    </w:rPr>
  </w:style>
  <w:style w:type="paragraph" w:customStyle="1" w:styleId="Stylepara112ptFirstline05Before18pt">
    <w:name w:val="Style para 1 + 12 pt First line:  0.5&quot; Before:  18 pt"/>
    <w:basedOn w:val="Normal"/>
    <w:rsid w:val="00724601"/>
    <w:pPr>
      <w:spacing w:before="360"/>
      <w:ind w:firstLine="720"/>
      <w:jc w:val="both"/>
    </w:pPr>
    <w:rPr>
      <w:rFonts w:eastAsia="SimSun"/>
      <w:szCs w:val="20"/>
      <w:lang w:val="en-GB"/>
    </w:rPr>
  </w:style>
  <w:style w:type="paragraph" w:customStyle="1" w:styleId="MTDisplayEquation">
    <w:name w:val="MTDisplayEquation"/>
    <w:basedOn w:val="Normal"/>
    <w:rsid w:val="007F5289"/>
    <w:pPr>
      <w:tabs>
        <w:tab w:val="center" w:pos="4320"/>
        <w:tab w:val="right" w:pos="8640"/>
      </w:tabs>
      <w:spacing w:before="120" w:after="120"/>
      <w:jc w:val="both"/>
    </w:pPr>
    <w:rPr>
      <w:sz w:val="22"/>
    </w:rPr>
  </w:style>
  <w:style w:type="paragraph" w:styleId="NormalWeb">
    <w:name w:val="Normal (Web)"/>
    <w:basedOn w:val="Normal"/>
    <w:uiPriority w:val="99"/>
    <w:semiHidden/>
    <w:unhideWhenUsed/>
    <w:rsid w:val="00F04E27"/>
    <w:pPr>
      <w:spacing w:before="100" w:beforeAutospacing="1" w:after="100" w:afterAutospacing="1"/>
    </w:pPr>
    <w:rPr>
      <w:lang w:val="mn-MN" w:eastAsia="mn-MN"/>
    </w:rPr>
  </w:style>
  <w:style w:type="character" w:styleId="Strong">
    <w:name w:val="Strong"/>
    <w:basedOn w:val="DefaultParagraphFont"/>
    <w:uiPriority w:val="22"/>
    <w:qFormat/>
    <w:rsid w:val="00F04E27"/>
    <w:rPr>
      <w:b/>
      <w:bCs/>
    </w:rPr>
  </w:style>
  <w:style w:type="character" w:customStyle="1" w:styleId="pin1434516760190pinitbuttoncount">
    <w:name w:val="pin_1434516760190_pin_it_button_count"/>
    <w:basedOn w:val="DefaultParagraphFont"/>
    <w:rsid w:val="00F04E27"/>
  </w:style>
  <w:style w:type="paragraph" w:styleId="TableofFigures">
    <w:name w:val="table of figures"/>
    <w:basedOn w:val="Normal"/>
    <w:next w:val="Normal"/>
    <w:uiPriority w:val="99"/>
    <w:unhideWhenUsed/>
    <w:rsid w:val="006811DE"/>
  </w:style>
  <w:style w:type="character" w:styleId="Hyperlink">
    <w:name w:val="Hyperlink"/>
    <w:basedOn w:val="DefaultParagraphFont"/>
    <w:uiPriority w:val="99"/>
    <w:unhideWhenUsed/>
    <w:rsid w:val="006811DE"/>
    <w:rPr>
      <w:color w:val="0000FF" w:themeColor="hyperlink"/>
      <w:u w:val="single"/>
    </w:rPr>
  </w:style>
  <w:style w:type="paragraph" w:styleId="FootnoteText">
    <w:name w:val="footnote text"/>
    <w:basedOn w:val="Normal"/>
    <w:link w:val="FootnoteTextChar"/>
    <w:unhideWhenUsed/>
    <w:rsid w:val="00E834E7"/>
    <w:rPr>
      <w:sz w:val="20"/>
      <w:szCs w:val="20"/>
    </w:rPr>
  </w:style>
  <w:style w:type="character" w:customStyle="1" w:styleId="FootnoteTextChar">
    <w:name w:val="Footnote Text Char"/>
    <w:basedOn w:val="DefaultParagraphFont"/>
    <w:link w:val="FootnoteText"/>
    <w:uiPriority w:val="99"/>
    <w:rsid w:val="00E834E7"/>
    <w:rPr>
      <w:rFonts w:ascii="Times New Roman" w:eastAsia="Times New Roman" w:hAnsi="Times New Roman" w:cs="Times New Roman"/>
      <w:sz w:val="20"/>
      <w:szCs w:val="20"/>
    </w:rPr>
  </w:style>
  <w:style w:type="character" w:styleId="FootnoteReference">
    <w:name w:val="footnote reference"/>
    <w:basedOn w:val="DefaultParagraphFont"/>
    <w:uiPriority w:val="99"/>
    <w:unhideWhenUsed/>
    <w:rsid w:val="00E834E7"/>
    <w:rPr>
      <w:vertAlign w:val="superscript"/>
    </w:rPr>
  </w:style>
  <w:style w:type="paragraph" w:styleId="BodyText">
    <w:name w:val="Body Text"/>
    <w:basedOn w:val="Normal"/>
    <w:link w:val="BodyTextChar"/>
    <w:uiPriority w:val="99"/>
    <w:rsid w:val="00953471"/>
    <w:pPr>
      <w:spacing w:after="120"/>
      <w:jc w:val="both"/>
    </w:pPr>
    <w:rPr>
      <w:rFonts w:ascii="Arial" w:eastAsia="Calibri" w:hAnsi="Arial"/>
      <w:szCs w:val="22"/>
    </w:rPr>
  </w:style>
  <w:style w:type="character" w:customStyle="1" w:styleId="BodyTextChar">
    <w:name w:val="Body Text Char"/>
    <w:basedOn w:val="DefaultParagraphFont"/>
    <w:link w:val="BodyText"/>
    <w:uiPriority w:val="99"/>
    <w:rsid w:val="00953471"/>
    <w:rPr>
      <w:rFonts w:ascii="Arial" w:eastAsia="Calibri" w:hAnsi="Arial" w:cs="Times New Roman"/>
      <w:szCs w:val="22"/>
    </w:rPr>
  </w:style>
  <w:style w:type="character" w:styleId="CommentReference">
    <w:name w:val="annotation reference"/>
    <w:basedOn w:val="DefaultParagraphFont"/>
    <w:uiPriority w:val="99"/>
    <w:semiHidden/>
    <w:unhideWhenUsed/>
    <w:rsid w:val="00C7639E"/>
    <w:rPr>
      <w:sz w:val="16"/>
      <w:szCs w:val="16"/>
    </w:rPr>
  </w:style>
  <w:style w:type="paragraph" w:styleId="CommentText">
    <w:name w:val="annotation text"/>
    <w:basedOn w:val="Normal"/>
    <w:link w:val="CommentTextChar"/>
    <w:uiPriority w:val="99"/>
    <w:unhideWhenUsed/>
    <w:rsid w:val="00C7639E"/>
    <w:rPr>
      <w:sz w:val="20"/>
      <w:szCs w:val="20"/>
    </w:rPr>
  </w:style>
  <w:style w:type="character" w:customStyle="1" w:styleId="CommentTextChar">
    <w:name w:val="Comment Text Char"/>
    <w:basedOn w:val="DefaultParagraphFont"/>
    <w:link w:val="CommentText"/>
    <w:uiPriority w:val="99"/>
    <w:rsid w:val="00C7639E"/>
    <w:rPr>
      <w:rFonts w:ascii="Times New Roman" w:eastAsia="Times New Roman" w:hAnsi="Times New Roman" w:cs="Times New Roman"/>
      <w:sz w:val="20"/>
      <w:szCs w:val="20"/>
    </w:rPr>
  </w:style>
  <w:style w:type="paragraph" w:styleId="NoSpacing">
    <w:name w:val="No Spacing"/>
    <w:link w:val="NoSpacingChar"/>
    <w:uiPriority w:val="1"/>
    <w:qFormat/>
    <w:rsid w:val="00AD5F6B"/>
    <w:rPr>
      <w:sz w:val="22"/>
      <w:szCs w:val="22"/>
    </w:rPr>
  </w:style>
  <w:style w:type="character" w:customStyle="1" w:styleId="NoSpacingChar">
    <w:name w:val="No Spacing Char"/>
    <w:basedOn w:val="DefaultParagraphFont"/>
    <w:link w:val="NoSpacing"/>
    <w:uiPriority w:val="1"/>
    <w:rsid w:val="00AD5F6B"/>
    <w:rPr>
      <w:sz w:val="22"/>
      <w:szCs w:val="22"/>
    </w:rPr>
  </w:style>
  <w:style w:type="paragraph" w:styleId="Header">
    <w:name w:val="header"/>
    <w:basedOn w:val="Normal"/>
    <w:link w:val="HeaderChar"/>
    <w:uiPriority w:val="99"/>
    <w:semiHidden/>
    <w:unhideWhenUsed/>
    <w:rsid w:val="00AD5F6B"/>
    <w:pPr>
      <w:tabs>
        <w:tab w:val="center" w:pos="4153"/>
        <w:tab w:val="right" w:pos="8306"/>
      </w:tabs>
    </w:pPr>
  </w:style>
  <w:style w:type="character" w:customStyle="1" w:styleId="HeaderChar">
    <w:name w:val="Header Char"/>
    <w:basedOn w:val="DefaultParagraphFont"/>
    <w:link w:val="Header"/>
    <w:uiPriority w:val="99"/>
    <w:semiHidden/>
    <w:rsid w:val="00AD5F6B"/>
    <w:rPr>
      <w:rFonts w:ascii="Times New Roman" w:eastAsia="Times New Roman" w:hAnsi="Times New Roman" w:cs="Times New Roman"/>
    </w:rPr>
  </w:style>
  <w:style w:type="paragraph" w:styleId="Footer">
    <w:name w:val="footer"/>
    <w:basedOn w:val="Normal"/>
    <w:link w:val="FooterChar"/>
    <w:uiPriority w:val="99"/>
    <w:unhideWhenUsed/>
    <w:rsid w:val="00AD5F6B"/>
    <w:pPr>
      <w:tabs>
        <w:tab w:val="center" w:pos="4153"/>
        <w:tab w:val="right" w:pos="8306"/>
      </w:tabs>
    </w:pPr>
  </w:style>
  <w:style w:type="character" w:customStyle="1" w:styleId="FooterChar">
    <w:name w:val="Footer Char"/>
    <w:basedOn w:val="DefaultParagraphFont"/>
    <w:link w:val="Footer"/>
    <w:uiPriority w:val="99"/>
    <w:rsid w:val="00AD5F6B"/>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574A"/>
    <w:rPr>
      <w:rFonts w:ascii="Times New Roman" w:eastAsia="Times New Roman" w:hAnsi="Times New Roman" w:cs="Times New Roman"/>
    </w:rPr>
  </w:style>
  <w:style w:type="paragraph" w:styleId="Heading1">
    <w:name w:val="heading 1"/>
    <w:basedOn w:val="Normal"/>
    <w:next w:val="Normal"/>
    <w:link w:val="Heading1Char"/>
    <w:uiPriority w:val="9"/>
    <w:qFormat/>
    <w:rsid w:val="00840C1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B919C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E1FF8"/>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368A"/>
    <w:pPr>
      <w:ind w:left="720"/>
      <w:contextualSpacing/>
    </w:pPr>
  </w:style>
  <w:style w:type="character" w:customStyle="1" w:styleId="Heading1Char">
    <w:name w:val="Heading 1 Char"/>
    <w:basedOn w:val="DefaultParagraphFont"/>
    <w:link w:val="Heading1"/>
    <w:uiPriority w:val="9"/>
    <w:rsid w:val="00840C10"/>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840C10"/>
    <w:pPr>
      <w:spacing w:line="276" w:lineRule="auto"/>
      <w:outlineLvl w:val="9"/>
    </w:pPr>
    <w:rPr>
      <w:color w:val="365F91" w:themeColor="accent1" w:themeShade="BF"/>
      <w:sz w:val="28"/>
      <w:szCs w:val="28"/>
    </w:rPr>
  </w:style>
  <w:style w:type="paragraph" w:styleId="BalloonText">
    <w:name w:val="Balloon Text"/>
    <w:basedOn w:val="Normal"/>
    <w:link w:val="BalloonTextChar"/>
    <w:uiPriority w:val="99"/>
    <w:semiHidden/>
    <w:unhideWhenUsed/>
    <w:rsid w:val="00840C1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40C10"/>
    <w:rPr>
      <w:rFonts w:ascii="Lucida Grande" w:eastAsia="Times New Roman" w:hAnsi="Lucida Grande" w:cs="Lucida Grande"/>
      <w:sz w:val="18"/>
      <w:szCs w:val="18"/>
    </w:rPr>
  </w:style>
  <w:style w:type="paragraph" w:styleId="TOC1">
    <w:name w:val="toc 1"/>
    <w:basedOn w:val="Normal"/>
    <w:next w:val="Normal"/>
    <w:autoRedefine/>
    <w:uiPriority w:val="39"/>
    <w:unhideWhenUsed/>
    <w:rsid w:val="00840C10"/>
    <w:pPr>
      <w:spacing w:before="120"/>
    </w:pPr>
    <w:rPr>
      <w:rFonts w:asciiTheme="minorHAnsi" w:hAnsiTheme="minorHAnsi"/>
      <w:b/>
    </w:rPr>
  </w:style>
  <w:style w:type="paragraph" w:styleId="TOC2">
    <w:name w:val="toc 2"/>
    <w:basedOn w:val="Normal"/>
    <w:next w:val="Normal"/>
    <w:autoRedefine/>
    <w:uiPriority w:val="39"/>
    <w:unhideWhenUsed/>
    <w:rsid w:val="00026FF0"/>
    <w:pPr>
      <w:tabs>
        <w:tab w:val="right" w:leader="dot" w:pos="8630"/>
      </w:tabs>
      <w:ind w:left="240"/>
    </w:pPr>
    <w:rPr>
      <w:rFonts w:asciiTheme="minorHAnsi" w:hAnsiTheme="minorHAnsi"/>
      <w:b/>
      <w:sz w:val="22"/>
      <w:szCs w:val="22"/>
    </w:rPr>
  </w:style>
  <w:style w:type="paragraph" w:styleId="TOC3">
    <w:name w:val="toc 3"/>
    <w:basedOn w:val="Normal"/>
    <w:next w:val="Normal"/>
    <w:autoRedefine/>
    <w:uiPriority w:val="39"/>
    <w:unhideWhenUsed/>
    <w:rsid w:val="00840C10"/>
    <w:pPr>
      <w:ind w:left="480"/>
    </w:pPr>
    <w:rPr>
      <w:rFonts w:asciiTheme="minorHAnsi" w:hAnsiTheme="minorHAnsi"/>
      <w:sz w:val="22"/>
      <w:szCs w:val="22"/>
    </w:rPr>
  </w:style>
  <w:style w:type="paragraph" w:styleId="TOC4">
    <w:name w:val="toc 4"/>
    <w:basedOn w:val="Normal"/>
    <w:next w:val="Normal"/>
    <w:autoRedefine/>
    <w:uiPriority w:val="39"/>
    <w:unhideWhenUsed/>
    <w:rsid w:val="00840C10"/>
    <w:pPr>
      <w:ind w:left="720"/>
    </w:pPr>
    <w:rPr>
      <w:rFonts w:asciiTheme="minorHAnsi" w:hAnsiTheme="minorHAnsi"/>
      <w:sz w:val="20"/>
      <w:szCs w:val="20"/>
    </w:rPr>
  </w:style>
  <w:style w:type="paragraph" w:styleId="TOC5">
    <w:name w:val="toc 5"/>
    <w:basedOn w:val="Normal"/>
    <w:next w:val="Normal"/>
    <w:autoRedefine/>
    <w:uiPriority w:val="39"/>
    <w:unhideWhenUsed/>
    <w:rsid w:val="00840C10"/>
    <w:pPr>
      <w:ind w:left="960"/>
    </w:pPr>
    <w:rPr>
      <w:rFonts w:asciiTheme="minorHAnsi" w:hAnsiTheme="minorHAnsi"/>
      <w:sz w:val="20"/>
      <w:szCs w:val="20"/>
    </w:rPr>
  </w:style>
  <w:style w:type="paragraph" w:styleId="TOC6">
    <w:name w:val="toc 6"/>
    <w:basedOn w:val="Normal"/>
    <w:next w:val="Normal"/>
    <w:autoRedefine/>
    <w:uiPriority w:val="39"/>
    <w:unhideWhenUsed/>
    <w:rsid w:val="00840C10"/>
    <w:pPr>
      <w:ind w:left="1200"/>
    </w:pPr>
    <w:rPr>
      <w:rFonts w:asciiTheme="minorHAnsi" w:hAnsiTheme="minorHAnsi"/>
      <w:sz w:val="20"/>
      <w:szCs w:val="20"/>
    </w:rPr>
  </w:style>
  <w:style w:type="paragraph" w:styleId="TOC7">
    <w:name w:val="toc 7"/>
    <w:basedOn w:val="Normal"/>
    <w:next w:val="Normal"/>
    <w:autoRedefine/>
    <w:uiPriority w:val="39"/>
    <w:unhideWhenUsed/>
    <w:rsid w:val="00840C10"/>
    <w:pPr>
      <w:ind w:left="1440"/>
    </w:pPr>
    <w:rPr>
      <w:rFonts w:asciiTheme="minorHAnsi" w:hAnsiTheme="minorHAnsi"/>
      <w:sz w:val="20"/>
      <w:szCs w:val="20"/>
    </w:rPr>
  </w:style>
  <w:style w:type="paragraph" w:styleId="TOC8">
    <w:name w:val="toc 8"/>
    <w:basedOn w:val="Normal"/>
    <w:next w:val="Normal"/>
    <w:autoRedefine/>
    <w:uiPriority w:val="39"/>
    <w:unhideWhenUsed/>
    <w:rsid w:val="00840C10"/>
    <w:pPr>
      <w:ind w:left="1680"/>
    </w:pPr>
    <w:rPr>
      <w:rFonts w:asciiTheme="minorHAnsi" w:hAnsiTheme="minorHAnsi"/>
      <w:sz w:val="20"/>
      <w:szCs w:val="20"/>
    </w:rPr>
  </w:style>
  <w:style w:type="paragraph" w:styleId="TOC9">
    <w:name w:val="toc 9"/>
    <w:basedOn w:val="Normal"/>
    <w:next w:val="Normal"/>
    <w:autoRedefine/>
    <w:uiPriority w:val="39"/>
    <w:unhideWhenUsed/>
    <w:rsid w:val="00840C10"/>
    <w:pPr>
      <w:ind w:left="1920"/>
    </w:pPr>
    <w:rPr>
      <w:rFonts w:asciiTheme="minorHAnsi" w:hAnsiTheme="minorHAnsi"/>
      <w:sz w:val="20"/>
      <w:szCs w:val="20"/>
    </w:rPr>
  </w:style>
  <w:style w:type="character" w:customStyle="1" w:styleId="apple-style-span">
    <w:name w:val="apple-style-span"/>
    <w:basedOn w:val="DefaultParagraphFont"/>
    <w:uiPriority w:val="99"/>
    <w:rsid w:val="00D34C53"/>
    <w:rPr>
      <w:rFonts w:cs="Times New Roman"/>
    </w:rPr>
  </w:style>
  <w:style w:type="character" w:customStyle="1" w:styleId="Heading2Char">
    <w:name w:val="Heading 2 Char"/>
    <w:basedOn w:val="DefaultParagraphFont"/>
    <w:link w:val="Heading2"/>
    <w:uiPriority w:val="9"/>
    <w:rsid w:val="00B919C7"/>
    <w:rPr>
      <w:rFonts w:asciiTheme="majorHAnsi" w:eastAsiaTheme="majorEastAsia" w:hAnsiTheme="majorHAnsi" w:cstheme="majorBidi"/>
      <w:b/>
      <w:bCs/>
      <w:color w:val="4F81BD" w:themeColor="accent1"/>
      <w:sz w:val="26"/>
      <w:szCs w:val="26"/>
    </w:rPr>
  </w:style>
  <w:style w:type="paragraph" w:customStyle="1" w:styleId="Default">
    <w:name w:val="Default"/>
    <w:rsid w:val="00BD6149"/>
    <w:pPr>
      <w:widowControl w:val="0"/>
      <w:autoSpaceDE w:val="0"/>
      <w:autoSpaceDN w:val="0"/>
      <w:adjustRightInd w:val="0"/>
    </w:pPr>
    <w:rPr>
      <w:rFonts w:ascii="NXJVMI+ChFreeset" w:hAnsi="NXJVMI+ChFreeset" w:cs="NXJVMI+ChFreeset"/>
      <w:color w:val="000000"/>
    </w:rPr>
  </w:style>
  <w:style w:type="paragraph" w:styleId="Caption">
    <w:name w:val="caption"/>
    <w:basedOn w:val="Normal"/>
    <w:next w:val="Normal"/>
    <w:unhideWhenUsed/>
    <w:qFormat/>
    <w:rsid w:val="00CE2197"/>
    <w:pPr>
      <w:spacing w:after="200" w:line="276" w:lineRule="auto"/>
    </w:pPr>
    <w:rPr>
      <w:rFonts w:ascii="Calibri" w:eastAsia="Calibri" w:hAnsi="Calibri"/>
      <w:b/>
      <w:bCs/>
      <w:sz w:val="20"/>
      <w:szCs w:val="20"/>
    </w:rPr>
  </w:style>
  <w:style w:type="character" w:customStyle="1" w:styleId="Heading3Char">
    <w:name w:val="Heading 3 Char"/>
    <w:basedOn w:val="DefaultParagraphFont"/>
    <w:link w:val="Heading3"/>
    <w:uiPriority w:val="9"/>
    <w:rsid w:val="00BE1FF8"/>
    <w:rPr>
      <w:rFonts w:asciiTheme="majorHAnsi" w:eastAsiaTheme="majorEastAsia" w:hAnsiTheme="majorHAnsi" w:cstheme="majorBidi"/>
      <w:b/>
      <w:bCs/>
      <w:color w:val="4F81BD" w:themeColor="accent1"/>
    </w:rPr>
  </w:style>
  <w:style w:type="paragraph" w:customStyle="1" w:styleId="Stylepara112ptFirstline05Before18pt">
    <w:name w:val="Style para 1 + 12 pt First line:  0.5&quot; Before:  18 pt"/>
    <w:basedOn w:val="Normal"/>
    <w:rsid w:val="00724601"/>
    <w:pPr>
      <w:spacing w:before="360"/>
      <w:ind w:firstLine="720"/>
      <w:jc w:val="both"/>
    </w:pPr>
    <w:rPr>
      <w:rFonts w:eastAsia="SimSun"/>
      <w:szCs w:val="20"/>
      <w:lang w:val="en-GB"/>
    </w:rPr>
  </w:style>
  <w:style w:type="paragraph" w:customStyle="1" w:styleId="MTDisplayEquation">
    <w:name w:val="MTDisplayEquation"/>
    <w:basedOn w:val="Normal"/>
    <w:rsid w:val="007F5289"/>
    <w:pPr>
      <w:tabs>
        <w:tab w:val="center" w:pos="4320"/>
        <w:tab w:val="right" w:pos="8640"/>
      </w:tabs>
      <w:spacing w:before="120" w:after="120"/>
      <w:jc w:val="both"/>
    </w:pPr>
    <w:rPr>
      <w:sz w:val="22"/>
    </w:rPr>
  </w:style>
  <w:style w:type="paragraph" w:styleId="NormalWeb">
    <w:name w:val="Normal (Web)"/>
    <w:basedOn w:val="Normal"/>
    <w:uiPriority w:val="99"/>
    <w:semiHidden/>
    <w:unhideWhenUsed/>
    <w:rsid w:val="00F04E27"/>
    <w:pPr>
      <w:spacing w:before="100" w:beforeAutospacing="1" w:after="100" w:afterAutospacing="1"/>
    </w:pPr>
    <w:rPr>
      <w:lang w:val="mn-MN" w:eastAsia="mn-MN"/>
    </w:rPr>
  </w:style>
  <w:style w:type="character" w:styleId="Strong">
    <w:name w:val="Strong"/>
    <w:basedOn w:val="DefaultParagraphFont"/>
    <w:uiPriority w:val="22"/>
    <w:qFormat/>
    <w:rsid w:val="00F04E27"/>
    <w:rPr>
      <w:b/>
      <w:bCs/>
    </w:rPr>
  </w:style>
  <w:style w:type="character" w:customStyle="1" w:styleId="pin1434516760190pinitbuttoncount">
    <w:name w:val="pin_1434516760190_pin_it_button_count"/>
    <w:basedOn w:val="DefaultParagraphFont"/>
    <w:rsid w:val="00F04E27"/>
  </w:style>
  <w:style w:type="paragraph" w:styleId="TableofFigures">
    <w:name w:val="table of figures"/>
    <w:basedOn w:val="Normal"/>
    <w:next w:val="Normal"/>
    <w:uiPriority w:val="99"/>
    <w:unhideWhenUsed/>
    <w:rsid w:val="006811DE"/>
  </w:style>
  <w:style w:type="character" w:styleId="Hyperlink">
    <w:name w:val="Hyperlink"/>
    <w:basedOn w:val="DefaultParagraphFont"/>
    <w:uiPriority w:val="99"/>
    <w:unhideWhenUsed/>
    <w:rsid w:val="006811DE"/>
    <w:rPr>
      <w:color w:val="0000FF" w:themeColor="hyperlink"/>
      <w:u w:val="single"/>
    </w:rPr>
  </w:style>
  <w:style w:type="paragraph" w:styleId="FootnoteText">
    <w:name w:val="footnote text"/>
    <w:basedOn w:val="Normal"/>
    <w:link w:val="FootnoteTextChar"/>
    <w:unhideWhenUsed/>
    <w:rsid w:val="00E834E7"/>
    <w:rPr>
      <w:sz w:val="20"/>
      <w:szCs w:val="20"/>
    </w:rPr>
  </w:style>
  <w:style w:type="character" w:customStyle="1" w:styleId="FootnoteTextChar">
    <w:name w:val="Footnote Text Char"/>
    <w:basedOn w:val="DefaultParagraphFont"/>
    <w:link w:val="FootnoteText"/>
    <w:uiPriority w:val="99"/>
    <w:rsid w:val="00E834E7"/>
    <w:rPr>
      <w:rFonts w:ascii="Times New Roman" w:eastAsia="Times New Roman" w:hAnsi="Times New Roman" w:cs="Times New Roman"/>
      <w:sz w:val="20"/>
      <w:szCs w:val="20"/>
    </w:rPr>
  </w:style>
  <w:style w:type="character" w:styleId="FootnoteReference">
    <w:name w:val="footnote reference"/>
    <w:basedOn w:val="DefaultParagraphFont"/>
    <w:uiPriority w:val="99"/>
    <w:unhideWhenUsed/>
    <w:rsid w:val="00E834E7"/>
    <w:rPr>
      <w:vertAlign w:val="superscript"/>
    </w:rPr>
  </w:style>
  <w:style w:type="paragraph" w:styleId="BodyText">
    <w:name w:val="Body Text"/>
    <w:basedOn w:val="Normal"/>
    <w:link w:val="BodyTextChar"/>
    <w:uiPriority w:val="99"/>
    <w:rsid w:val="00953471"/>
    <w:pPr>
      <w:spacing w:after="120"/>
      <w:jc w:val="both"/>
    </w:pPr>
    <w:rPr>
      <w:rFonts w:ascii="Arial" w:eastAsia="Calibri" w:hAnsi="Arial"/>
      <w:szCs w:val="22"/>
    </w:rPr>
  </w:style>
  <w:style w:type="character" w:customStyle="1" w:styleId="BodyTextChar">
    <w:name w:val="Body Text Char"/>
    <w:basedOn w:val="DefaultParagraphFont"/>
    <w:link w:val="BodyText"/>
    <w:uiPriority w:val="99"/>
    <w:rsid w:val="00953471"/>
    <w:rPr>
      <w:rFonts w:ascii="Arial" w:eastAsia="Calibri" w:hAnsi="Arial" w:cs="Times New Roman"/>
      <w:szCs w:val="22"/>
    </w:rPr>
  </w:style>
  <w:style w:type="character" w:styleId="CommentReference">
    <w:name w:val="annotation reference"/>
    <w:basedOn w:val="DefaultParagraphFont"/>
    <w:uiPriority w:val="99"/>
    <w:semiHidden/>
    <w:unhideWhenUsed/>
    <w:rsid w:val="00C7639E"/>
    <w:rPr>
      <w:sz w:val="16"/>
      <w:szCs w:val="16"/>
    </w:rPr>
  </w:style>
  <w:style w:type="paragraph" w:styleId="CommentText">
    <w:name w:val="annotation text"/>
    <w:basedOn w:val="Normal"/>
    <w:link w:val="CommentTextChar"/>
    <w:uiPriority w:val="99"/>
    <w:unhideWhenUsed/>
    <w:rsid w:val="00C7639E"/>
    <w:rPr>
      <w:sz w:val="20"/>
      <w:szCs w:val="20"/>
    </w:rPr>
  </w:style>
  <w:style w:type="character" w:customStyle="1" w:styleId="CommentTextChar">
    <w:name w:val="Comment Text Char"/>
    <w:basedOn w:val="DefaultParagraphFont"/>
    <w:link w:val="CommentText"/>
    <w:uiPriority w:val="99"/>
    <w:rsid w:val="00C7639E"/>
    <w:rPr>
      <w:rFonts w:ascii="Times New Roman" w:eastAsia="Times New Roman" w:hAnsi="Times New Roman" w:cs="Times New Roman"/>
      <w:sz w:val="20"/>
      <w:szCs w:val="20"/>
    </w:rPr>
  </w:style>
  <w:style w:type="paragraph" w:styleId="NoSpacing">
    <w:name w:val="No Spacing"/>
    <w:link w:val="NoSpacingChar"/>
    <w:uiPriority w:val="1"/>
    <w:qFormat/>
    <w:rsid w:val="00AD5F6B"/>
    <w:rPr>
      <w:sz w:val="22"/>
      <w:szCs w:val="22"/>
    </w:rPr>
  </w:style>
  <w:style w:type="character" w:customStyle="1" w:styleId="NoSpacingChar">
    <w:name w:val="No Spacing Char"/>
    <w:basedOn w:val="DefaultParagraphFont"/>
    <w:link w:val="NoSpacing"/>
    <w:uiPriority w:val="1"/>
    <w:rsid w:val="00AD5F6B"/>
    <w:rPr>
      <w:sz w:val="22"/>
      <w:szCs w:val="22"/>
    </w:rPr>
  </w:style>
  <w:style w:type="paragraph" w:styleId="Header">
    <w:name w:val="header"/>
    <w:basedOn w:val="Normal"/>
    <w:link w:val="HeaderChar"/>
    <w:uiPriority w:val="99"/>
    <w:semiHidden/>
    <w:unhideWhenUsed/>
    <w:rsid w:val="00AD5F6B"/>
    <w:pPr>
      <w:tabs>
        <w:tab w:val="center" w:pos="4153"/>
        <w:tab w:val="right" w:pos="8306"/>
      </w:tabs>
    </w:pPr>
  </w:style>
  <w:style w:type="character" w:customStyle="1" w:styleId="HeaderChar">
    <w:name w:val="Header Char"/>
    <w:basedOn w:val="DefaultParagraphFont"/>
    <w:link w:val="Header"/>
    <w:uiPriority w:val="99"/>
    <w:semiHidden/>
    <w:rsid w:val="00AD5F6B"/>
    <w:rPr>
      <w:rFonts w:ascii="Times New Roman" w:eastAsia="Times New Roman" w:hAnsi="Times New Roman" w:cs="Times New Roman"/>
    </w:rPr>
  </w:style>
  <w:style w:type="paragraph" w:styleId="Footer">
    <w:name w:val="footer"/>
    <w:basedOn w:val="Normal"/>
    <w:link w:val="FooterChar"/>
    <w:uiPriority w:val="99"/>
    <w:unhideWhenUsed/>
    <w:rsid w:val="00AD5F6B"/>
    <w:pPr>
      <w:tabs>
        <w:tab w:val="center" w:pos="4153"/>
        <w:tab w:val="right" w:pos="8306"/>
      </w:tabs>
    </w:pPr>
  </w:style>
  <w:style w:type="character" w:customStyle="1" w:styleId="FooterChar">
    <w:name w:val="Footer Char"/>
    <w:basedOn w:val="DefaultParagraphFont"/>
    <w:link w:val="Footer"/>
    <w:uiPriority w:val="99"/>
    <w:rsid w:val="00AD5F6B"/>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885915">
      <w:bodyDiv w:val="1"/>
      <w:marLeft w:val="0"/>
      <w:marRight w:val="0"/>
      <w:marTop w:val="0"/>
      <w:marBottom w:val="0"/>
      <w:divBdr>
        <w:top w:val="none" w:sz="0" w:space="0" w:color="auto"/>
        <w:left w:val="none" w:sz="0" w:space="0" w:color="auto"/>
        <w:bottom w:val="none" w:sz="0" w:space="0" w:color="auto"/>
        <w:right w:val="none" w:sz="0" w:space="0" w:color="auto"/>
      </w:divBdr>
    </w:div>
    <w:div w:id="96029671">
      <w:bodyDiv w:val="1"/>
      <w:marLeft w:val="0"/>
      <w:marRight w:val="0"/>
      <w:marTop w:val="0"/>
      <w:marBottom w:val="0"/>
      <w:divBdr>
        <w:top w:val="none" w:sz="0" w:space="0" w:color="auto"/>
        <w:left w:val="none" w:sz="0" w:space="0" w:color="auto"/>
        <w:bottom w:val="none" w:sz="0" w:space="0" w:color="auto"/>
        <w:right w:val="none" w:sz="0" w:space="0" w:color="auto"/>
      </w:divBdr>
    </w:div>
    <w:div w:id="96099808">
      <w:bodyDiv w:val="1"/>
      <w:marLeft w:val="0"/>
      <w:marRight w:val="0"/>
      <w:marTop w:val="0"/>
      <w:marBottom w:val="0"/>
      <w:divBdr>
        <w:top w:val="none" w:sz="0" w:space="0" w:color="auto"/>
        <w:left w:val="none" w:sz="0" w:space="0" w:color="auto"/>
        <w:bottom w:val="none" w:sz="0" w:space="0" w:color="auto"/>
        <w:right w:val="none" w:sz="0" w:space="0" w:color="auto"/>
      </w:divBdr>
    </w:div>
    <w:div w:id="163710623">
      <w:bodyDiv w:val="1"/>
      <w:marLeft w:val="0"/>
      <w:marRight w:val="0"/>
      <w:marTop w:val="0"/>
      <w:marBottom w:val="0"/>
      <w:divBdr>
        <w:top w:val="none" w:sz="0" w:space="0" w:color="auto"/>
        <w:left w:val="none" w:sz="0" w:space="0" w:color="auto"/>
        <w:bottom w:val="none" w:sz="0" w:space="0" w:color="auto"/>
        <w:right w:val="none" w:sz="0" w:space="0" w:color="auto"/>
      </w:divBdr>
    </w:div>
    <w:div w:id="227419938">
      <w:bodyDiv w:val="1"/>
      <w:marLeft w:val="0"/>
      <w:marRight w:val="0"/>
      <w:marTop w:val="0"/>
      <w:marBottom w:val="0"/>
      <w:divBdr>
        <w:top w:val="none" w:sz="0" w:space="0" w:color="auto"/>
        <w:left w:val="none" w:sz="0" w:space="0" w:color="auto"/>
        <w:bottom w:val="none" w:sz="0" w:space="0" w:color="auto"/>
        <w:right w:val="none" w:sz="0" w:space="0" w:color="auto"/>
      </w:divBdr>
    </w:div>
    <w:div w:id="266426167">
      <w:bodyDiv w:val="1"/>
      <w:marLeft w:val="0"/>
      <w:marRight w:val="0"/>
      <w:marTop w:val="0"/>
      <w:marBottom w:val="0"/>
      <w:divBdr>
        <w:top w:val="none" w:sz="0" w:space="0" w:color="auto"/>
        <w:left w:val="none" w:sz="0" w:space="0" w:color="auto"/>
        <w:bottom w:val="none" w:sz="0" w:space="0" w:color="auto"/>
        <w:right w:val="none" w:sz="0" w:space="0" w:color="auto"/>
      </w:divBdr>
    </w:div>
    <w:div w:id="414129192">
      <w:bodyDiv w:val="1"/>
      <w:marLeft w:val="0"/>
      <w:marRight w:val="0"/>
      <w:marTop w:val="0"/>
      <w:marBottom w:val="0"/>
      <w:divBdr>
        <w:top w:val="none" w:sz="0" w:space="0" w:color="auto"/>
        <w:left w:val="none" w:sz="0" w:space="0" w:color="auto"/>
        <w:bottom w:val="none" w:sz="0" w:space="0" w:color="auto"/>
        <w:right w:val="none" w:sz="0" w:space="0" w:color="auto"/>
      </w:divBdr>
    </w:div>
    <w:div w:id="464742035">
      <w:bodyDiv w:val="1"/>
      <w:marLeft w:val="0"/>
      <w:marRight w:val="0"/>
      <w:marTop w:val="0"/>
      <w:marBottom w:val="0"/>
      <w:divBdr>
        <w:top w:val="none" w:sz="0" w:space="0" w:color="auto"/>
        <w:left w:val="none" w:sz="0" w:space="0" w:color="auto"/>
        <w:bottom w:val="none" w:sz="0" w:space="0" w:color="auto"/>
        <w:right w:val="none" w:sz="0" w:space="0" w:color="auto"/>
      </w:divBdr>
    </w:div>
    <w:div w:id="487282234">
      <w:bodyDiv w:val="1"/>
      <w:marLeft w:val="0"/>
      <w:marRight w:val="0"/>
      <w:marTop w:val="0"/>
      <w:marBottom w:val="0"/>
      <w:divBdr>
        <w:top w:val="none" w:sz="0" w:space="0" w:color="auto"/>
        <w:left w:val="none" w:sz="0" w:space="0" w:color="auto"/>
        <w:bottom w:val="none" w:sz="0" w:space="0" w:color="auto"/>
        <w:right w:val="none" w:sz="0" w:space="0" w:color="auto"/>
      </w:divBdr>
    </w:div>
    <w:div w:id="523830209">
      <w:bodyDiv w:val="1"/>
      <w:marLeft w:val="0"/>
      <w:marRight w:val="0"/>
      <w:marTop w:val="0"/>
      <w:marBottom w:val="0"/>
      <w:divBdr>
        <w:top w:val="none" w:sz="0" w:space="0" w:color="auto"/>
        <w:left w:val="none" w:sz="0" w:space="0" w:color="auto"/>
        <w:bottom w:val="none" w:sz="0" w:space="0" w:color="auto"/>
        <w:right w:val="none" w:sz="0" w:space="0" w:color="auto"/>
      </w:divBdr>
    </w:div>
    <w:div w:id="800996678">
      <w:bodyDiv w:val="1"/>
      <w:marLeft w:val="0"/>
      <w:marRight w:val="0"/>
      <w:marTop w:val="0"/>
      <w:marBottom w:val="0"/>
      <w:divBdr>
        <w:top w:val="none" w:sz="0" w:space="0" w:color="auto"/>
        <w:left w:val="none" w:sz="0" w:space="0" w:color="auto"/>
        <w:bottom w:val="none" w:sz="0" w:space="0" w:color="auto"/>
        <w:right w:val="none" w:sz="0" w:space="0" w:color="auto"/>
      </w:divBdr>
    </w:div>
    <w:div w:id="843738596">
      <w:bodyDiv w:val="1"/>
      <w:marLeft w:val="0"/>
      <w:marRight w:val="0"/>
      <w:marTop w:val="0"/>
      <w:marBottom w:val="0"/>
      <w:divBdr>
        <w:top w:val="none" w:sz="0" w:space="0" w:color="auto"/>
        <w:left w:val="none" w:sz="0" w:space="0" w:color="auto"/>
        <w:bottom w:val="none" w:sz="0" w:space="0" w:color="auto"/>
        <w:right w:val="none" w:sz="0" w:space="0" w:color="auto"/>
      </w:divBdr>
    </w:div>
    <w:div w:id="883950201">
      <w:bodyDiv w:val="1"/>
      <w:marLeft w:val="0"/>
      <w:marRight w:val="0"/>
      <w:marTop w:val="0"/>
      <w:marBottom w:val="0"/>
      <w:divBdr>
        <w:top w:val="none" w:sz="0" w:space="0" w:color="auto"/>
        <w:left w:val="none" w:sz="0" w:space="0" w:color="auto"/>
        <w:bottom w:val="none" w:sz="0" w:space="0" w:color="auto"/>
        <w:right w:val="none" w:sz="0" w:space="0" w:color="auto"/>
      </w:divBdr>
    </w:div>
    <w:div w:id="1018695580">
      <w:bodyDiv w:val="1"/>
      <w:marLeft w:val="0"/>
      <w:marRight w:val="0"/>
      <w:marTop w:val="0"/>
      <w:marBottom w:val="0"/>
      <w:divBdr>
        <w:top w:val="none" w:sz="0" w:space="0" w:color="auto"/>
        <w:left w:val="none" w:sz="0" w:space="0" w:color="auto"/>
        <w:bottom w:val="none" w:sz="0" w:space="0" w:color="auto"/>
        <w:right w:val="none" w:sz="0" w:space="0" w:color="auto"/>
      </w:divBdr>
    </w:div>
    <w:div w:id="1027290015">
      <w:bodyDiv w:val="1"/>
      <w:marLeft w:val="0"/>
      <w:marRight w:val="0"/>
      <w:marTop w:val="0"/>
      <w:marBottom w:val="0"/>
      <w:divBdr>
        <w:top w:val="none" w:sz="0" w:space="0" w:color="auto"/>
        <w:left w:val="none" w:sz="0" w:space="0" w:color="auto"/>
        <w:bottom w:val="none" w:sz="0" w:space="0" w:color="auto"/>
        <w:right w:val="none" w:sz="0" w:space="0" w:color="auto"/>
      </w:divBdr>
      <w:divsChild>
        <w:div w:id="1836534767">
          <w:marLeft w:val="576"/>
          <w:marRight w:val="0"/>
          <w:marTop w:val="576"/>
          <w:marBottom w:val="0"/>
          <w:divBdr>
            <w:top w:val="none" w:sz="0" w:space="0" w:color="auto"/>
            <w:left w:val="none" w:sz="0" w:space="0" w:color="auto"/>
            <w:bottom w:val="none" w:sz="0" w:space="0" w:color="auto"/>
            <w:right w:val="none" w:sz="0" w:space="0" w:color="auto"/>
          </w:divBdr>
        </w:div>
      </w:divsChild>
    </w:div>
    <w:div w:id="1031999018">
      <w:bodyDiv w:val="1"/>
      <w:marLeft w:val="0"/>
      <w:marRight w:val="0"/>
      <w:marTop w:val="0"/>
      <w:marBottom w:val="0"/>
      <w:divBdr>
        <w:top w:val="none" w:sz="0" w:space="0" w:color="auto"/>
        <w:left w:val="none" w:sz="0" w:space="0" w:color="auto"/>
        <w:bottom w:val="none" w:sz="0" w:space="0" w:color="auto"/>
        <w:right w:val="none" w:sz="0" w:space="0" w:color="auto"/>
      </w:divBdr>
    </w:div>
    <w:div w:id="1234242041">
      <w:bodyDiv w:val="1"/>
      <w:marLeft w:val="0"/>
      <w:marRight w:val="0"/>
      <w:marTop w:val="0"/>
      <w:marBottom w:val="0"/>
      <w:divBdr>
        <w:top w:val="none" w:sz="0" w:space="0" w:color="auto"/>
        <w:left w:val="none" w:sz="0" w:space="0" w:color="auto"/>
        <w:bottom w:val="none" w:sz="0" w:space="0" w:color="auto"/>
        <w:right w:val="none" w:sz="0" w:space="0" w:color="auto"/>
      </w:divBdr>
    </w:div>
    <w:div w:id="1249657815">
      <w:bodyDiv w:val="1"/>
      <w:marLeft w:val="0"/>
      <w:marRight w:val="0"/>
      <w:marTop w:val="0"/>
      <w:marBottom w:val="0"/>
      <w:divBdr>
        <w:top w:val="none" w:sz="0" w:space="0" w:color="auto"/>
        <w:left w:val="none" w:sz="0" w:space="0" w:color="auto"/>
        <w:bottom w:val="none" w:sz="0" w:space="0" w:color="auto"/>
        <w:right w:val="none" w:sz="0" w:space="0" w:color="auto"/>
      </w:divBdr>
    </w:div>
    <w:div w:id="1321423731">
      <w:bodyDiv w:val="1"/>
      <w:marLeft w:val="0"/>
      <w:marRight w:val="0"/>
      <w:marTop w:val="0"/>
      <w:marBottom w:val="0"/>
      <w:divBdr>
        <w:top w:val="none" w:sz="0" w:space="0" w:color="auto"/>
        <w:left w:val="none" w:sz="0" w:space="0" w:color="auto"/>
        <w:bottom w:val="none" w:sz="0" w:space="0" w:color="auto"/>
        <w:right w:val="none" w:sz="0" w:space="0" w:color="auto"/>
      </w:divBdr>
    </w:div>
    <w:div w:id="1328442571">
      <w:bodyDiv w:val="1"/>
      <w:marLeft w:val="0"/>
      <w:marRight w:val="0"/>
      <w:marTop w:val="0"/>
      <w:marBottom w:val="0"/>
      <w:divBdr>
        <w:top w:val="none" w:sz="0" w:space="0" w:color="auto"/>
        <w:left w:val="none" w:sz="0" w:space="0" w:color="auto"/>
        <w:bottom w:val="none" w:sz="0" w:space="0" w:color="auto"/>
        <w:right w:val="none" w:sz="0" w:space="0" w:color="auto"/>
      </w:divBdr>
    </w:div>
    <w:div w:id="1549681822">
      <w:bodyDiv w:val="1"/>
      <w:marLeft w:val="0"/>
      <w:marRight w:val="0"/>
      <w:marTop w:val="0"/>
      <w:marBottom w:val="0"/>
      <w:divBdr>
        <w:top w:val="none" w:sz="0" w:space="0" w:color="auto"/>
        <w:left w:val="none" w:sz="0" w:space="0" w:color="auto"/>
        <w:bottom w:val="none" w:sz="0" w:space="0" w:color="auto"/>
        <w:right w:val="none" w:sz="0" w:space="0" w:color="auto"/>
      </w:divBdr>
    </w:div>
    <w:div w:id="1564952549">
      <w:bodyDiv w:val="1"/>
      <w:marLeft w:val="0"/>
      <w:marRight w:val="0"/>
      <w:marTop w:val="0"/>
      <w:marBottom w:val="0"/>
      <w:divBdr>
        <w:top w:val="none" w:sz="0" w:space="0" w:color="auto"/>
        <w:left w:val="none" w:sz="0" w:space="0" w:color="auto"/>
        <w:bottom w:val="none" w:sz="0" w:space="0" w:color="auto"/>
        <w:right w:val="none" w:sz="0" w:space="0" w:color="auto"/>
      </w:divBdr>
    </w:div>
    <w:div w:id="1611627314">
      <w:bodyDiv w:val="1"/>
      <w:marLeft w:val="0"/>
      <w:marRight w:val="0"/>
      <w:marTop w:val="0"/>
      <w:marBottom w:val="0"/>
      <w:divBdr>
        <w:top w:val="none" w:sz="0" w:space="0" w:color="auto"/>
        <w:left w:val="none" w:sz="0" w:space="0" w:color="auto"/>
        <w:bottom w:val="none" w:sz="0" w:space="0" w:color="auto"/>
        <w:right w:val="none" w:sz="0" w:space="0" w:color="auto"/>
      </w:divBdr>
    </w:div>
    <w:div w:id="1685402691">
      <w:bodyDiv w:val="1"/>
      <w:marLeft w:val="0"/>
      <w:marRight w:val="0"/>
      <w:marTop w:val="0"/>
      <w:marBottom w:val="0"/>
      <w:divBdr>
        <w:top w:val="none" w:sz="0" w:space="0" w:color="auto"/>
        <w:left w:val="none" w:sz="0" w:space="0" w:color="auto"/>
        <w:bottom w:val="none" w:sz="0" w:space="0" w:color="auto"/>
        <w:right w:val="none" w:sz="0" w:space="0" w:color="auto"/>
      </w:divBdr>
    </w:div>
    <w:div w:id="1727024838">
      <w:bodyDiv w:val="1"/>
      <w:marLeft w:val="0"/>
      <w:marRight w:val="0"/>
      <w:marTop w:val="0"/>
      <w:marBottom w:val="0"/>
      <w:divBdr>
        <w:top w:val="none" w:sz="0" w:space="0" w:color="auto"/>
        <w:left w:val="none" w:sz="0" w:space="0" w:color="auto"/>
        <w:bottom w:val="none" w:sz="0" w:space="0" w:color="auto"/>
        <w:right w:val="none" w:sz="0" w:space="0" w:color="auto"/>
      </w:divBdr>
    </w:div>
    <w:div w:id="1835536592">
      <w:bodyDiv w:val="1"/>
      <w:marLeft w:val="0"/>
      <w:marRight w:val="0"/>
      <w:marTop w:val="0"/>
      <w:marBottom w:val="0"/>
      <w:divBdr>
        <w:top w:val="none" w:sz="0" w:space="0" w:color="auto"/>
        <w:left w:val="none" w:sz="0" w:space="0" w:color="auto"/>
        <w:bottom w:val="none" w:sz="0" w:space="0" w:color="auto"/>
        <w:right w:val="none" w:sz="0" w:space="0" w:color="auto"/>
      </w:divBdr>
    </w:div>
    <w:div w:id="1855605668">
      <w:bodyDiv w:val="1"/>
      <w:marLeft w:val="0"/>
      <w:marRight w:val="0"/>
      <w:marTop w:val="0"/>
      <w:marBottom w:val="0"/>
      <w:divBdr>
        <w:top w:val="none" w:sz="0" w:space="0" w:color="auto"/>
        <w:left w:val="none" w:sz="0" w:space="0" w:color="auto"/>
        <w:bottom w:val="none" w:sz="0" w:space="0" w:color="auto"/>
        <w:right w:val="none" w:sz="0" w:space="0" w:color="auto"/>
      </w:divBdr>
    </w:div>
    <w:div w:id="1917550586">
      <w:bodyDiv w:val="1"/>
      <w:marLeft w:val="0"/>
      <w:marRight w:val="0"/>
      <w:marTop w:val="0"/>
      <w:marBottom w:val="0"/>
      <w:divBdr>
        <w:top w:val="none" w:sz="0" w:space="0" w:color="auto"/>
        <w:left w:val="none" w:sz="0" w:space="0" w:color="auto"/>
        <w:bottom w:val="none" w:sz="0" w:space="0" w:color="auto"/>
        <w:right w:val="none" w:sz="0" w:space="0" w:color="auto"/>
      </w:divBdr>
    </w:div>
    <w:div w:id="1961373287">
      <w:bodyDiv w:val="1"/>
      <w:marLeft w:val="0"/>
      <w:marRight w:val="0"/>
      <w:marTop w:val="0"/>
      <w:marBottom w:val="0"/>
      <w:divBdr>
        <w:top w:val="none" w:sz="0" w:space="0" w:color="auto"/>
        <w:left w:val="none" w:sz="0" w:space="0" w:color="auto"/>
        <w:bottom w:val="none" w:sz="0" w:space="0" w:color="auto"/>
        <w:right w:val="none" w:sz="0" w:space="0" w:color="auto"/>
      </w:divBdr>
    </w:div>
    <w:div w:id="209840602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9.gif"/><Relationship Id="rId21" Type="http://schemas.openxmlformats.org/officeDocument/2006/relationships/image" Target="media/image10.gif"/><Relationship Id="rId22" Type="http://schemas.openxmlformats.org/officeDocument/2006/relationships/image" Target="media/image11.gif"/><Relationship Id="rId23" Type="http://schemas.openxmlformats.org/officeDocument/2006/relationships/image" Target="media/image12.png"/><Relationship Id="rId24" Type="http://schemas.openxmlformats.org/officeDocument/2006/relationships/image" Target="media/image13.png"/><Relationship Id="rId25" Type="http://schemas.openxmlformats.org/officeDocument/2006/relationships/image" Target="media/image14.png"/><Relationship Id="rId26" Type="http://schemas.openxmlformats.org/officeDocument/2006/relationships/image" Target="media/image15.png"/><Relationship Id="rId27" Type="http://schemas.openxmlformats.org/officeDocument/2006/relationships/image" Target="media/image16.png"/><Relationship Id="rId28" Type="http://schemas.openxmlformats.org/officeDocument/2006/relationships/image" Target="media/image17.png"/><Relationship Id="rId29" Type="http://schemas.openxmlformats.org/officeDocument/2006/relationships/image" Target="media/image18.png"/><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30" Type="http://schemas.openxmlformats.org/officeDocument/2006/relationships/image" Target="media/image19.png"/><Relationship Id="rId31" Type="http://schemas.openxmlformats.org/officeDocument/2006/relationships/image" Target="media/image20.png"/><Relationship Id="rId32" Type="http://schemas.openxmlformats.org/officeDocument/2006/relationships/image" Target="media/image21.emf"/><Relationship Id="rId9" Type="http://schemas.openxmlformats.org/officeDocument/2006/relationships/endnotes" Target="endnote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33" Type="http://schemas.openxmlformats.org/officeDocument/2006/relationships/image" Target="media/image22.png"/><Relationship Id="rId34" Type="http://schemas.openxmlformats.org/officeDocument/2006/relationships/image" Target="media/image23.png"/><Relationship Id="rId35" Type="http://schemas.openxmlformats.org/officeDocument/2006/relationships/image" Target="media/image24.emf"/><Relationship Id="rId36" Type="http://schemas.openxmlformats.org/officeDocument/2006/relationships/chart" Target="charts/chart2.xml"/><Relationship Id="rId10" Type="http://schemas.openxmlformats.org/officeDocument/2006/relationships/hyperlink" Target="http://www.who.int/nha/en/" TargetMode="External"/><Relationship Id="rId11" Type="http://schemas.openxmlformats.org/officeDocument/2006/relationships/image" Target="media/image1.png"/><Relationship Id="rId12" Type="http://schemas.openxmlformats.org/officeDocument/2006/relationships/image" Target="media/image2.png"/><Relationship Id="rId13" Type="http://schemas.openxmlformats.org/officeDocument/2006/relationships/image" Target="media/image3.jpeg"/><Relationship Id="rId14" Type="http://schemas.openxmlformats.org/officeDocument/2006/relationships/image" Target="media/image4.jpeg"/><Relationship Id="rId15" Type="http://schemas.openxmlformats.org/officeDocument/2006/relationships/image" Target="media/image5.png"/><Relationship Id="rId16" Type="http://schemas.openxmlformats.org/officeDocument/2006/relationships/image" Target="media/image6.png"/><Relationship Id="rId17" Type="http://schemas.openxmlformats.org/officeDocument/2006/relationships/image" Target="media/image7.png"/><Relationship Id="rId18" Type="http://schemas.openxmlformats.org/officeDocument/2006/relationships/image" Target="media/image8.png"/><Relationship Id="rId19" Type="http://schemas.openxmlformats.org/officeDocument/2006/relationships/chart" Target="charts/chart1.xml"/><Relationship Id="rId37" Type="http://schemas.openxmlformats.org/officeDocument/2006/relationships/footer" Target="footer1.xml"/><Relationship Id="rId38" Type="http://schemas.openxmlformats.org/officeDocument/2006/relationships/fontTable" Target="fontTable.xml"/><Relationship Id="rId39"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Untitled%201:Users:user:Documents:Equity:Cat_Hcu_Imp:Output%20table_2010-2012%20:Mongolia%20OOP%20figures%20_2010_2012.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Untitled%201:Users:user:Documents:Equity:BIA:BIA%202012:output:BIA%20outputs%20Sept%20201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percentStacked"/>
        <c:varyColors val="0"/>
        <c:ser>
          <c:idx val="0"/>
          <c:order val="0"/>
          <c:tx>
            <c:strRef>
              <c:f>Sheet2!$B$55</c:f>
              <c:strCache>
                <c:ptCount val="1"/>
                <c:pt idx="0">
                  <c:v>Medicine</c:v>
                </c:pt>
              </c:strCache>
            </c:strRef>
          </c:tx>
          <c:invertIfNegative val="0"/>
          <c:cat>
            <c:numRef>
              <c:f>Sheet2!$C$54:$F$54</c:f>
              <c:numCache>
                <c:formatCode>General</c:formatCode>
                <c:ptCount val="4"/>
                <c:pt idx="0">
                  <c:v>2009.0</c:v>
                </c:pt>
                <c:pt idx="1">
                  <c:v>2010.0</c:v>
                </c:pt>
                <c:pt idx="2">
                  <c:v>2011.0</c:v>
                </c:pt>
                <c:pt idx="3">
                  <c:v>2012.0</c:v>
                </c:pt>
              </c:numCache>
            </c:numRef>
          </c:cat>
          <c:val>
            <c:numRef>
              <c:f>Sheet2!$C$55:$F$55</c:f>
              <c:numCache>
                <c:formatCode>0.0</c:formatCode>
                <c:ptCount val="4"/>
                <c:pt idx="0" formatCode="0.000">
                  <c:v>6467.61</c:v>
                </c:pt>
                <c:pt idx="1">
                  <c:v>9988.754</c:v>
                </c:pt>
                <c:pt idx="2">
                  <c:v>10764.28</c:v>
                </c:pt>
                <c:pt idx="3">
                  <c:v>14740.14</c:v>
                </c:pt>
              </c:numCache>
            </c:numRef>
          </c:val>
        </c:ser>
        <c:ser>
          <c:idx val="1"/>
          <c:order val="1"/>
          <c:tx>
            <c:strRef>
              <c:f>Sheet2!$B$56</c:f>
              <c:strCache>
                <c:ptCount val="1"/>
                <c:pt idx="0">
                  <c:v>Inpatient care</c:v>
                </c:pt>
              </c:strCache>
            </c:strRef>
          </c:tx>
          <c:invertIfNegative val="0"/>
          <c:cat>
            <c:numRef>
              <c:f>Sheet2!$C$54:$F$54</c:f>
              <c:numCache>
                <c:formatCode>General</c:formatCode>
                <c:ptCount val="4"/>
                <c:pt idx="0">
                  <c:v>2009.0</c:v>
                </c:pt>
                <c:pt idx="1">
                  <c:v>2010.0</c:v>
                </c:pt>
                <c:pt idx="2">
                  <c:v>2011.0</c:v>
                </c:pt>
                <c:pt idx="3">
                  <c:v>2012.0</c:v>
                </c:pt>
              </c:numCache>
            </c:numRef>
          </c:cat>
          <c:val>
            <c:numRef>
              <c:f>Sheet2!$C$56:$F$56</c:f>
              <c:numCache>
                <c:formatCode>0.0</c:formatCode>
                <c:ptCount val="4"/>
                <c:pt idx="0" formatCode="0.0000">
                  <c:v>1545.187</c:v>
                </c:pt>
                <c:pt idx="1">
                  <c:v>4643.322</c:v>
                </c:pt>
                <c:pt idx="2">
                  <c:v>5778.873</c:v>
                </c:pt>
                <c:pt idx="3">
                  <c:v>7041.338</c:v>
                </c:pt>
              </c:numCache>
            </c:numRef>
          </c:val>
        </c:ser>
        <c:ser>
          <c:idx val="2"/>
          <c:order val="2"/>
          <c:tx>
            <c:strRef>
              <c:f>Sheet2!$B$57</c:f>
              <c:strCache>
                <c:ptCount val="1"/>
                <c:pt idx="0">
                  <c:v>Ancillary services</c:v>
                </c:pt>
              </c:strCache>
            </c:strRef>
          </c:tx>
          <c:invertIfNegative val="0"/>
          <c:cat>
            <c:numRef>
              <c:f>Sheet2!$C$54:$F$54</c:f>
              <c:numCache>
                <c:formatCode>General</c:formatCode>
                <c:ptCount val="4"/>
                <c:pt idx="0">
                  <c:v>2009.0</c:v>
                </c:pt>
                <c:pt idx="1">
                  <c:v>2010.0</c:v>
                </c:pt>
                <c:pt idx="2">
                  <c:v>2011.0</c:v>
                </c:pt>
                <c:pt idx="3">
                  <c:v>2012.0</c:v>
                </c:pt>
              </c:numCache>
            </c:numRef>
          </c:cat>
          <c:val>
            <c:numRef>
              <c:f>Sheet2!$C$57:$F$57</c:f>
              <c:numCache>
                <c:formatCode>0.0</c:formatCode>
                <c:ptCount val="4"/>
                <c:pt idx="0" formatCode="0.0000">
                  <c:v>528.9037</c:v>
                </c:pt>
                <c:pt idx="1">
                  <c:v>1210.511</c:v>
                </c:pt>
                <c:pt idx="2">
                  <c:v>737.8291999999992</c:v>
                </c:pt>
                <c:pt idx="3">
                  <c:v>1149.179</c:v>
                </c:pt>
              </c:numCache>
            </c:numRef>
          </c:val>
        </c:ser>
        <c:ser>
          <c:idx val="3"/>
          <c:order val="3"/>
          <c:tx>
            <c:strRef>
              <c:f>Sheet2!$B$58</c:f>
              <c:strCache>
                <c:ptCount val="1"/>
                <c:pt idx="0">
                  <c:v>Outpatient care</c:v>
                </c:pt>
              </c:strCache>
            </c:strRef>
          </c:tx>
          <c:invertIfNegative val="0"/>
          <c:cat>
            <c:numRef>
              <c:f>Sheet2!$C$54:$F$54</c:f>
              <c:numCache>
                <c:formatCode>General</c:formatCode>
                <c:ptCount val="4"/>
                <c:pt idx="0">
                  <c:v>2009.0</c:v>
                </c:pt>
                <c:pt idx="1">
                  <c:v>2010.0</c:v>
                </c:pt>
                <c:pt idx="2">
                  <c:v>2011.0</c:v>
                </c:pt>
                <c:pt idx="3">
                  <c:v>2012.0</c:v>
                </c:pt>
              </c:numCache>
            </c:numRef>
          </c:cat>
          <c:val>
            <c:numRef>
              <c:f>Sheet2!$C$58:$F$58</c:f>
              <c:numCache>
                <c:formatCode>0.0</c:formatCode>
                <c:ptCount val="4"/>
                <c:pt idx="0" formatCode="0.0000">
                  <c:v>616.7918</c:v>
                </c:pt>
                <c:pt idx="1">
                  <c:v>448.3634</c:v>
                </c:pt>
                <c:pt idx="2">
                  <c:v>409.1248</c:v>
                </c:pt>
                <c:pt idx="3">
                  <c:v>1010.293</c:v>
                </c:pt>
              </c:numCache>
            </c:numRef>
          </c:val>
        </c:ser>
        <c:ser>
          <c:idx val="4"/>
          <c:order val="4"/>
          <c:tx>
            <c:strRef>
              <c:f>Sheet2!$B$59</c:f>
              <c:strCache>
                <c:ptCount val="1"/>
                <c:pt idx="0">
                  <c:v>Dental care</c:v>
                </c:pt>
              </c:strCache>
            </c:strRef>
          </c:tx>
          <c:invertIfNegative val="0"/>
          <c:cat>
            <c:numRef>
              <c:f>Sheet2!$C$54:$F$54</c:f>
              <c:numCache>
                <c:formatCode>General</c:formatCode>
                <c:ptCount val="4"/>
                <c:pt idx="0">
                  <c:v>2009.0</c:v>
                </c:pt>
                <c:pt idx="1">
                  <c:v>2010.0</c:v>
                </c:pt>
                <c:pt idx="2">
                  <c:v>2011.0</c:v>
                </c:pt>
                <c:pt idx="3">
                  <c:v>2012.0</c:v>
                </c:pt>
              </c:numCache>
            </c:numRef>
          </c:cat>
          <c:val>
            <c:numRef>
              <c:f>Sheet2!$C$59:$F$59</c:f>
              <c:numCache>
                <c:formatCode>0.0</c:formatCode>
                <c:ptCount val="4"/>
                <c:pt idx="0" formatCode="0.0000">
                  <c:v>72.80199</c:v>
                </c:pt>
                <c:pt idx="1">
                  <c:v>317.0779</c:v>
                </c:pt>
                <c:pt idx="2">
                  <c:v>439.0868</c:v>
                </c:pt>
                <c:pt idx="3">
                  <c:v>847.0659000000001</c:v>
                </c:pt>
              </c:numCache>
            </c:numRef>
          </c:val>
        </c:ser>
        <c:dLbls>
          <c:showLegendKey val="0"/>
          <c:showVal val="0"/>
          <c:showCatName val="0"/>
          <c:showSerName val="0"/>
          <c:showPercent val="0"/>
          <c:showBubbleSize val="0"/>
        </c:dLbls>
        <c:gapWidth val="150"/>
        <c:overlap val="100"/>
        <c:axId val="2115438728"/>
        <c:axId val="2082118840"/>
      </c:barChart>
      <c:catAx>
        <c:axId val="2115438728"/>
        <c:scaling>
          <c:orientation val="minMax"/>
        </c:scaling>
        <c:delete val="0"/>
        <c:axPos val="b"/>
        <c:numFmt formatCode="General" sourceLinked="1"/>
        <c:majorTickMark val="out"/>
        <c:minorTickMark val="none"/>
        <c:tickLblPos val="nextTo"/>
        <c:crossAx val="2082118840"/>
        <c:crosses val="autoZero"/>
        <c:auto val="1"/>
        <c:lblAlgn val="ctr"/>
        <c:lblOffset val="100"/>
        <c:noMultiLvlLbl val="0"/>
      </c:catAx>
      <c:valAx>
        <c:axId val="2082118840"/>
        <c:scaling>
          <c:orientation val="minMax"/>
        </c:scaling>
        <c:delete val="0"/>
        <c:axPos val="l"/>
        <c:majorGridlines/>
        <c:numFmt formatCode="0%" sourceLinked="1"/>
        <c:majorTickMark val="out"/>
        <c:minorTickMark val="none"/>
        <c:tickLblPos val="nextTo"/>
        <c:crossAx val="2115438728"/>
        <c:crosses val="autoZero"/>
        <c:crossBetween val="between"/>
      </c:valAx>
    </c:plotArea>
    <c:legend>
      <c:legendPos val="r"/>
      <c:layout/>
      <c:overlay val="0"/>
    </c:legend>
    <c:plotVisOnly val="1"/>
    <c:dispBlanksAs val="gap"/>
    <c:showDLblsOverMax val="0"/>
  </c:chart>
  <c:txPr>
    <a:bodyPr/>
    <a:lstStyle/>
    <a:p>
      <a:pPr>
        <a:defRPr>
          <a:latin typeface="Arial Narrow"/>
          <a:cs typeface="Arial Narrow"/>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1914737930486"/>
          <c:y val="0.0269902309929101"/>
          <c:w val="0.731265582121141"/>
          <c:h val="0.822469378827647"/>
        </c:manualLayout>
      </c:layout>
      <c:barChart>
        <c:barDir val="col"/>
        <c:grouping val="clustered"/>
        <c:varyColors val="0"/>
        <c:ser>
          <c:idx val="0"/>
          <c:order val="0"/>
          <c:tx>
            <c:strRef>
              <c:f>Collapse!$J$25</c:f>
              <c:strCache>
                <c:ptCount val="1"/>
                <c:pt idx="0">
                  <c:v>share of reported illness</c:v>
                </c:pt>
              </c:strCache>
            </c:strRef>
          </c:tx>
          <c:invertIfNegative val="0"/>
          <c:dLbls>
            <c:dLblPos val="outEnd"/>
            <c:showLegendKey val="0"/>
            <c:showVal val="1"/>
            <c:showCatName val="0"/>
            <c:showSerName val="0"/>
            <c:showPercent val="0"/>
            <c:showBubbleSize val="0"/>
            <c:showLeaderLines val="0"/>
          </c:dLbls>
          <c:cat>
            <c:numRef>
              <c:f>Collapse!$I$26:$I$30</c:f>
              <c:numCache>
                <c:formatCode>General</c:formatCode>
                <c:ptCount val="5"/>
                <c:pt idx="0">
                  <c:v>1.0</c:v>
                </c:pt>
                <c:pt idx="1">
                  <c:v>2.0</c:v>
                </c:pt>
                <c:pt idx="2">
                  <c:v>3.0</c:v>
                </c:pt>
                <c:pt idx="3">
                  <c:v>4.0</c:v>
                </c:pt>
                <c:pt idx="4">
                  <c:v>5.0</c:v>
                </c:pt>
              </c:numCache>
            </c:numRef>
          </c:cat>
          <c:val>
            <c:numRef>
              <c:f>Collapse!$J$26:$J$30</c:f>
              <c:numCache>
                <c:formatCode>0%</c:formatCode>
                <c:ptCount val="5"/>
                <c:pt idx="0">
                  <c:v>0.1486</c:v>
                </c:pt>
                <c:pt idx="1">
                  <c:v>0.1827</c:v>
                </c:pt>
                <c:pt idx="2">
                  <c:v>0.202</c:v>
                </c:pt>
                <c:pt idx="3">
                  <c:v>0.2206</c:v>
                </c:pt>
                <c:pt idx="4">
                  <c:v>0.2461</c:v>
                </c:pt>
              </c:numCache>
            </c:numRef>
          </c:val>
        </c:ser>
        <c:ser>
          <c:idx val="1"/>
          <c:order val="1"/>
          <c:tx>
            <c:strRef>
              <c:f>Collapse!$K$25</c:f>
              <c:strCache>
                <c:ptCount val="1"/>
                <c:pt idx="0">
                  <c:v>share of government subsidy</c:v>
                </c:pt>
              </c:strCache>
            </c:strRef>
          </c:tx>
          <c:invertIfNegative val="0"/>
          <c:dLbls>
            <c:dLblPos val="outEnd"/>
            <c:showLegendKey val="0"/>
            <c:showVal val="1"/>
            <c:showCatName val="0"/>
            <c:showSerName val="0"/>
            <c:showPercent val="0"/>
            <c:showBubbleSize val="0"/>
            <c:showLeaderLines val="0"/>
          </c:dLbls>
          <c:cat>
            <c:numRef>
              <c:f>Collapse!$I$26:$I$30</c:f>
              <c:numCache>
                <c:formatCode>General</c:formatCode>
                <c:ptCount val="5"/>
                <c:pt idx="0">
                  <c:v>1.0</c:v>
                </c:pt>
                <c:pt idx="1">
                  <c:v>2.0</c:v>
                </c:pt>
                <c:pt idx="2">
                  <c:v>3.0</c:v>
                </c:pt>
                <c:pt idx="3">
                  <c:v>4.0</c:v>
                </c:pt>
                <c:pt idx="4">
                  <c:v>5.0</c:v>
                </c:pt>
              </c:numCache>
            </c:numRef>
          </c:cat>
          <c:val>
            <c:numRef>
              <c:f>Collapse!$K$26:$K$30</c:f>
              <c:numCache>
                <c:formatCode>0%</c:formatCode>
                <c:ptCount val="5"/>
                <c:pt idx="0">
                  <c:v>0.1334814</c:v>
                </c:pt>
                <c:pt idx="1">
                  <c:v>0.1815397</c:v>
                </c:pt>
                <c:pt idx="2">
                  <c:v>0.2045815</c:v>
                </c:pt>
                <c:pt idx="3">
                  <c:v>0.235474</c:v>
                </c:pt>
                <c:pt idx="4">
                  <c:v>0.2444842</c:v>
                </c:pt>
              </c:numCache>
            </c:numRef>
          </c:val>
        </c:ser>
        <c:dLbls>
          <c:showLegendKey val="0"/>
          <c:showVal val="0"/>
          <c:showCatName val="0"/>
          <c:showSerName val="0"/>
          <c:showPercent val="0"/>
          <c:showBubbleSize val="0"/>
        </c:dLbls>
        <c:gapWidth val="150"/>
        <c:axId val="2115655528"/>
        <c:axId val="2115661064"/>
      </c:barChart>
      <c:catAx>
        <c:axId val="2115655528"/>
        <c:scaling>
          <c:orientation val="minMax"/>
        </c:scaling>
        <c:delete val="0"/>
        <c:axPos val="b"/>
        <c:title>
          <c:tx>
            <c:rich>
              <a:bodyPr/>
              <a:lstStyle/>
              <a:p>
                <a:pPr>
                  <a:defRPr/>
                </a:pPr>
                <a:r>
                  <a:rPr lang="en-US"/>
                  <a:t>expenditure quintile (poor to rich)</a:t>
                </a:r>
              </a:p>
            </c:rich>
          </c:tx>
          <c:layout/>
          <c:overlay val="0"/>
        </c:title>
        <c:numFmt formatCode="General" sourceLinked="1"/>
        <c:majorTickMark val="out"/>
        <c:minorTickMark val="none"/>
        <c:tickLblPos val="nextTo"/>
        <c:crossAx val="2115661064"/>
        <c:crosses val="autoZero"/>
        <c:auto val="1"/>
        <c:lblAlgn val="ctr"/>
        <c:lblOffset val="100"/>
        <c:noMultiLvlLbl val="0"/>
      </c:catAx>
      <c:valAx>
        <c:axId val="2115661064"/>
        <c:scaling>
          <c:orientation val="minMax"/>
        </c:scaling>
        <c:delete val="0"/>
        <c:axPos val="l"/>
        <c:title>
          <c:tx>
            <c:rich>
              <a:bodyPr rot="-5400000" vert="horz"/>
              <a:lstStyle/>
              <a:p>
                <a:pPr>
                  <a:defRPr/>
                </a:pPr>
                <a:r>
                  <a:rPr lang="en-US"/>
                  <a:t>% share of benefits </a:t>
                </a:r>
              </a:p>
            </c:rich>
          </c:tx>
          <c:layout>
            <c:manualLayout>
              <c:xMode val="edge"/>
              <c:yMode val="edge"/>
              <c:x val="0.0117864898466639"/>
              <c:y val="0.273975284339458"/>
            </c:manualLayout>
          </c:layout>
          <c:overlay val="0"/>
        </c:title>
        <c:numFmt formatCode="0%" sourceLinked="1"/>
        <c:majorTickMark val="out"/>
        <c:minorTickMark val="none"/>
        <c:tickLblPos val="nextTo"/>
        <c:crossAx val="2115655528"/>
        <c:crosses val="autoZero"/>
        <c:crossBetween val="between"/>
      </c:valAx>
    </c:plotArea>
    <c:legend>
      <c:legendPos val="r"/>
      <c:layout>
        <c:manualLayout>
          <c:xMode val="edge"/>
          <c:yMode val="edge"/>
          <c:x val="0.835933667382486"/>
          <c:y val="0.323690215806357"/>
          <c:w val="0.161735464885071"/>
          <c:h val="0.422064012831729"/>
        </c:manualLayout>
      </c:layout>
      <c:overlay val="0"/>
    </c:legend>
    <c:plotVisOnly val="1"/>
    <c:dispBlanksAs val="gap"/>
    <c:showDLblsOverMax val="0"/>
  </c:chart>
  <c:txPr>
    <a:bodyPr/>
    <a:lstStyle/>
    <a:p>
      <a:pPr>
        <a:defRPr>
          <a:latin typeface="Arial Narrow"/>
          <a:cs typeface="Arial Narrow"/>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2015-09-01T00:00:00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RDr04</b:Tag>
    <b:SourceType>Report</b:SourceType>
    <b:Guid>{DBB469C4-10B3-4568-B1EB-689A17F10F45}</b:Guid>
    <b:Author>
      <b:Author>
        <b:NameList>
          <b:Person>
            <b:Last>Dredge</b:Last>
            <b:First>R.</b:First>
          </b:Person>
        </b:NameList>
      </b:Author>
    </b:Author>
    <b:Title>Hospital global budgeting</b:Title>
    <b:Year>2004</b:Year>
    <b:Publisher>The World Bank</b:Publisher>
    <b:City>Washington, D.C.</b:City>
    <b:ThesisType>Health, Nutrition and Populatin (HPN) Discussion Paper</b:ThesisType>
    <b:RefOrder>1</b:RefOrder>
  </b:Source>
  <b:Source>
    <b:Tag>Lan</b:Tag>
    <b:SourceType>Book</b:SourceType>
    <b:Guid>{F3451C27-C547-42B1-BC2C-6161D5460865}</b:Guid>
    <b:Author>
      <b:Author>
        <b:NameList>
          <b:Person>
            <b:Last>Langenbrunner</b:Last>
            <b:First>J.</b:First>
          </b:Person>
          <b:Person>
            <b:Last>Cashin</b:Last>
            <b:First>C.</b:First>
          </b:Person>
          <b:Person>
            <b:Last>O'Dougherty</b:Last>
            <b:First>S.</b:First>
            <b:Middle>(eds.)</b:Middle>
          </b:Person>
        </b:NameList>
      </b:Author>
    </b:Author>
    <b:Title>Designing and Implementing Health Care Provider Payment Systems:  How-to Manuals</b:Title>
    <b:Year>2009</b:Year>
    <b:City>Washington, D.C.</b:City>
    <b:Publisher>The World Bank</b:Publisher>
    <b:RefOrder>2</b:RefOrder>
  </b:Source>
  <b:Source>
    <b:Tag>Lan02</b:Tag>
    <b:SourceType>BookSection</b:SourceType>
    <b:Guid>{EA61F795-1580-41A5-B735-C682B8F75B8C}</b:Guid>
    <b:Author>
      <b:Author>
        <b:NameList>
          <b:Person>
            <b:Last>Langenbrunner</b:Last>
            <b:First>J.</b:First>
          </b:Person>
          <b:Person>
            <b:Last>Wiley</b:Last>
            <b:First>M.</b:First>
          </b:Person>
        </b:NameList>
      </b:Author>
      <b:Editor>
        <b:NameList>
          <b:Person>
            <b:Last>McKee</b:Last>
            <b:First>M.</b:First>
          </b:Person>
          <b:Person>
            <b:Last>Healey</b:Last>
            <b:First>J.</b:First>
          </b:Person>
        </b:NameList>
      </b:Editor>
    </b:Author>
    <b:Title>Hospital payment mechanisms:  theory and practice in transition countries</b:Title>
    <b:Year>2002</b:Year>
    <b:Publisher>Open University Press</b:Publisher>
    <b:City>Buckingham</b:City>
    <b:BookTitle>Hospitals in a changing Europe</b:BookTitle>
    <b:Pages>150-176</b:Pages>
    <b:Volume>European Observatory on Health Care Systems Series</b:Volume>
    <b:RefOrder>3</b:RefOrder>
  </b:Source>
  <b:Source>
    <b:Tag>Kut</b:Tag>
    <b:SourceType>Report</b:SourceType>
    <b:Guid>{2F94436A-F0E5-465C-BB12-F1F1013CF224}</b:Guid>
    <b:Author>
      <b:Author>
        <b:NameList>
          <b:Person>
            <b:Last>Kutzin</b:Last>
            <b:First>J.</b:First>
          </b:Person>
          <b:Person>
            <b:Last>Cashin</b:Last>
            <b:First>C.</b:First>
          </b:Person>
          <b:Person>
            <b:Last>Jakab</b:Last>
            <b:First>M.</b:First>
          </b:Person>
        </b:NameList>
      </b:Author>
    </b:Author>
    <b:Title>Implementing health financing reform:  lessons from countries in transition</b:Title>
    <b:Year>2010</b:Year>
    <b:Publisher>World Health Organization and European Observatory on Health Systems and Policies</b:Publisher>
    <b:City>Copenhagen</b:City>
    <b:RefOrder>4</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BBAC474-E25B-A64E-B8A1-0E9219D61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1177</TotalTime>
  <Pages>49</Pages>
  <Words>14057</Words>
  <Characters>80130</Characters>
  <Application>Microsoft Macintosh Word</Application>
  <DocSecurity>0</DocSecurity>
  <Lines>667</Lines>
  <Paragraphs>187</Paragraphs>
  <ScaleCrop>false</ScaleCrop>
  <HeadingPairs>
    <vt:vector size="2" baseType="variant">
      <vt:variant>
        <vt:lpstr>Title</vt:lpstr>
      </vt:variant>
      <vt:variant>
        <vt:i4>1</vt:i4>
      </vt:variant>
    </vt:vector>
  </HeadingPairs>
  <TitlesOfParts>
    <vt:vector size="1" baseType="lpstr">
      <vt:lpstr>Analysis of Catastrophic health payments and Benefit incidence of government spending for health in Mongolia</vt:lpstr>
    </vt:vector>
  </TitlesOfParts>
  <Company>macro conomics and health</Company>
  <LinksUpToDate>false</LinksUpToDate>
  <CharactersWithSpaces>94000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Analysis of Catastrophic health payments and Benefit incidence of government spending for health in Mongolia</dc:title>
  <dc:creator>Tsolmongerel Tsilaajav</dc:creator>
  <cp:lastModifiedBy>user</cp:lastModifiedBy>
  <cp:revision>33</cp:revision>
  <dcterms:created xsi:type="dcterms:W3CDTF">2015-10-05T15:13:00Z</dcterms:created>
  <dcterms:modified xsi:type="dcterms:W3CDTF">2015-12-30T09:58:00Z</dcterms:modified>
</cp:coreProperties>
</file>