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23FC" w:rsidRPr="00603DAD" w:rsidRDefault="008F23FC" w:rsidP="008F23FC">
      <w:pPr>
        <w:pStyle w:val="1-DocTextBold"/>
        <w:spacing w:before="0"/>
        <w:jc w:val="center"/>
        <w:rPr>
          <w:rFonts w:ascii="Calibri" w:hAnsi="Calibri" w:cs="Calibri"/>
          <w:sz w:val="28"/>
          <w:szCs w:val="28"/>
          <w:lang w:val="en-US"/>
        </w:rPr>
      </w:pPr>
      <w:bookmarkStart w:id="0" w:name="_GoBack"/>
      <w:bookmarkEnd w:id="0"/>
      <w:r w:rsidRPr="00603DAD">
        <w:rPr>
          <w:rFonts w:ascii="Calibri" w:hAnsi="Calibri" w:cs="Calibri"/>
          <w:sz w:val="28"/>
          <w:szCs w:val="28"/>
          <w:lang w:val="en-US"/>
        </w:rPr>
        <w:t>DRAFT</w:t>
      </w:r>
      <w:r w:rsidR="001A273A" w:rsidRPr="00603DAD">
        <w:rPr>
          <w:rFonts w:ascii="Calibri" w:hAnsi="Calibri" w:cs="Calibri"/>
          <w:sz w:val="28"/>
          <w:szCs w:val="28"/>
          <w:lang w:val="en-US"/>
        </w:rPr>
        <w:t xml:space="preserve"> </w:t>
      </w:r>
      <w:r w:rsidR="00362E16">
        <w:rPr>
          <w:rFonts w:ascii="Calibri" w:hAnsi="Calibri" w:cs="Calibri"/>
          <w:sz w:val="28"/>
          <w:szCs w:val="28"/>
          <w:lang w:val="en-US"/>
        </w:rPr>
        <w:t>3</w:t>
      </w:r>
    </w:p>
    <w:p w:rsidR="008F23FC" w:rsidRPr="00603DAD" w:rsidRDefault="008F23FC" w:rsidP="008F23FC">
      <w:pPr>
        <w:pStyle w:val="1-DocTextBold"/>
        <w:spacing w:before="0"/>
        <w:jc w:val="both"/>
        <w:rPr>
          <w:rFonts w:ascii="Calibri" w:hAnsi="Calibri" w:cs="Calibri"/>
          <w:sz w:val="28"/>
          <w:szCs w:val="28"/>
          <w:lang w:val="en-US"/>
        </w:rPr>
      </w:pPr>
    </w:p>
    <w:p w:rsidR="008F23FC" w:rsidRPr="00603DAD" w:rsidRDefault="008F23FC" w:rsidP="008F23FC">
      <w:pPr>
        <w:pStyle w:val="BodyText2"/>
        <w:spacing w:line="240" w:lineRule="auto"/>
        <w:jc w:val="center"/>
        <w:rPr>
          <w:b/>
          <w:sz w:val="28"/>
          <w:szCs w:val="28"/>
        </w:rPr>
      </w:pPr>
      <w:r w:rsidRPr="00603DAD">
        <w:rPr>
          <w:b/>
          <w:sz w:val="28"/>
          <w:szCs w:val="28"/>
        </w:rPr>
        <w:t>GOVERNMENT OF MALAWI</w:t>
      </w:r>
    </w:p>
    <w:p w:rsidR="008F23FC" w:rsidRPr="00603DAD" w:rsidRDefault="008F23FC" w:rsidP="008F23FC">
      <w:pPr>
        <w:pStyle w:val="1-DocTextBold"/>
        <w:spacing w:before="0"/>
        <w:jc w:val="center"/>
        <w:rPr>
          <w:rFonts w:ascii="Calibri" w:hAnsi="Calibri" w:cs="Calibri"/>
          <w:sz w:val="28"/>
          <w:szCs w:val="28"/>
          <w:lang w:val="en-US"/>
        </w:rPr>
      </w:pPr>
    </w:p>
    <w:p w:rsidR="008F23FC" w:rsidRPr="00603DAD" w:rsidRDefault="00B45ED6" w:rsidP="008F23FC">
      <w:pPr>
        <w:pStyle w:val="1-DocTextBold"/>
        <w:spacing w:before="0"/>
        <w:jc w:val="both"/>
        <w:rPr>
          <w:rFonts w:ascii="Calibri" w:hAnsi="Calibri" w:cs="Calibri"/>
          <w:sz w:val="28"/>
          <w:szCs w:val="28"/>
          <w:lang w:val="en-US"/>
        </w:rPr>
      </w:pPr>
      <w:r w:rsidRPr="00C11D59">
        <w:rPr>
          <w:b w:val="0"/>
          <w:noProof/>
          <w:sz w:val="28"/>
          <w:szCs w:val="28"/>
          <w:lang w:val="en-US"/>
        </w:rPr>
        <w:drawing>
          <wp:anchor distT="0" distB="0" distL="114300" distR="114300" simplePos="0" relativeHeight="251661312" behindDoc="0" locked="0" layoutInCell="1" allowOverlap="1" wp14:anchorId="692D82DE" wp14:editId="12028047">
            <wp:simplePos x="0" y="0"/>
            <wp:positionH relativeFrom="column">
              <wp:posOffset>1924050</wp:posOffset>
            </wp:positionH>
            <wp:positionV relativeFrom="paragraph">
              <wp:posOffset>60325</wp:posOffset>
            </wp:positionV>
            <wp:extent cx="2266950" cy="2162175"/>
            <wp:effectExtent l="0" t="0" r="0" b="9525"/>
            <wp:wrapSquare wrapText="right"/>
            <wp:docPr id="33" name="Picture 2" descr="Description: MW Malaw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MW Malawi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66950" cy="2162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23FC" w:rsidRPr="00603DAD" w:rsidRDefault="008F23FC" w:rsidP="008F23FC">
      <w:pPr>
        <w:pStyle w:val="1-DocTextBold"/>
        <w:spacing w:before="0"/>
        <w:jc w:val="both"/>
        <w:rPr>
          <w:rFonts w:ascii="Calibri" w:hAnsi="Calibri" w:cs="Calibri"/>
          <w:sz w:val="28"/>
          <w:szCs w:val="28"/>
          <w:lang w:val="en-US"/>
        </w:rPr>
      </w:pPr>
    </w:p>
    <w:p w:rsidR="008F23FC" w:rsidRPr="00603DAD" w:rsidRDefault="008F23FC" w:rsidP="008F23FC">
      <w:pPr>
        <w:pStyle w:val="1-DocTextBold"/>
        <w:spacing w:before="0"/>
        <w:jc w:val="both"/>
        <w:rPr>
          <w:rFonts w:ascii="Calibri" w:hAnsi="Calibri" w:cs="Calibri"/>
          <w:sz w:val="28"/>
          <w:szCs w:val="28"/>
          <w:lang w:val="en-US"/>
        </w:rPr>
      </w:pPr>
    </w:p>
    <w:p w:rsidR="008F23FC" w:rsidRPr="00603DAD" w:rsidRDefault="008F23FC" w:rsidP="008F23FC">
      <w:pPr>
        <w:pStyle w:val="1-DocTextBold"/>
        <w:spacing w:before="0"/>
        <w:jc w:val="both"/>
        <w:rPr>
          <w:rFonts w:ascii="Calibri" w:hAnsi="Calibri" w:cs="Calibri"/>
          <w:sz w:val="28"/>
          <w:szCs w:val="28"/>
          <w:lang w:val="en-US"/>
        </w:rPr>
      </w:pPr>
    </w:p>
    <w:p w:rsidR="008F23FC" w:rsidRPr="00603DAD" w:rsidRDefault="008F23FC" w:rsidP="008F23FC">
      <w:pPr>
        <w:pStyle w:val="1-DocTextBold"/>
        <w:spacing w:before="0"/>
        <w:jc w:val="both"/>
        <w:rPr>
          <w:rFonts w:ascii="Calibri" w:hAnsi="Calibri" w:cs="Calibri"/>
          <w:sz w:val="28"/>
          <w:szCs w:val="28"/>
          <w:lang w:val="en-US"/>
        </w:rPr>
      </w:pPr>
    </w:p>
    <w:p w:rsidR="008F23FC" w:rsidRPr="00603DAD" w:rsidRDefault="008F23FC" w:rsidP="008F23FC">
      <w:pPr>
        <w:pStyle w:val="1-DocTextBold"/>
        <w:spacing w:before="0"/>
        <w:jc w:val="both"/>
        <w:rPr>
          <w:rFonts w:ascii="Calibri" w:hAnsi="Calibri" w:cs="Calibri"/>
          <w:sz w:val="28"/>
          <w:szCs w:val="28"/>
          <w:lang w:val="en-US"/>
        </w:rPr>
      </w:pPr>
    </w:p>
    <w:p w:rsidR="008F23FC" w:rsidRPr="00603DAD" w:rsidRDefault="008F23FC" w:rsidP="008F23FC">
      <w:pPr>
        <w:pStyle w:val="1-DocTextBold"/>
        <w:spacing w:before="0"/>
        <w:jc w:val="both"/>
        <w:rPr>
          <w:rFonts w:ascii="Calibri" w:hAnsi="Calibri" w:cs="Calibri"/>
          <w:sz w:val="28"/>
          <w:szCs w:val="28"/>
          <w:lang w:val="en-US"/>
        </w:rPr>
      </w:pPr>
    </w:p>
    <w:p w:rsidR="008F23FC" w:rsidRPr="00603DAD" w:rsidRDefault="008F23FC" w:rsidP="008F23FC">
      <w:pPr>
        <w:pStyle w:val="1-DocTextBold"/>
        <w:spacing w:before="0"/>
        <w:jc w:val="both"/>
        <w:rPr>
          <w:rFonts w:ascii="Calibri" w:hAnsi="Calibri" w:cs="Calibri"/>
          <w:sz w:val="28"/>
          <w:szCs w:val="28"/>
          <w:lang w:val="en-US"/>
        </w:rPr>
      </w:pPr>
    </w:p>
    <w:p w:rsidR="008F23FC" w:rsidRPr="00603DAD" w:rsidRDefault="008F23FC" w:rsidP="008F23FC">
      <w:pPr>
        <w:pStyle w:val="1-DocTextBold"/>
        <w:spacing w:before="0"/>
        <w:jc w:val="center"/>
        <w:rPr>
          <w:rFonts w:ascii="Calibri" w:hAnsi="Calibri" w:cs="Calibri"/>
          <w:sz w:val="28"/>
          <w:szCs w:val="28"/>
          <w:lang w:val="en-US"/>
        </w:rPr>
      </w:pPr>
      <w:r w:rsidRPr="00603DAD">
        <w:rPr>
          <w:rFonts w:ascii="Calibri" w:hAnsi="Calibri" w:cs="Calibri"/>
          <w:sz w:val="28"/>
          <w:szCs w:val="28"/>
          <w:lang w:val="en-US"/>
        </w:rPr>
        <w:t>Ministry of Health</w:t>
      </w:r>
    </w:p>
    <w:p w:rsidR="008F23FC" w:rsidRPr="00603DAD" w:rsidRDefault="008F23FC" w:rsidP="008F23FC">
      <w:pPr>
        <w:pStyle w:val="1-DocTextBold"/>
        <w:spacing w:before="0"/>
        <w:jc w:val="both"/>
        <w:rPr>
          <w:rFonts w:ascii="Calibri" w:hAnsi="Calibri" w:cs="Calibri"/>
          <w:sz w:val="28"/>
          <w:szCs w:val="28"/>
          <w:lang w:val="en-US"/>
        </w:rPr>
      </w:pPr>
    </w:p>
    <w:p w:rsidR="008F23FC" w:rsidRPr="00603DAD" w:rsidRDefault="008F23FC" w:rsidP="008F23FC">
      <w:pPr>
        <w:pStyle w:val="1-DocTextBold"/>
        <w:spacing w:before="0"/>
        <w:jc w:val="both"/>
        <w:rPr>
          <w:rFonts w:ascii="Calibri" w:hAnsi="Calibri" w:cs="Calibri"/>
          <w:sz w:val="28"/>
          <w:szCs w:val="28"/>
          <w:lang w:val="en-US"/>
        </w:rPr>
      </w:pPr>
    </w:p>
    <w:p w:rsidR="008F23FC" w:rsidRPr="00603DAD" w:rsidRDefault="008F23FC" w:rsidP="008F23FC">
      <w:pPr>
        <w:pStyle w:val="1-DocTextBold"/>
        <w:spacing w:before="0"/>
        <w:jc w:val="both"/>
        <w:rPr>
          <w:rFonts w:ascii="Calibri" w:hAnsi="Calibri" w:cs="Calibri"/>
          <w:sz w:val="28"/>
          <w:szCs w:val="28"/>
          <w:lang w:val="en-US"/>
        </w:rPr>
      </w:pPr>
    </w:p>
    <w:p w:rsidR="00643E2D" w:rsidRPr="00603DAD" w:rsidRDefault="00643E2D" w:rsidP="008F23FC">
      <w:pPr>
        <w:pStyle w:val="1-DocTextBold"/>
        <w:spacing w:before="0"/>
        <w:jc w:val="center"/>
        <w:rPr>
          <w:rFonts w:ascii="Calibri" w:hAnsi="Calibri" w:cs="Calibri"/>
          <w:sz w:val="28"/>
          <w:szCs w:val="28"/>
          <w:lang w:val="en-US"/>
        </w:rPr>
      </w:pPr>
      <w:r w:rsidRPr="00603DAD">
        <w:rPr>
          <w:rFonts w:ascii="Calibri" w:hAnsi="Calibri" w:cs="Calibri"/>
          <w:sz w:val="28"/>
          <w:szCs w:val="28"/>
          <w:lang w:val="en-US"/>
        </w:rPr>
        <w:t xml:space="preserve">Malawi </w:t>
      </w:r>
      <w:r w:rsidR="00C77388">
        <w:rPr>
          <w:rFonts w:ascii="Calibri" w:hAnsi="Calibri" w:cs="Calibri"/>
          <w:sz w:val="28"/>
          <w:szCs w:val="28"/>
          <w:lang w:val="en-US"/>
        </w:rPr>
        <w:t>Health Financing Strategy</w:t>
      </w:r>
    </w:p>
    <w:p w:rsidR="00643E2D" w:rsidRPr="00603DAD" w:rsidRDefault="00643E2D" w:rsidP="008F23FC">
      <w:pPr>
        <w:pStyle w:val="1-DocTextBold"/>
        <w:spacing w:before="0"/>
        <w:jc w:val="center"/>
        <w:rPr>
          <w:rFonts w:ascii="Calibri" w:hAnsi="Calibri" w:cs="Calibri"/>
          <w:sz w:val="28"/>
          <w:szCs w:val="28"/>
          <w:lang w:val="en-US"/>
        </w:rPr>
      </w:pPr>
    </w:p>
    <w:p w:rsidR="008F23FC" w:rsidRPr="00603DAD" w:rsidRDefault="008F23FC" w:rsidP="008F23FC">
      <w:pPr>
        <w:pStyle w:val="1-DocTextBold"/>
        <w:spacing w:before="0"/>
        <w:jc w:val="both"/>
        <w:rPr>
          <w:rFonts w:ascii="Calibri" w:hAnsi="Calibri" w:cs="Calibri"/>
          <w:sz w:val="28"/>
          <w:szCs w:val="28"/>
          <w:lang w:val="en-US"/>
        </w:rPr>
      </w:pPr>
    </w:p>
    <w:p w:rsidR="008F23FC" w:rsidRPr="00603DAD" w:rsidRDefault="008F23FC" w:rsidP="008F23FC">
      <w:pPr>
        <w:pStyle w:val="1-DocTextBold"/>
        <w:spacing w:before="0"/>
        <w:jc w:val="both"/>
        <w:rPr>
          <w:rFonts w:ascii="Calibri" w:hAnsi="Calibri" w:cs="Calibri"/>
          <w:sz w:val="28"/>
          <w:szCs w:val="28"/>
          <w:lang w:val="en-US"/>
        </w:rPr>
      </w:pPr>
    </w:p>
    <w:p w:rsidR="008F23FC" w:rsidRPr="00603DAD" w:rsidRDefault="008F23FC" w:rsidP="008F23FC">
      <w:pPr>
        <w:pStyle w:val="1-DocTextBold"/>
        <w:spacing w:before="0"/>
        <w:jc w:val="both"/>
        <w:rPr>
          <w:rFonts w:ascii="Calibri" w:hAnsi="Calibri" w:cs="Calibri"/>
          <w:sz w:val="28"/>
          <w:szCs w:val="28"/>
          <w:lang w:val="en-US"/>
        </w:rPr>
      </w:pPr>
    </w:p>
    <w:p w:rsidR="008F23FC" w:rsidRPr="00603DAD" w:rsidRDefault="008F23FC" w:rsidP="008F23FC">
      <w:pPr>
        <w:pStyle w:val="1-DocTextBold"/>
        <w:spacing w:before="0"/>
        <w:jc w:val="both"/>
        <w:rPr>
          <w:rFonts w:ascii="Calibri" w:hAnsi="Calibri" w:cs="Calibri"/>
          <w:sz w:val="28"/>
          <w:szCs w:val="28"/>
          <w:lang w:val="en-US"/>
        </w:rPr>
      </w:pPr>
    </w:p>
    <w:p w:rsidR="008F23FC" w:rsidRPr="00603DAD" w:rsidRDefault="008F23FC" w:rsidP="008F23FC">
      <w:pPr>
        <w:pStyle w:val="1-DocTextBold"/>
        <w:spacing w:before="0"/>
        <w:jc w:val="both"/>
        <w:rPr>
          <w:rFonts w:ascii="Calibri" w:hAnsi="Calibri" w:cs="Calibri"/>
          <w:sz w:val="28"/>
          <w:szCs w:val="28"/>
          <w:lang w:val="en-US"/>
        </w:rPr>
      </w:pPr>
    </w:p>
    <w:p w:rsidR="008F23FC" w:rsidRPr="00603DAD" w:rsidRDefault="00F6726B" w:rsidP="00603DAD">
      <w:pPr>
        <w:pStyle w:val="1-DocTextBold"/>
        <w:spacing w:before="0"/>
        <w:jc w:val="center"/>
        <w:rPr>
          <w:rFonts w:ascii="Calibri" w:hAnsi="Calibri" w:cs="Calibri"/>
          <w:i/>
          <w:sz w:val="28"/>
          <w:szCs w:val="28"/>
          <w:lang w:val="en-US"/>
        </w:rPr>
      </w:pPr>
      <w:r>
        <w:rPr>
          <w:rFonts w:ascii="Calibri" w:hAnsi="Calibri" w:cs="Calibri"/>
          <w:i/>
          <w:sz w:val="28"/>
          <w:szCs w:val="28"/>
          <w:lang w:val="en-US"/>
        </w:rPr>
        <w:t>May</w:t>
      </w:r>
      <w:r w:rsidR="00362E16" w:rsidRPr="00603DAD">
        <w:rPr>
          <w:rFonts w:ascii="Calibri" w:hAnsi="Calibri" w:cs="Calibri"/>
          <w:i/>
          <w:sz w:val="28"/>
          <w:szCs w:val="28"/>
          <w:lang w:val="en-US"/>
        </w:rPr>
        <w:t xml:space="preserve"> </w:t>
      </w:r>
      <w:r w:rsidR="008F23FC" w:rsidRPr="00603DAD">
        <w:rPr>
          <w:rFonts w:ascii="Calibri" w:hAnsi="Calibri" w:cs="Calibri"/>
          <w:i/>
          <w:sz w:val="28"/>
          <w:szCs w:val="28"/>
          <w:lang w:val="en-US"/>
        </w:rPr>
        <w:t>201</w:t>
      </w:r>
      <w:r w:rsidR="00362E16">
        <w:rPr>
          <w:rFonts w:ascii="Calibri" w:hAnsi="Calibri" w:cs="Calibri"/>
          <w:i/>
          <w:sz w:val="28"/>
          <w:szCs w:val="28"/>
          <w:lang w:val="en-US"/>
        </w:rPr>
        <w:t>4</w:t>
      </w:r>
    </w:p>
    <w:p w:rsidR="00606FC1" w:rsidRDefault="009365A7" w:rsidP="00AA5468">
      <w:pPr>
        <w:pStyle w:val="HeadingO"/>
      </w:pPr>
      <w:bookmarkStart w:id="1" w:name="_Toc384911939"/>
      <w:r w:rsidRPr="00FE2C4F">
        <w:lastRenderedPageBreak/>
        <w:t>TABLE OF CONTENTS</w:t>
      </w:r>
      <w:bookmarkEnd w:id="1"/>
    </w:p>
    <w:p w:rsidR="00CF0449" w:rsidRDefault="009F4261">
      <w:pPr>
        <w:pStyle w:val="TOC1"/>
        <w:tabs>
          <w:tab w:val="right" w:leader="dot" w:pos="9350"/>
        </w:tabs>
        <w:rPr>
          <w:rFonts w:asciiTheme="minorHAnsi" w:eastAsiaTheme="minorEastAsia" w:hAnsiTheme="minorHAnsi" w:cstheme="minorBidi"/>
          <w:b w:val="0"/>
          <w:bCs w:val="0"/>
          <w:caps w:val="0"/>
          <w:noProof/>
          <w:sz w:val="22"/>
          <w:szCs w:val="22"/>
        </w:rPr>
      </w:pPr>
      <w:r w:rsidRPr="00C753E2">
        <w:rPr>
          <w:rFonts w:cstheme="minorHAnsi"/>
          <w:b w:val="0"/>
          <w:lang w:val="en-GB"/>
        </w:rPr>
        <w:fldChar w:fldCharType="begin"/>
      </w:r>
      <w:r w:rsidRPr="00C753E2">
        <w:rPr>
          <w:b w:val="0"/>
          <w:lang w:val="en-GB"/>
        </w:rPr>
        <w:instrText xml:space="preserve"> TOC \o "1-2" \h \z \u </w:instrText>
      </w:r>
      <w:r w:rsidRPr="00C753E2">
        <w:rPr>
          <w:rFonts w:cstheme="minorHAnsi"/>
          <w:b w:val="0"/>
          <w:lang w:val="en-GB"/>
        </w:rPr>
        <w:fldChar w:fldCharType="separate"/>
      </w:r>
      <w:hyperlink w:anchor="_Toc384911939" w:history="1">
        <w:r w:rsidR="00CF0449" w:rsidRPr="00401023">
          <w:rPr>
            <w:rStyle w:val="Hyperlink"/>
            <w:noProof/>
          </w:rPr>
          <w:t>TABLE OF CONTENTS</w:t>
        </w:r>
        <w:r w:rsidR="00CF0449">
          <w:rPr>
            <w:noProof/>
            <w:webHidden/>
          </w:rPr>
          <w:tab/>
        </w:r>
        <w:r w:rsidR="00CF0449">
          <w:rPr>
            <w:noProof/>
            <w:webHidden/>
          </w:rPr>
          <w:fldChar w:fldCharType="begin"/>
        </w:r>
        <w:r w:rsidR="00CF0449">
          <w:rPr>
            <w:noProof/>
            <w:webHidden/>
          </w:rPr>
          <w:instrText xml:space="preserve"> PAGEREF _Toc384911939 \h </w:instrText>
        </w:r>
        <w:r w:rsidR="00CF0449">
          <w:rPr>
            <w:noProof/>
            <w:webHidden/>
          </w:rPr>
        </w:r>
        <w:r w:rsidR="00CF0449">
          <w:rPr>
            <w:noProof/>
            <w:webHidden/>
          </w:rPr>
          <w:fldChar w:fldCharType="separate"/>
        </w:r>
        <w:r w:rsidR="00381BCB">
          <w:rPr>
            <w:noProof/>
            <w:webHidden/>
          </w:rPr>
          <w:t>2</w:t>
        </w:r>
        <w:r w:rsidR="00CF0449">
          <w:rPr>
            <w:noProof/>
            <w:webHidden/>
          </w:rPr>
          <w:fldChar w:fldCharType="end"/>
        </w:r>
      </w:hyperlink>
    </w:p>
    <w:p w:rsidR="00CF0449" w:rsidRDefault="004D598F">
      <w:pPr>
        <w:pStyle w:val="TOC1"/>
        <w:tabs>
          <w:tab w:val="right" w:leader="dot" w:pos="9350"/>
        </w:tabs>
        <w:rPr>
          <w:rFonts w:asciiTheme="minorHAnsi" w:eastAsiaTheme="minorEastAsia" w:hAnsiTheme="minorHAnsi" w:cstheme="minorBidi"/>
          <w:b w:val="0"/>
          <w:bCs w:val="0"/>
          <w:caps w:val="0"/>
          <w:noProof/>
          <w:sz w:val="22"/>
          <w:szCs w:val="22"/>
        </w:rPr>
      </w:pPr>
      <w:hyperlink w:anchor="_Toc384911940" w:history="1">
        <w:r w:rsidR="00CF0449" w:rsidRPr="00401023">
          <w:rPr>
            <w:rStyle w:val="Hyperlink"/>
            <w:noProof/>
          </w:rPr>
          <w:t>LIST OF TABLES</w:t>
        </w:r>
        <w:r w:rsidR="00CF0449">
          <w:rPr>
            <w:noProof/>
            <w:webHidden/>
          </w:rPr>
          <w:tab/>
        </w:r>
        <w:r w:rsidR="00CF0449">
          <w:rPr>
            <w:noProof/>
            <w:webHidden/>
          </w:rPr>
          <w:fldChar w:fldCharType="begin"/>
        </w:r>
        <w:r w:rsidR="00CF0449">
          <w:rPr>
            <w:noProof/>
            <w:webHidden/>
          </w:rPr>
          <w:instrText xml:space="preserve"> PAGEREF _Toc384911940 \h </w:instrText>
        </w:r>
        <w:r w:rsidR="00CF0449">
          <w:rPr>
            <w:noProof/>
            <w:webHidden/>
          </w:rPr>
        </w:r>
        <w:r w:rsidR="00CF0449">
          <w:rPr>
            <w:noProof/>
            <w:webHidden/>
          </w:rPr>
          <w:fldChar w:fldCharType="separate"/>
        </w:r>
        <w:r w:rsidR="00381BCB">
          <w:rPr>
            <w:noProof/>
            <w:webHidden/>
          </w:rPr>
          <w:t>4</w:t>
        </w:r>
        <w:r w:rsidR="00CF0449">
          <w:rPr>
            <w:noProof/>
            <w:webHidden/>
          </w:rPr>
          <w:fldChar w:fldCharType="end"/>
        </w:r>
      </w:hyperlink>
    </w:p>
    <w:p w:rsidR="00CF0449" w:rsidRDefault="004D598F">
      <w:pPr>
        <w:pStyle w:val="TOC1"/>
        <w:tabs>
          <w:tab w:val="right" w:leader="dot" w:pos="9350"/>
        </w:tabs>
        <w:rPr>
          <w:rFonts w:asciiTheme="minorHAnsi" w:eastAsiaTheme="minorEastAsia" w:hAnsiTheme="minorHAnsi" w:cstheme="minorBidi"/>
          <w:b w:val="0"/>
          <w:bCs w:val="0"/>
          <w:caps w:val="0"/>
          <w:noProof/>
          <w:sz w:val="22"/>
          <w:szCs w:val="22"/>
        </w:rPr>
      </w:pPr>
      <w:hyperlink w:anchor="_Toc384911941" w:history="1">
        <w:r w:rsidR="00CF0449" w:rsidRPr="00401023">
          <w:rPr>
            <w:rStyle w:val="Hyperlink"/>
            <w:noProof/>
          </w:rPr>
          <w:t>LIST OF FIGURES</w:t>
        </w:r>
        <w:r w:rsidR="00CF0449">
          <w:rPr>
            <w:noProof/>
            <w:webHidden/>
          </w:rPr>
          <w:tab/>
        </w:r>
        <w:r w:rsidR="00CF0449">
          <w:rPr>
            <w:noProof/>
            <w:webHidden/>
          </w:rPr>
          <w:fldChar w:fldCharType="begin"/>
        </w:r>
        <w:r w:rsidR="00CF0449">
          <w:rPr>
            <w:noProof/>
            <w:webHidden/>
          </w:rPr>
          <w:instrText xml:space="preserve"> PAGEREF _Toc384911941 \h </w:instrText>
        </w:r>
        <w:r w:rsidR="00CF0449">
          <w:rPr>
            <w:noProof/>
            <w:webHidden/>
          </w:rPr>
        </w:r>
        <w:r w:rsidR="00CF0449">
          <w:rPr>
            <w:noProof/>
            <w:webHidden/>
          </w:rPr>
          <w:fldChar w:fldCharType="separate"/>
        </w:r>
        <w:r w:rsidR="00381BCB">
          <w:rPr>
            <w:noProof/>
            <w:webHidden/>
          </w:rPr>
          <w:t>5</w:t>
        </w:r>
        <w:r w:rsidR="00CF0449">
          <w:rPr>
            <w:noProof/>
            <w:webHidden/>
          </w:rPr>
          <w:fldChar w:fldCharType="end"/>
        </w:r>
      </w:hyperlink>
    </w:p>
    <w:p w:rsidR="00CF0449" w:rsidRDefault="004D598F">
      <w:pPr>
        <w:pStyle w:val="TOC1"/>
        <w:tabs>
          <w:tab w:val="right" w:leader="dot" w:pos="9350"/>
        </w:tabs>
        <w:rPr>
          <w:rFonts w:asciiTheme="minorHAnsi" w:eastAsiaTheme="minorEastAsia" w:hAnsiTheme="minorHAnsi" w:cstheme="minorBidi"/>
          <w:b w:val="0"/>
          <w:bCs w:val="0"/>
          <w:caps w:val="0"/>
          <w:noProof/>
          <w:sz w:val="22"/>
          <w:szCs w:val="22"/>
        </w:rPr>
      </w:pPr>
      <w:hyperlink w:anchor="_Toc384911942" w:history="1">
        <w:r w:rsidR="00CF0449" w:rsidRPr="00401023">
          <w:rPr>
            <w:rStyle w:val="Hyperlink"/>
            <w:noProof/>
          </w:rPr>
          <w:t>Acronyms</w:t>
        </w:r>
        <w:r w:rsidR="00CF0449">
          <w:rPr>
            <w:noProof/>
            <w:webHidden/>
          </w:rPr>
          <w:tab/>
        </w:r>
        <w:r w:rsidR="00CF0449">
          <w:rPr>
            <w:noProof/>
            <w:webHidden/>
          </w:rPr>
          <w:fldChar w:fldCharType="begin"/>
        </w:r>
        <w:r w:rsidR="00CF0449">
          <w:rPr>
            <w:noProof/>
            <w:webHidden/>
          </w:rPr>
          <w:instrText xml:space="preserve"> PAGEREF _Toc384911942 \h </w:instrText>
        </w:r>
        <w:r w:rsidR="00CF0449">
          <w:rPr>
            <w:noProof/>
            <w:webHidden/>
          </w:rPr>
        </w:r>
        <w:r w:rsidR="00CF0449">
          <w:rPr>
            <w:noProof/>
            <w:webHidden/>
          </w:rPr>
          <w:fldChar w:fldCharType="separate"/>
        </w:r>
        <w:r w:rsidR="00381BCB">
          <w:rPr>
            <w:noProof/>
            <w:webHidden/>
          </w:rPr>
          <w:t>6</w:t>
        </w:r>
        <w:r w:rsidR="00CF0449">
          <w:rPr>
            <w:noProof/>
            <w:webHidden/>
          </w:rPr>
          <w:fldChar w:fldCharType="end"/>
        </w:r>
      </w:hyperlink>
    </w:p>
    <w:p w:rsidR="00CF0449" w:rsidRDefault="004D598F">
      <w:pPr>
        <w:pStyle w:val="TOC1"/>
        <w:tabs>
          <w:tab w:val="right" w:leader="dot" w:pos="9350"/>
        </w:tabs>
        <w:rPr>
          <w:rFonts w:asciiTheme="minorHAnsi" w:eastAsiaTheme="minorEastAsia" w:hAnsiTheme="minorHAnsi" w:cstheme="minorBidi"/>
          <w:b w:val="0"/>
          <w:bCs w:val="0"/>
          <w:caps w:val="0"/>
          <w:noProof/>
          <w:sz w:val="22"/>
          <w:szCs w:val="22"/>
        </w:rPr>
      </w:pPr>
      <w:hyperlink w:anchor="_Toc384911943" w:history="1">
        <w:r w:rsidR="00CF0449" w:rsidRPr="00401023">
          <w:rPr>
            <w:rStyle w:val="Hyperlink"/>
            <w:noProof/>
          </w:rPr>
          <w:t>ACKNOWLEDGEMENTS</w:t>
        </w:r>
        <w:r w:rsidR="00CF0449">
          <w:rPr>
            <w:noProof/>
            <w:webHidden/>
          </w:rPr>
          <w:tab/>
        </w:r>
        <w:r w:rsidR="00CF0449">
          <w:rPr>
            <w:noProof/>
            <w:webHidden/>
          </w:rPr>
          <w:fldChar w:fldCharType="begin"/>
        </w:r>
        <w:r w:rsidR="00CF0449">
          <w:rPr>
            <w:noProof/>
            <w:webHidden/>
          </w:rPr>
          <w:instrText xml:space="preserve"> PAGEREF _Toc384911943 \h </w:instrText>
        </w:r>
        <w:r w:rsidR="00CF0449">
          <w:rPr>
            <w:noProof/>
            <w:webHidden/>
          </w:rPr>
        </w:r>
        <w:r w:rsidR="00CF0449">
          <w:rPr>
            <w:noProof/>
            <w:webHidden/>
          </w:rPr>
          <w:fldChar w:fldCharType="separate"/>
        </w:r>
        <w:r w:rsidR="00381BCB">
          <w:rPr>
            <w:noProof/>
            <w:webHidden/>
          </w:rPr>
          <w:t>8</w:t>
        </w:r>
        <w:r w:rsidR="00CF0449">
          <w:rPr>
            <w:noProof/>
            <w:webHidden/>
          </w:rPr>
          <w:fldChar w:fldCharType="end"/>
        </w:r>
      </w:hyperlink>
    </w:p>
    <w:p w:rsidR="00CF0449" w:rsidRDefault="004D598F">
      <w:pPr>
        <w:pStyle w:val="TOC1"/>
        <w:tabs>
          <w:tab w:val="right" w:leader="dot" w:pos="9350"/>
        </w:tabs>
        <w:rPr>
          <w:rFonts w:asciiTheme="minorHAnsi" w:eastAsiaTheme="minorEastAsia" w:hAnsiTheme="minorHAnsi" w:cstheme="minorBidi"/>
          <w:b w:val="0"/>
          <w:bCs w:val="0"/>
          <w:caps w:val="0"/>
          <w:noProof/>
          <w:sz w:val="22"/>
          <w:szCs w:val="22"/>
        </w:rPr>
      </w:pPr>
      <w:hyperlink w:anchor="_Toc384911944" w:history="1">
        <w:r w:rsidR="00CF0449" w:rsidRPr="00401023">
          <w:rPr>
            <w:rStyle w:val="Hyperlink"/>
            <w:noProof/>
          </w:rPr>
          <w:t>EXECUTIVE SUMMARY</w:t>
        </w:r>
        <w:r w:rsidR="00CF0449">
          <w:rPr>
            <w:noProof/>
            <w:webHidden/>
          </w:rPr>
          <w:tab/>
        </w:r>
        <w:r w:rsidR="00CF0449">
          <w:rPr>
            <w:noProof/>
            <w:webHidden/>
          </w:rPr>
          <w:fldChar w:fldCharType="begin"/>
        </w:r>
        <w:r w:rsidR="00CF0449">
          <w:rPr>
            <w:noProof/>
            <w:webHidden/>
          </w:rPr>
          <w:instrText xml:space="preserve"> PAGEREF _Toc384911944 \h </w:instrText>
        </w:r>
        <w:r w:rsidR="00CF0449">
          <w:rPr>
            <w:noProof/>
            <w:webHidden/>
          </w:rPr>
        </w:r>
        <w:r w:rsidR="00CF0449">
          <w:rPr>
            <w:noProof/>
            <w:webHidden/>
          </w:rPr>
          <w:fldChar w:fldCharType="separate"/>
        </w:r>
        <w:r w:rsidR="00381BCB">
          <w:rPr>
            <w:noProof/>
            <w:webHidden/>
          </w:rPr>
          <w:t>9</w:t>
        </w:r>
        <w:r w:rsidR="00CF0449">
          <w:rPr>
            <w:noProof/>
            <w:webHidden/>
          </w:rPr>
          <w:fldChar w:fldCharType="end"/>
        </w:r>
      </w:hyperlink>
    </w:p>
    <w:p w:rsidR="00CF0449" w:rsidRDefault="004D598F">
      <w:pPr>
        <w:pStyle w:val="TOC1"/>
        <w:tabs>
          <w:tab w:val="left" w:pos="660"/>
          <w:tab w:val="right" w:leader="dot" w:pos="9350"/>
        </w:tabs>
        <w:rPr>
          <w:rFonts w:asciiTheme="minorHAnsi" w:eastAsiaTheme="minorEastAsia" w:hAnsiTheme="minorHAnsi" w:cstheme="minorBidi"/>
          <w:b w:val="0"/>
          <w:bCs w:val="0"/>
          <w:caps w:val="0"/>
          <w:noProof/>
          <w:sz w:val="22"/>
          <w:szCs w:val="22"/>
        </w:rPr>
      </w:pPr>
      <w:hyperlink w:anchor="_Toc384911945" w:history="1">
        <w:r w:rsidR="00CF0449" w:rsidRPr="00401023">
          <w:rPr>
            <w:rStyle w:val="Hyperlink"/>
            <w:noProof/>
          </w:rPr>
          <w:t>1.0</w:t>
        </w:r>
        <w:r w:rsidR="00CF0449">
          <w:rPr>
            <w:rFonts w:asciiTheme="minorHAnsi" w:eastAsiaTheme="minorEastAsia" w:hAnsiTheme="minorHAnsi" w:cstheme="minorBidi"/>
            <w:b w:val="0"/>
            <w:bCs w:val="0"/>
            <w:caps w:val="0"/>
            <w:noProof/>
            <w:sz w:val="22"/>
            <w:szCs w:val="22"/>
          </w:rPr>
          <w:tab/>
        </w:r>
        <w:r w:rsidR="00CF0449" w:rsidRPr="00401023">
          <w:rPr>
            <w:rStyle w:val="Hyperlink"/>
            <w:noProof/>
          </w:rPr>
          <w:t xml:space="preserve"> BACKGROUND</w:t>
        </w:r>
        <w:r w:rsidR="00CF0449">
          <w:rPr>
            <w:noProof/>
            <w:webHidden/>
          </w:rPr>
          <w:tab/>
        </w:r>
        <w:r w:rsidR="00CF0449">
          <w:rPr>
            <w:noProof/>
            <w:webHidden/>
          </w:rPr>
          <w:fldChar w:fldCharType="begin"/>
        </w:r>
        <w:r w:rsidR="00CF0449">
          <w:rPr>
            <w:noProof/>
            <w:webHidden/>
          </w:rPr>
          <w:instrText xml:space="preserve"> PAGEREF _Toc384911945 \h </w:instrText>
        </w:r>
        <w:r w:rsidR="00CF0449">
          <w:rPr>
            <w:noProof/>
            <w:webHidden/>
          </w:rPr>
        </w:r>
        <w:r w:rsidR="00CF0449">
          <w:rPr>
            <w:noProof/>
            <w:webHidden/>
          </w:rPr>
          <w:fldChar w:fldCharType="separate"/>
        </w:r>
        <w:r w:rsidR="00381BCB">
          <w:rPr>
            <w:noProof/>
            <w:webHidden/>
          </w:rPr>
          <w:t>12</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46" w:history="1">
        <w:r w:rsidR="00CF0449" w:rsidRPr="00401023">
          <w:rPr>
            <w:rStyle w:val="Hyperlink"/>
            <w:noProof/>
          </w:rPr>
          <w:t>1.1</w:t>
        </w:r>
        <w:r w:rsidR="00CF0449">
          <w:rPr>
            <w:rFonts w:asciiTheme="minorHAnsi" w:eastAsiaTheme="minorEastAsia" w:hAnsiTheme="minorHAnsi" w:cstheme="minorBidi"/>
            <w:smallCaps w:val="0"/>
            <w:noProof/>
            <w:sz w:val="22"/>
            <w:szCs w:val="22"/>
          </w:rPr>
          <w:tab/>
        </w:r>
        <w:r w:rsidR="00CF0449" w:rsidRPr="00401023">
          <w:rPr>
            <w:rStyle w:val="Hyperlink"/>
            <w:noProof/>
          </w:rPr>
          <w:t>INTRODUCTION</w:t>
        </w:r>
        <w:r w:rsidR="00CF0449">
          <w:rPr>
            <w:noProof/>
            <w:webHidden/>
          </w:rPr>
          <w:tab/>
        </w:r>
        <w:r w:rsidR="00CF0449">
          <w:rPr>
            <w:noProof/>
            <w:webHidden/>
          </w:rPr>
          <w:fldChar w:fldCharType="begin"/>
        </w:r>
        <w:r w:rsidR="00CF0449">
          <w:rPr>
            <w:noProof/>
            <w:webHidden/>
          </w:rPr>
          <w:instrText xml:space="preserve"> PAGEREF _Toc384911946 \h </w:instrText>
        </w:r>
        <w:r w:rsidR="00CF0449">
          <w:rPr>
            <w:noProof/>
            <w:webHidden/>
          </w:rPr>
        </w:r>
        <w:r w:rsidR="00CF0449">
          <w:rPr>
            <w:noProof/>
            <w:webHidden/>
          </w:rPr>
          <w:fldChar w:fldCharType="separate"/>
        </w:r>
        <w:r w:rsidR="00381BCB">
          <w:rPr>
            <w:noProof/>
            <w:webHidden/>
          </w:rPr>
          <w:t>12</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47" w:history="1">
        <w:r w:rsidR="00CF0449" w:rsidRPr="00401023">
          <w:rPr>
            <w:rStyle w:val="Hyperlink"/>
            <w:noProof/>
          </w:rPr>
          <w:t>1.2</w:t>
        </w:r>
        <w:r w:rsidR="00CF0449">
          <w:rPr>
            <w:rFonts w:asciiTheme="minorHAnsi" w:eastAsiaTheme="minorEastAsia" w:hAnsiTheme="minorHAnsi" w:cstheme="minorBidi"/>
            <w:smallCaps w:val="0"/>
            <w:noProof/>
            <w:sz w:val="22"/>
            <w:szCs w:val="22"/>
          </w:rPr>
          <w:tab/>
        </w:r>
        <w:r w:rsidR="00CF0449" w:rsidRPr="00401023">
          <w:rPr>
            <w:rStyle w:val="Hyperlink"/>
            <w:noProof/>
          </w:rPr>
          <w:t xml:space="preserve"> FINANCING OF HEALTH SERVICES IN MALAWI</w:t>
        </w:r>
        <w:r w:rsidR="00CF0449">
          <w:rPr>
            <w:noProof/>
            <w:webHidden/>
          </w:rPr>
          <w:tab/>
        </w:r>
        <w:r w:rsidR="00CF0449">
          <w:rPr>
            <w:noProof/>
            <w:webHidden/>
          </w:rPr>
          <w:fldChar w:fldCharType="begin"/>
        </w:r>
        <w:r w:rsidR="00CF0449">
          <w:rPr>
            <w:noProof/>
            <w:webHidden/>
          </w:rPr>
          <w:instrText xml:space="preserve"> PAGEREF _Toc384911947 \h </w:instrText>
        </w:r>
        <w:r w:rsidR="00CF0449">
          <w:rPr>
            <w:noProof/>
            <w:webHidden/>
          </w:rPr>
        </w:r>
        <w:r w:rsidR="00CF0449">
          <w:rPr>
            <w:noProof/>
            <w:webHidden/>
          </w:rPr>
          <w:fldChar w:fldCharType="separate"/>
        </w:r>
        <w:r w:rsidR="00381BCB">
          <w:rPr>
            <w:noProof/>
            <w:webHidden/>
          </w:rPr>
          <w:t>12</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48" w:history="1">
        <w:r w:rsidR="00CF0449" w:rsidRPr="00401023">
          <w:rPr>
            <w:rStyle w:val="Hyperlink"/>
            <w:noProof/>
          </w:rPr>
          <w:t>1.3</w:t>
        </w:r>
        <w:r w:rsidR="00CF0449">
          <w:rPr>
            <w:rFonts w:asciiTheme="minorHAnsi" w:eastAsiaTheme="minorEastAsia" w:hAnsiTheme="minorHAnsi" w:cstheme="minorBidi"/>
            <w:smallCaps w:val="0"/>
            <w:noProof/>
            <w:sz w:val="22"/>
            <w:szCs w:val="22"/>
          </w:rPr>
          <w:tab/>
        </w:r>
        <w:r w:rsidR="00CF0449" w:rsidRPr="00401023">
          <w:rPr>
            <w:rStyle w:val="Hyperlink"/>
            <w:noProof/>
          </w:rPr>
          <w:t>KEY ISSUES AND CHALLENGES FOR HEALTH FINANCING IN MALAWI</w:t>
        </w:r>
        <w:r w:rsidR="00CF0449">
          <w:rPr>
            <w:noProof/>
            <w:webHidden/>
          </w:rPr>
          <w:tab/>
        </w:r>
        <w:r w:rsidR="00CF0449">
          <w:rPr>
            <w:noProof/>
            <w:webHidden/>
          </w:rPr>
          <w:fldChar w:fldCharType="begin"/>
        </w:r>
        <w:r w:rsidR="00CF0449">
          <w:rPr>
            <w:noProof/>
            <w:webHidden/>
          </w:rPr>
          <w:instrText xml:space="preserve"> PAGEREF _Toc384911948 \h </w:instrText>
        </w:r>
        <w:r w:rsidR="00CF0449">
          <w:rPr>
            <w:noProof/>
            <w:webHidden/>
          </w:rPr>
        </w:r>
        <w:r w:rsidR="00CF0449">
          <w:rPr>
            <w:noProof/>
            <w:webHidden/>
          </w:rPr>
          <w:fldChar w:fldCharType="separate"/>
        </w:r>
        <w:r w:rsidR="00381BCB">
          <w:rPr>
            <w:noProof/>
            <w:webHidden/>
          </w:rPr>
          <w:t>15</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49" w:history="1">
        <w:r w:rsidR="00CF0449" w:rsidRPr="00401023">
          <w:rPr>
            <w:rStyle w:val="Hyperlink"/>
            <w:noProof/>
          </w:rPr>
          <w:t>1.4</w:t>
        </w:r>
        <w:r w:rsidR="00CF0449">
          <w:rPr>
            <w:rFonts w:asciiTheme="minorHAnsi" w:eastAsiaTheme="minorEastAsia" w:hAnsiTheme="minorHAnsi" w:cstheme="minorBidi"/>
            <w:smallCaps w:val="0"/>
            <w:noProof/>
            <w:sz w:val="22"/>
            <w:szCs w:val="22"/>
          </w:rPr>
          <w:tab/>
        </w:r>
        <w:r w:rsidR="00CF0449" w:rsidRPr="00401023">
          <w:rPr>
            <w:rStyle w:val="Hyperlink"/>
            <w:noProof/>
          </w:rPr>
          <w:t>POLICY STATEMENTS</w:t>
        </w:r>
        <w:r w:rsidR="00CF0449">
          <w:rPr>
            <w:noProof/>
            <w:webHidden/>
          </w:rPr>
          <w:tab/>
        </w:r>
        <w:r w:rsidR="00CF0449">
          <w:rPr>
            <w:noProof/>
            <w:webHidden/>
          </w:rPr>
          <w:fldChar w:fldCharType="begin"/>
        </w:r>
        <w:r w:rsidR="00CF0449">
          <w:rPr>
            <w:noProof/>
            <w:webHidden/>
          </w:rPr>
          <w:instrText xml:space="preserve"> PAGEREF _Toc384911949 \h </w:instrText>
        </w:r>
        <w:r w:rsidR="00CF0449">
          <w:rPr>
            <w:noProof/>
            <w:webHidden/>
          </w:rPr>
        </w:r>
        <w:r w:rsidR="00CF0449">
          <w:rPr>
            <w:noProof/>
            <w:webHidden/>
          </w:rPr>
          <w:fldChar w:fldCharType="separate"/>
        </w:r>
        <w:r w:rsidR="00381BCB">
          <w:rPr>
            <w:noProof/>
            <w:webHidden/>
          </w:rPr>
          <w:t>16</w:t>
        </w:r>
        <w:r w:rsidR="00CF0449">
          <w:rPr>
            <w:noProof/>
            <w:webHidden/>
          </w:rPr>
          <w:fldChar w:fldCharType="end"/>
        </w:r>
      </w:hyperlink>
    </w:p>
    <w:p w:rsidR="00CF0449" w:rsidRDefault="004D598F">
      <w:pPr>
        <w:pStyle w:val="TOC1"/>
        <w:tabs>
          <w:tab w:val="left" w:pos="660"/>
          <w:tab w:val="right" w:leader="dot" w:pos="9350"/>
        </w:tabs>
        <w:rPr>
          <w:rFonts w:asciiTheme="minorHAnsi" w:eastAsiaTheme="minorEastAsia" w:hAnsiTheme="minorHAnsi" w:cstheme="minorBidi"/>
          <w:b w:val="0"/>
          <w:bCs w:val="0"/>
          <w:caps w:val="0"/>
          <w:noProof/>
          <w:sz w:val="22"/>
          <w:szCs w:val="22"/>
        </w:rPr>
      </w:pPr>
      <w:hyperlink w:anchor="_Toc384911950" w:history="1">
        <w:r w:rsidR="00CF0449" w:rsidRPr="00401023">
          <w:rPr>
            <w:rStyle w:val="Hyperlink"/>
            <w:noProof/>
          </w:rPr>
          <w:t>2.0</w:t>
        </w:r>
        <w:r w:rsidR="00CF0449">
          <w:rPr>
            <w:rFonts w:asciiTheme="minorHAnsi" w:eastAsiaTheme="minorEastAsia" w:hAnsiTheme="minorHAnsi" w:cstheme="minorBidi"/>
            <w:b w:val="0"/>
            <w:bCs w:val="0"/>
            <w:caps w:val="0"/>
            <w:noProof/>
            <w:sz w:val="22"/>
            <w:szCs w:val="22"/>
          </w:rPr>
          <w:tab/>
        </w:r>
        <w:r w:rsidR="00CF0449" w:rsidRPr="00401023">
          <w:rPr>
            <w:rStyle w:val="Hyperlink"/>
            <w:noProof/>
          </w:rPr>
          <w:t xml:space="preserve"> STRATEGIC FRAMEWORK</w:t>
        </w:r>
        <w:r w:rsidR="00CF0449">
          <w:rPr>
            <w:noProof/>
            <w:webHidden/>
          </w:rPr>
          <w:tab/>
        </w:r>
        <w:r w:rsidR="00CF0449">
          <w:rPr>
            <w:noProof/>
            <w:webHidden/>
          </w:rPr>
          <w:fldChar w:fldCharType="begin"/>
        </w:r>
        <w:r w:rsidR="00CF0449">
          <w:rPr>
            <w:noProof/>
            <w:webHidden/>
          </w:rPr>
          <w:instrText xml:space="preserve"> PAGEREF _Toc384911950 \h </w:instrText>
        </w:r>
        <w:r w:rsidR="00CF0449">
          <w:rPr>
            <w:noProof/>
            <w:webHidden/>
          </w:rPr>
        </w:r>
        <w:r w:rsidR="00CF0449">
          <w:rPr>
            <w:noProof/>
            <w:webHidden/>
          </w:rPr>
          <w:fldChar w:fldCharType="separate"/>
        </w:r>
        <w:r w:rsidR="00381BCB">
          <w:rPr>
            <w:noProof/>
            <w:webHidden/>
          </w:rPr>
          <w:t>17</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51" w:history="1">
        <w:r w:rsidR="00CF0449" w:rsidRPr="00401023">
          <w:rPr>
            <w:rStyle w:val="Hyperlink"/>
            <w:noProof/>
          </w:rPr>
          <w:t>2.1</w:t>
        </w:r>
        <w:r w:rsidR="00CF0449">
          <w:rPr>
            <w:rFonts w:asciiTheme="minorHAnsi" w:eastAsiaTheme="minorEastAsia" w:hAnsiTheme="minorHAnsi" w:cstheme="minorBidi"/>
            <w:smallCaps w:val="0"/>
            <w:noProof/>
            <w:sz w:val="22"/>
            <w:szCs w:val="22"/>
          </w:rPr>
          <w:tab/>
        </w:r>
        <w:r w:rsidR="00CF0449" w:rsidRPr="00401023">
          <w:rPr>
            <w:rStyle w:val="Hyperlink"/>
            <w:noProof/>
          </w:rPr>
          <w:t>VISION, MISSION, GUIDING PRINCIPLES AND OBJECTIVES</w:t>
        </w:r>
        <w:r w:rsidR="00CF0449">
          <w:rPr>
            <w:noProof/>
            <w:webHidden/>
          </w:rPr>
          <w:tab/>
        </w:r>
        <w:r w:rsidR="00CF0449">
          <w:rPr>
            <w:noProof/>
            <w:webHidden/>
          </w:rPr>
          <w:fldChar w:fldCharType="begin"/>
        </w:r>
        <w:r w:rsidR="00CF0449">
          <w:rPr>
            <w:noProof/>
            <w:webHidden/>
          </w:rPr>
          <w:instrText xml:space="preserve"> PAGEREF _Toc384911951 \h </w:instrText>
        </w:r>
        <w:r w:rsidR="00CF0449">
          <w:rPr>
            <w:noProof/>
            <w:webHidden/>
          </w:rPr>
        </w:r>
        <w:r w:rsidR="00CF0449">
          <w:rPr>
            <w:noProof/>
            <w:webHidden/>
          </w:rPr>
          <w:fldChar w:fldCharType="separate"/>
        </w:r>
        <w:r w:rsidR="00381BCB">
          <w:rPr>
            <w:noProof/>
            <w:webHidden/>
          </w:rPr>
          <w:t>17</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52" w:history="1">
        <w:r w:rsidR="00CF0449" w:rsidRPr="00401023">
          <w:rPr>
            <w:rStyle w:val="Hyperlink"/>
            <w:noProof/>
          </w:rPr>
          <w:t>2.2</w:t>
        </w:r>
        <w:r w:rsidR="00CF0449">
          <w:rPr>
            <w:rFonts w:asciiTheme="minorHAnsi" w:eastAsiaTheme="minorEastAsia" w:hAnsiTheme="minorHAnsi" w:cstheme="minorBidi"/>
            <w:smallCaps w:val="0"/>
            <w:noProof/>
            <w:sz w:val="22"/>
            <w:szCs w:val="22"/>
          </w:rPr>
          <w:tab/>
        </w:r>
        <w:r w:rsidR="00CF0449" w:rsidRPr="00401023">
          <w:rPr>
            <w:rStyle w:val="Hyperlink"/>
            <w:noProof/>
          </w:rPr>
          <w:t>STRATEGIC APPROACH</w:t>
        </w:r>
        <w:r w:rsidR="00CF0449">
          <w:rPr>
            <w:noProof/>
            <w:webHidden/>
          </w:rPr>
          <w:tab/>
        </w:r>
        <w:r w:rsidR="00CF0449">
          <w:rPr>
            <w:noProof/>
            <w:webHidden/>
          </w:rPr>
          <w:fldChar w:fldCharType="begin"/>
        </w:r>
        <w:r w:rsidR="00CF0449">
          <w:rPr>
            <w:noProof/>
            <w:webHidden/>
          </w:rPr>
          <w:instrText xml:space="preserve"> PAGEREF _Toc384911952 \h </w:instrText>
        </w:r>
        <w:r w:rsidR="00CF0449">
          <w:rPr>
            <w:noProof/>
            <w:webHidden/>
          </w:rPr>
        </w:r>
        <w:r w:rsidR="00CF0449">
          <w:rPr>
            <w:noProof/>
            <w:webHidden/>
          </w:rPr>
          <w:fldChar w:fldCharType="separate"/>
        </w:r>
        <w:r w:rsidR="00381BCB">
          <w:rPr>
            <w:noProof/>
            <w:webHidden/>
          </w:rPr>
          <w:t>18</w:t>
        </w:r>
        <w:r w:rsidR="00CF0449">
          <w:rPr>
            <w:noProof/>
            <w:webHidden/>
          </w:rPr>
          <w:fldChar w:fldCharType="end"/>
        </w:r>
      </w:hyperlink>
    </w:p>
    <w:p w:rsidR="00CF0449" w:rsidRDefault="004D598F">
      <w:pPr>
        <w:pStyle w:val="TOC1"/>
        <w:tabs>
          <w:tab w:val="left" w:pos="660"/>
          <w:tab w:val="right" w:leader="dot" w:pos="9350"/>
        </w:tabs>
        <w:rPr>
          <w:rFonts w:asciiTheme="minorHAnsi" w:eastAsiaTheme="minorEastAsia" w:hAnsiTheme="minorHAnsi" w:cstheme="minorBidi"/>
          <w:b w:val="0"/>
          <w:bCs w:val="0"/>
          <w:caps w:val="0"/>
          <w:noProof/>
          <w:sz w:val="22"/>
          <w:szCs w:val="22"/>
        </w:rPr>
      </w:pPr>
      <w:hyperlink w:anchor="_Toc384911953" w:history="1">
        <w:r w:rsidR="00CF0449" w:rsidRPr="00401023">
          <w:rPr>
            <w:rStyle w:val="Hyperlink"/>
            <w:noProof/>
          </w:rPr>
          <w:t>3.0</w:t>
        </w:r>
        <w:r w:rsidR="00CF0449">
          <w:rPr>
            <w:rFonts w:asciiTheme="minorHAnsi" w:eastAsiaTheme="minorEastAsia" w:hAnsiTheme="minorHAnsi" w:cstheme="minorBidi"/>
            <w:b w:val="0"/>
            <w:bCs w:val="0"/>
            <w:caps w:val="0"/>
            <w:noProof/>
            <w:sz w:val="22"/>
            <w:szCs w:val="22"/>
          </w:rPr>
          <w:tab/>
        </w:r>
        <w:r w:rsidR="00CF0449" w:rsidRPr="00401023">
          <w:rPr>
            <w:rStyle w:val="Hyperlink"/>
            <w:noProof/>
          </w:rPr>
          <w:t xml:space="preserve"> OBJECTIVES AND INTERVENTIONS</w:t>
        </w:r>
        <w:r w:rsidR="00CF0449">
          <w:rPr>
            <w:noProof/>
            <w:webHidden/>
          </w:rPr>
          <w:tab/>
        </w:r>
        <w:r w:rsidR="00CF0449">
          <w:rPr>
            <w:noProof/>
            <w:webHidden/>
          </w:rPr>
          <w:fldChar w:fldCharType="begin"/>
        </w:r>
        <w:r w:rsidR="00CF0449">
          <w:rPr>
            <w:noProof/>
            <w:webHidden/>
          </w:rPr>
          <w:instrText xml:space="preserve"> PAGEREF _Toc384911953 \h </w:instrText>
        </w:r>
        <w:r w:rsidR="00CF0449">
          <w:rPr>
            <w:noProof/>
            <w:webHidden/>
          </w:rPr>
        </w:r>
        <w:r w:rsidR="00CF0449">
          <w:rPr>
            <w:noProof/>
            <w:webHidden/>
          </w:rPr>
          <w:fldChar w:fldCharType="separate"/>
        </w:r>
        <w:r w:rsidR="00381BCB">
          <w:rPr>
            <w:noProof/>
            <w:webHidden/>
          </w:rPr>
          <w:t>23</w:t>
        </w:r>
        <w:r w:rsidR="00CF0449">
          <w:rPr>
            <w:noProof/>
            <w:webHidden/>
          </w:rPr>
          <w:fldChar w:fldCharType="end"/>
        </w:r>
      </w:hyperlink>
    </w:p>
    <w:p w:rsidR="00CF0449" w:rsidRDefault="004D598F">
      <w:pPr>
        <w:pStyle w:val="TOC1"/>
        <w:tabs>
          <w:tab w:val="right" w:leader="dot" w:pos="9350"/>
        </w:tabs>
        <w:rPr>
          <w:rFonts w:asciiTheme="minorHAnsi" w:eastAsiaTheme="minorEastAsia" w:hAnsiTheme="minorHAnsi" w:cstheme="minorBidi"/>
          <w:b w:val="0"/>
          <w:bCs w:val="0"/>
          <w:caps w:val="0"/>
          <w:noProof/>
          <w:sz w:val="22"/>
          <w:szCs w:val="22"/>
        </w:rPr>
      </w:pPr>
      <w:hyperlink w:anchor="_Toc384911954" w:history="1">
        <w:r w:rsidR="00CF0449" w:rsidRPr="00401023">
          <w:rPr>
            <w:rStyle w:val="Hyperlink"/>
            <w:noProof/>
          </w:rPr>
          <w:t>OBJECTIVE 1: DEVELOP SUSTAINABLE AND PREDICTABLE SOURCES OF REVENUE TO FUND MALAWI’S HEALTH SECTOR NEEDS</w:t>
        </w:r>
        <w:r w:rsidR="00CF0449">
          <w:rPr>
            <w:noProof/>
            <w:webHidden/>
          </w:rPr>
          <w:tab/>
        </w:r>
        <w:r w:rsidR="00CF0449">
          <w:rPr>
            <w:noProof/>
            <w:webHidden/>
          </w:rPr>
          <w:fldChar w:fldCharType="begin"/>
        </w:r>
        <w:r w:rsidR="00CF0449">
          <w:rPr>
            <w:noProof/>
            <w:webHidden/>
          </w:rPr>
          <w:instrText xml:space="preserve"> PAGEREF _Toc384911954 \h </w:instrText>
        </w:r>
        <w:r w:rsidR="00CF0449">
          <w:rPr>
            <w:noProof/>
            <w:webHidden/>
          </w:rPr>
        </w:r>
        <w:r w:rsidR="00CF0449">
          <w:rPr>
            <w:noProof/>
            <w:webHidden/>
          </w:rPr>
          <w:fldChar w:fldCharType="separate"/>
        </w:r>
        <w:r w:rsidR="00381BCB">
          <w:rPr>
            <w:noProof/>
            <w:webHidden/>
          </w:rPr>
          <w:t>23</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55" w:history="1">
        <w:r w:rsidR="00CF0449" w:rsidRPr="00401023">
          <w:rPr>
            <w:rStyle w:val="Hyperlink"/>
            <w:noProof/>
          </w:rPr>
          <w:t>3.1</w:t>
        </w:r>
        <w:r w:rsidR="00CF0449">
          <w:rPr>
            <w:rFonts w:asciiTheme="minorHAnsi" w:eastAsiaTheme="minorEastAsia" w:hAnsiTheme="minorHAnsi" w:cstheme="minorBidi"/>
            <w:smallCaps w:val="0"/>
            <w:noProof/>
            <w:sz w:val="22"/>
            <w:szCs w:val="22"/>
          </w:rPr>
          <w:tab/>
        </w:r>
        <w:r w:rsidR="00CF0449" w:rsidRPr="00401023">
          <w:rPr>
            <w:rStyle w:val="Hyperlink"/>
            <w:noProof/>
          </w:rPr>
          <w:t>INTRODUCE A RECIPROCAL VISA FEE FOR INCOMING TRAVELERS</w:t>
        </w:r>
        <w:r w:rsidR="00CF0449">
          <w:rPr>
            <w:noProof/>
            <w:webHidden/>
          </w:rPr>
          <w:tab/>
        </w:r>
        <w:r w:rsidR="00CF0449">
          <w:rPr>
            <w:noProof/>
            <w:webHidden/>
          </w:rPr>
          <w:fldChar w:fldCharType="begin"/>
        </w:r>
        <w:r w:rsidR="00CF0449">
          <w:rPr>
            <w:noProof/>
            <w:webHidden/>
          </w:rPr>
          <w:instrText xml:space="preserve"> PAGEREF _Toc384911955 \h </w:instrText>
        </w:r>
        <w:r w:rsidR="00CF0449">
          <w:rPr>
            <w:noProof/>
            <w:webHidden/>
          </w:rPr>
        </w:r>
        <w:r w:rsidR="00CF0449">
          <w:rPr>
            <w:noProof/>
            <w:webHidden/>
          </w:rPr>
          <w:fldChar w:fldCharType="separate"/>
        </w:r>
        <w:r w:rsidR="00381BCB">
          <w:rPr>
            <w:noProof/>
            <w:webHidden/>
          </w:rPr>
          <w:t>23</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56" w:history="1">
        <w:r w:rsidR="00CF0449" w:rsidRPr="00401023">
          <w:rPr>
            <w:rStyle w:val="Hyperlink"/>
            <w:noProof/>
          </w:rPr>
          <w:t>3.2</w:t>
        </w:r>
        <w:r w:rsidR="00CF0449">
          <w:rPr>
            <w:rFonts w:asciiTheme="minorHAnsi" w:eastAsiaTheme="minorEastAsia" w:hAnsiTheme="minorHAnsi" w:cstheme="minorBidi"/>
            <w:smallCaps w:val="0"/>
            <w:noProof/>
            <w:sz w:val="22"/>
            <w:szCs w:val="22"/>
          </w:rPr>
          <w:tab/>
        </w:r>
        <w:r w:rsidR="00CF0449" w:rsidRPr="00401023">
          <w:rPr>
            <w:rStyle w:val="Hyperlink"/>
            <w:noProof/>
          </w:rPr>
          <w:t>INSTITUTE A SIN TAX ON ALCOHOL AND CIGARETTE CONSUMPTION</w:t>
        </w:r>
        <w:r w:rsidR="00CF0449">
          <w:rPr>
            <w:noProof/>
            <w:webHidden/>
          </w:rPr>
          <w:tab/>
        </w:r>
        <w:r w:rsidR="00CF0449">
          <w:rPr>
            <w:noProof/>
            <w:webHidden/>
          </w:rPr>
          <w:fldChar w:fldCharType="begin"/>
        </w:r>
        <w:r w:rsidR="00CF0449">
          <w:rPr>
            <w:noProof/>
            <w:webHidden/>
          </w:rPr>
          <w:instrText xml:space="preserve"> PAGEREF _Toc384911956 \h </w:instrText>
        </w:r>
        <w:r w:rsidR="00CF0449">
          <w:rPr>
            <w:noProof/>
            <w:webHidden/>
          </w:rPr>
        </w:r>
        <w:r w:rsidR="00CF0449">
          <w:rPr>
            <w:noProof/>
            <w:webHidden/>
          </w:rPr>
          <w:fldChar w:fldCharType="separate"/>
        </w:r>
        <w:r w:rsidR="00381BCB">
          <w:rPr>
            <w:noProof/>
            <w:webHidden/>
          </w:rPr>
          <w:t>24</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57" w:history="1">
        <w:r w:rsidR="00CF0449" w:rsidRPr="00401023">
          <w:rPr>
            <w:rStyle w:val="Hyperlink"/>
            <w:noProof/>
          </w:rPr>
          <w:t>3.3</w:t>
        </w:r>
        <w:r w:rsidR="00CF0449">
          <w:rPr>
            <w:rFonts w:asciiTheme="minorHAnsi" w:eastAsiaTheme="minorEastAsia" w:hAnsiTheme="minorHAnsi" w:cstheme="minorBidi"/>
            <w:smallCaps w:val="0"/>
            <w:noProof/>
            <w:sz w:val="22"/>
            <w:szCs w:val="22"/>
          </w:rPr>
          <w:tab/>
        </w:r>
        <w:r w:rsidR="00CF0449" w:rsidRPr="00401023">
          <w:rPr>
            <w:rStyle w:val="Hyperlink"/>
            <w:noProof/>
          </w:rPr>
          <w:t>INTRODUCE A FUEL LEVY FOR HEALTH</w:t>
        </w:r>
        <w:r w:rsidR="00CF0449">
          <w:rPr>
            <w:noProof/>
            <w:webHidden/>
          </w:rPr>
          <w:tab/>
        </w:r>
        <w:r w:rsidR="00CF0449">
          <w:rPr>
            <w:noProof/>
            <w:webHidden/>
          </w:rPr>
          <w:fldChar w:fldCharType="begin"/>
        </w:r>
        <w:r w:rsidR="00CF0449">
          <w:rPr>
            <w:noProof/>
            <w:webHidden/>
          </w:rPr>
          <w:instrText xml:space="preserve"> PAGEREF _Toc384911957 \h </w:instrText>
        </w:r>
        <w:r w:rsidR="00CF0449">
          <w:rPr>
            <w:noProof/>
            <w:webHidden/>
          </w:rPr>
        </w:r>
        <w:r w:rsidR="00CF0449">
          <w:rPr>
            <w:noProof/>
            <w:webHidden/>
          </w:rPr>
          <w:fldChar w:fldCharType="separate"/>
        </w:r>
        <w:r w:rsidR="00381BCB">
          <w:rPr>
            <w:noProof/>
            <w:webHidden/>
          </w:rPr>
          <w:t>26</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58" w:history="1">
        <w:r w:rsidR="00CF0449" w:rsidRPr="00401023">
          <w:rPr>
            <w:rStyle w:val="Hyperlink"/>
            <w:noProof/>
          </w:rPr>
          <w:t>3.4</w:t>
        </w:r>
        <w:r w:rsidR="00CF0449">
          <w:rPr>
            <w:rFonts w:asciiTheme="minorHAnsi" w:eastAsiaTheme="minorEastAsia" w:hAnsiTheme="minorHAnsi" w:cstheme="minorBidi"/>
            <w:smallCaps w:val="0"/>
            <w:noProof/>
            <w:sz w:val="22"/>
            <w:szCs w:val="22"/>
          </w:rPr>
          <w:tab/>
        </w:r>
        <w:r w:rsidR="00CF0449" w:rsidRPr="00401023">
          <w:rPr>
            <w:rStyle w:val="Hyperlink"/>
            <w:noProof/>
          </w:rPr>
          <w:t>GRADUALLY EXPAND OPTIONAL PAYING SERVICES AND MOVE TOWARDS INTRODUCTION/EXPANSION OF USER FEES FOR NON-EHP AT DISTRICT AND CENTRAL HOSPITALS COMBINED WITH APPROPRIATE HEALTH INSURANCE SCHEMES</w:t>
        </w:r>
        <w:r w:rsidR="00CF0449">
          <w:rPr>
            <w:noProof/>
            <w:webHidden/>
          </w:rPr>
          <w:tab/>
        </w:r>
        <w:r w:rsidR="00CF0449">
          <w:rPr>
            <w:noProof/>
            <w:webHidden/>
          </w:rPr>
          <w:fldChar w:fldCharType="begin"/>
        </w:r>
        <w:r w:rsidR="00CF0449">
          <w:rPr>
            <w:noProof/>
            <w:webHidden/>
          </w:rPr>
          <w:instrText xml:space="preserve"> PAGEREF _Toc384911958 \h </w:instrText>
        </w:r>
        <w:r w:rsidR="00CF0449">
          <w:rPr>
            <w:noProof/>
            <w:webHidden/>
          </w:rPr>
        </w:r>
        <w:r w:rsidR="00CF0449">
          <w:rPr>
            <w:noProof/>
            <w:webHidden/>
          </w:rPr>
          <w:fldChar w:fldCharType="separate"/>
        </w:r>
        <w:r w:rsidR="00381BCB">
          <w:rPr>
            <w:noProof/>
            <w:webHidden/>
          </w:rPr>
          <w:t>28</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59" w:history="1">
        <w:r w:rsidR="00CF0449" w:rsidRPr="00401023">
          <w:rPr>
            <w:rStyle w:val="Hyperlink"/>
            <w:noProof/>
          </w:rPr>
          <w:t>3.5</w:t>
        </w:r>
        <w:r w:rsidR="00CF0449">
          <w:rPr>
            <w:rFonts w:asciiTheme="minorHAnsi" w:eastAsiaTheme="minorEastAsia" w:hAnsiTheme="minorHAnsi" w:cstheme="minorBidi"/>
            <w:smallCaps w:val="0"/>
            <w:noProof/>
            <w:sz w:val="22"/>
            <w:szCs w:val="22"/>
          </w:rPr>
          <w:tab/>
        </w:r>
        <w:r w:rsidR="00CF0449" w:rsidRPr="00401023">
          <w:rPr>
            <w:rStyle w:val="Hyperlink"/>
            <w:noProof/>
          </w:rPr>
          <w:t>INSTITUTE CORPORATE TAX FOR HEALTH</w:t>
        </w:r>
        <w:r w:rsidR="00CF0449">
          <w:rPr>
            <w:noProof/>
            <w:webHidden/>
          </w:rPr>
          <w:tab/>
        </w:r>
        <w:r w:rsidR="00CF0449">
          <w:rPr>
            <w:noProof/>
            <w:webHidden/>
          </w:rPr>
          <w:fldChar w:fldCharType="begin"/>
        </w:r>
        <w:r w:rsidR="00CF0449">
          <w:rPr>
            <w:noProof/>
            <w:webHidden/>
          </w:rPr>
          <w:instrText xml:space="preserve"> PAGEREF _Toc384911959 \h </w:instrText>
        </w:r>
        <w:r w:rsidR="00CF0449">
          <w:rPr>
            <w:noProof/>
            <w:webHidden/>
          </w:rPr>
        </w:r>
        <w:r w:rsidR="00CF0449">
          <w:rPr>
            <w:noProof/>
            <w:webHidden/>
          </w:rPr>
          <w:fldChar w:fldCharType="separate"/>
        </w:r>
        <w:r w:rsidR="00381BCB">
          <w:rPr>
            <w:noProof/>
            <w:webHidden/>
          </w:rPr>
          <w:t>30</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60" w:history="1">
        <w:r w:rsidR="00CF0449" w:rsidRPr="00401023">
          <w:rPr>
            <w:rStyle w:val="Hyperlink"/>
            <w:noProof/>
          </w:rPr>
          <w:t>3.6</w:t>
        </w:r>
        <w:r w:rsidR="00CF0449">
          <w:rPr>
            <w:rFonts w:asciiTheme="minorHAnsi" w:eastAsiaTheme="minorEastAsia" w:hAnsiTheme="minorHAnsi" w:cstheme="minorBidi"/>
            <w:smallCaps w:val="0"/>
            <w:noProof/>
            <w:sz w:val="22"/>
            <w:szCs w:val="22"/>
          </w:rPr>
          <w:tab/>
        </w:r>
        <w:r w:rsidR="00CF0449" w:rsidRPr="00401023">
          <w:rPr>
            <w:rStyle w:val="Hyperlink"/>
            <w:noProof/>
          </w:rPr>
          <w:t>INCREASE PRIVATE SECTOR INVESTMENTS IN HEALTH</w:t>
        </w:r>
        <w:r w:rsidR="00CF0449">
          <w:rPr>
            <w:noProof/>
            <w:webHidden/>
          </w:rPr>
          <w:tab/>
        </w:r>
        <w:r w:rsidR="00CF0449">
          <w:rPr>
            <w:noProof/>
            <w:webHidden/>
          </w:rPr>
          <w:fldChar w:fldCharType="begin"/>
        </w:r>
        <w:r w:rsidR="00CF0449">
          <w:rPr>
            <w:noProof/>
            <w:webHidden/>
          </w:rPr>
          <w:instrText xml:space="preserve"> PAGEREF _Toc384911960 \h </w:instrText>
        </w:r>
        <w:r w:rsidR="00CF0449">
          <w:rPr>
            <w:noProof/>
            <w:webHidden/>
          </w:rPr>
        </w:r>
        <w:r w:rsidR="00CF0449">
          <w:rPr>
            <w:noProof/>
            <w:webHidden/>
          </w:rPr>
          <w:fldChar w:fldCharType="separate"/>
        </w:r>
        <w:r w:rsidR="00381BCB">
          <w:rPr>
            <w:noProof/>
            <w:webHidden/>
          </w:rPr>
          <w:t>31</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61" w:history="1">
        <w:r w:rsidR="00CF0449" w:rsidRPr="00401023">
          <w:rPr>
            <w:rStyle w:val="Hyperlink"/>
            <w:noProof/>
          </w:rPr>
          <w:t>3.7</w:t>
        </w:r>
        <w:r w:rsidR="00CF0449">
          <w:rPr>
            <w:rFonts w:asciiTheme="minorHAnsi" w:eastAsiaTheme="minorEastAsia" w:hAnsiTheme="minorHAnsi" w:cstheme="minorBidi"/>
            <w:smallCaps w:val="0"/>
            <w:noProof/>
            <w:sz w:val="22"/>
            <w:szCs w:val="22"/>
          </w:rPr>
          <w:tab/>
        </w:r>
        <w:r w:rsidR="00CF0449" w:rsidRPr="00401023">
          <w:rPr>
            <w:rStyle w:val="Hyperlink"/>
            <w:noProof/>
          </w:rPr>
          <w:t>LOBBY WITH MINISTRY OF FINANCE TO MEET ABUJA TARGET OF 15% ALLOCATION TO THE HEALTH SECTOR AS A SHARE OF TOTAL GOVERNMENT EXPENDITURE</w:t>
        </w:r>
        <w:r w:rsidR="00CF0449">
          <w:rPr>
            <w:noProof/>
            <w:webHidden/>
          </w:rPr>
          <w:tab/>
        </w:r>
        <w:r w:rsidR="00CF0449">
          <w:rPr>
            <w:noProof/>
            <w:webHidden/>
          </w:rPr>
          <w:fldChar w:fldCharType="begin"/>
        </w:r>
        <w:r w:rsidR="00CF0449">
          <w:rPr>
            <w:noProof/>
            <w:webHidden/>
          </w:rPr>
          <w:instrText xml:space="preserve"> PAGEREF _Toc384911961 \h </w:instrText>
        </w:r>
        <w:r w:rsidR="00CF0449">
          <w:rPr>
            <w:noProof/>
            <w:webHidden/>
          </w:rPr>
        </w:r>
        <w:r w:rsidR="00CF0449">
          <w:rPr>
            <w:noProof/>
            <w:webHidden/>
          </w:rPr>
          <w:fldChar w:fldCharType="separate"/>
        </w:r>
        <w:r w:rsidR="00381BCB">
          <w:rPr>
            <w:noProof/>
            <w:webHidden/>
          </w:rPr>
          <w:t>32</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62" w:history="1">
        <w:r w:rsidR="00CF0449" w:rsidRPr="00401023">
          <w:rPr>
            <w:rStyle w:val="Hyperlink"/>
            <w:noProof/>
          </w:rPr>
          <w:t>3.8</w:t>
        </w:r>
        <w:r w:rsidR="00CF0449">
          <w:rPr>
            <w:rFonts w:asciiTheme="minorHAnsi" w:eastAsiaTheme="minorEastAsia" w:hAnsiTheme="minorHAnsi" w:cstheme="minorBidi"/>
            <w:smallCaps w:val="0"/>
            <w:noProof/>
            <w:sz w:val="22"/>
            <w:szCs w:val="22"/>
          </w:rPr>
          <w:tab/>
        </w:r>
        <w:r w:rsidR="00CF0449" w:rsidRPr="00401023">
          <w:rPr>
            <w:rStyle w:val="Hyperlink"/>
            <w:noProof/>
          </w:rPr>
          <w:t>INTRODUCE LEVY ON TELECOMMUNICATION</w:t>
        </w:r>
        <w:r w:rsidR="00CF0449">
          <w:rPr>
            <w:noProof/>
            <w:webHidden/>
          </w:rPr>
          <w:tab/>
        </w:r>
        <w:r w:rsidR="00CF0449">
          <w:rPr>
            <w:noProof/>
            <w:webHidden/>
          </w:rPr>
          <w:fldChar w:fldCharType="begin"/>
        </w:r>
        <w:r w:rsidR="00CF0449">
          <w:rPr>
            <w:noProof/>
            <w:webHidden/>
          </w:rPr>
          <w:instrText xml:space="preserve"> PAGEREF _Toc384911962 \h </w:instrText>
        </w:r>
        <w:r w:rsidR="00CF0449">
          <w:rPr>
            <w:noProof/>
            <w:webHidden/>
          </w:rPr>
        </w:r>
        <w:r w:rsidR="00CF0449">
          <w:rPr>
            <w:noProof/>
            <w:webHidden/>
          </w:rPr>
          <w:fldChar w:fldCharType="separate"/>
        </w:r>
        <w:r w:rsidR="00381BCB">
          <w:rPr>
            <w:noProof/>
            <w:webHidden/>
          </w:rPr>
          <w:t>32</w:t>
        </w:r>
        <w:r w:rsidR="00CF0449">
          <w:rPr>
            <w:noProof/>
            <w:webHidden/>
          </w:rPr>
          <w:fldChar w:fldCharType="end"/>
        </w:r>
      </w:hyperlink>
    </w:p>
    <w:p w:rsidR="00CF0449" w:rsidRDefault="004D598F">
      <w:pPr>
        <w:pStyle w:val="TOC1"/>
        <w:tabs>
          <w:tab w:val="left" w:pos="660"/>
          <w:tab w:val="right" w:leader="dot" w:pos="9350"/>
        </w:tabs>
        <w:rPr>
          <w:rFonts w:asciiTheme="minorHAnsi" w:eastAsiaTheme="minorEastAsia" w:hAnsiTheme="minorHAnsi" w:cstheme="minorBidi"/>
          <w:b w:val="0"/>
          <w:bCs w:val="0"/>
          <w:caps w:val="0"/>
          <w:noProof/>
          <w:sz w:val="22"/>
          <w:szCs w:val="22"/>
        </w:rPr>
      </w:pPr>
      <w:hyperlink w:anchor="_Toc384911963" w:history="1">
        <w:r w:rsidR="00CF0449" w:rsidRPr="00401023">
          <w:rPr>
            <w:rStyle w:val="Hyperlink"/>
            <w:noProof/>
          </w:rPr>
          <w:t>4.0</w:t>
        </w:r>
        <w:r w:rsidR="00CF0449">
          <w:rPr>
            <w:rFonts w:asciiTheme="minorHAnsi" w:eastAsiaTheme="minorEastAsia" w:hAnsiTheme="minorHAnsi" w:cstheme="minorBidi"/>
            <w:b w:val="0"/>
            <w:bCs w:val="0"/>
            <w:caps w:val="0"/>
            <w:noProof/>
            <w:sz w:val="22"/>
            <w:szCs w:val="22"/>
          </w:rPr>
          <w:tab/>
        </w:r>
        <w:r w:rsidR="00CF0449" w:rsidRPr="00401023">
          <w:rPr>
            <w:rStyle w:val="Hyperlink"/>
            <w:noProof/>
          </w:rPr>
          <w:t xml:space="preserve"> OBJECTIVE 2: IMPROVE EFFICIENCY IN HOW FINANCIAL RESOURCES ARE ALLOCATED, MANAGED AND LIQUIDATED</w:t>
        </w:r>
        <w:r w:rsidR="00CF0449">
          <w:rPr>
            <w:noProof/>
            <w:webHidden/>
          </w:rPr>
          <w:tab/>
        </w:r>
        <w:r w:rsidR="00CF0449">
          <w:rPr>
            <w:noProof/>
            <w:webHidden/>
          </w:rPr>
          <w:fldChar w:fldCharType="begin"/>
        </w:r>
        <w:r w:rsidR="00CF0449">
          <w:rPr>
            <w:noProof/>
            <w:webHidden/>
          </w:rPr>
          <w:instrText xml:space="preserve"> PAGEREF _Toc384911963 \h </w:instrText>
        </w:r>
        <w:r w:rsidR="00CF0449">
          <w:rPr>
            <w:noProof/>
            <w:webHidden/>
          </w:rPr>
        </w:r>
        <w:r w:rsidR="00CF0449">
          <w:rPr>
            <w:noProof/>
            <w:webHidden/>
          </w:rPr>
          <w:fldChar w:fldCharType="separate"/>
        </w:r>
        <w:r w:rsidR="00381BCB">
          <w:rPr>
            <w:noProof/>
            <w:webHidden/>
          </w:rPr>
          <w:t>34</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64" w:history="1">
        <w:r w:rsidR="00CF0449" w:rsidRPr="00401023">
          <w:rPr>
            <w:rStyle w:val="Hyperlink"/>
            <w:noProof/>
          </w:rPr>
          <w:t>4.1</w:t>
        </w:r>
        <w:r w:rsidR="00CF0449">
          <w:rPr>
            <w:rFonts w:asciiTheme="minorHAnsi" w:eastAsiaTheme="minorEastAsia" w:hAnsiTheme="minorHAnsi" w:cstheme="minorBidi"/>
            <w:smallCaps w:val="0"/>
            <w:noProof/>
            <w:sz w:val="22"/>
            <w:szCs w:val="22"/>
          </w:rPr>
          <w:tab/>
        </w:r>
        <w:r w:rsidR="00CF0449" w:rsidRPr="00401023">
          <w:rPr>
            <w:rStyle w:val="Hyperlink"/>
            <w:noProof/>
          </w:rPr>
          <w:t>ALIGN MORE DONOR RESOURCES TOWARD NATIONAL OR DISTRICT STRATEGIC PLANS (AIP, CHIP, ZIP, OR DIP)</w:t>
        </w:r>
        <w:r w:rsidR="00CF0449">
          <w:rPr>
            <w:noProof/>
            <w:webHidden/>
          </w:rPr>
          <w:tab/>
        </w:r>
        <w:r w:rsidR="00CF0449">
          <w:rPr>
            <w:noProof/>
            <w:webHidden/>
          </w:rPr>
          <w:fldChar w:fldCharType="begin"/>
        </w:r>
        <w:r w:rsidR="00CF0449">
          <w:rPr>
            <w:noProof/>
            <w:webHidden/>
          </w:rPr>
          <w:instrText xml:space="preserve"> PAGEREF _Toc384911964 \h </w:instrText>
        </w:r>
        <w:r w:rsidR="00CF0449">
          <w:rPr>
            <w:noProof/>
            <w:webHidden/>
          </w:rPr>
        </w:r>
        <w:r w:rsidR="00CF0449">
          <w:rPr>
            <w:noProof/>
            <w:webHidden/>
          </w:rPr>
          <w:fldChar w:fldCharType="separate"/>
        </w:r>
        <w:r w:rsidR="00381BCB">
          <w:rPr>
            <w:noProof/>
            <w:webHidden/>
          </w:rPr>
          <w:t>34</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65" w:history="1">
        <w:r w:rsidR="00CF0449" w:rsidRPr="00401023">
          <w:rPr>
            <w:rStyle w:val="Hyperlink"/>
            <w:noProof/>
          </w:rPr>
          <w:t>4.2</w:t>
        </w:r>
        <w:r w:rsidR="00CF0449">
          <w:rPr>
            <w:rFonts w:asciiTheme="minorHAnsi" w:eastAsiaTheme="minorEastAsia" w:hAnsiTheme="minorHAnsi" w:cstheme="minorBidi"/>
            <w:smallCaps w:val="0"/>
            <w:noProof/>
            <w:sz w:val="22"/>
            <w:szCs w:val="22"/>
          </w:rPr>
          <w:tab/>
        </w:r>
        <w:r w:rsidR="00CF0449" w:rsidRPr="00401023">
          <w:rPr>
            <w:rStyle w:val="Hyperlink"/>
            <w:noProof/>
          </w:rPr>
          <w:t>MORE EFFECTIVELY ALLOCATE CAPACITY-BUILDING AND TRAINING RESOURCES TO AREAS OF GREATEST NEED</w:t>
        </w:r>
        <w:r w:rsidR="00CF0449">
          <w:rPr>
            <w:noProof/>
            <w:webHidden/>
          </w:rPr>
          <w:tab/>
        </w:r>
        <w:r w:rsidR="00CF0449">
          <w:rPr>
            <w:noProof/>
            <w:webHidden/>
          </w:rPr>
          <w:fldChar w:fldCharType="begin"/>
        </w:r>
        <w:r w:rsidR="00CF0449">
          <w:rPr>
            <w:noProof/>
            <w:webHidden/>
          </w:rPr>
          <w:instrText xml:space="preserve"> PAGEREF _Toc384911965 \h </w:instrText>
        </w:r>
        <w:r w:rsidR="00CF0449">
          <w:rPr>
            <w:noProof/>
            <w:webHidden/>
          </w:rPr>
        </w:r>
        <w:r w:rsidR="00CF0449">
          <w:rPr>
            <w:noProof/>
            <w:webHidden/>
          </w:rPr>
          <w:fldChar w:fldCharType="separate"/>
        </w:r>
        <w:r w:rsidR="00381BCB">
          <w:rPr>
            <w:noProof/>
            <w:webHidden/>
          </w:rPr>
          <w:t>35</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66" w:history="1">
        <w:r w:rsidR="00CF0449" w:rsidRPr="00401023">
          <w:rPr>
            <w:rStyle w:val="Hyperlink"/>
            <w:noProof/>
          </w:rPr>
          <w:t>4.3</w:t>
        </w:r>
        <w:r w:rsidR="00CF0449">
          <w:rPr>
            <w:rFonts w:asciiTheme="minorHAnsi" w:eastAsiaTheme="minorEastAsia" w:hAnsiTheme="minorHAnsi" w:cstheme="minorBidi"/>
            <w:smallCaps w:val="0"/>
            <w:noProof/>
            <w:sz w:val="22"/>
            <w:szCs w:val="22"/>
          </w:rPr>
          <w:tab/>
        </w:r>
        <w:r w:rsidR="00CF0449" w:rsidRPr="00401023">
          <w:rPr>
            <w:rStyle w:val="Hyperlink"/>
            <w:noProof/>
          </w:rPr>
          <w:t>INTRODUCE INNOVATIVE PURCHASING MECHANISMS IN THE PUBLIC HEALTH SECTOR SUCH AS PROGRAMME-BASED BUDGETING, CASE-BASED BUDGETING, CAPITATION AND PERFORMANCE-BASED FINANCING</w:t>
        </w:r>
        <w:r w:rsidR="00CF0449">
          <w:rPr>
            <w:noProof/>
            <w:webHidden/>
          </w:rPr>
          <w:tab/>
        </w:r>
        <w:r w:rsidR="00CF0449">
          <w:rPr>
            <w:noProof/>
            <w:webHidden/>
          </w:rPr>
          <w:fldChar w:fldCharType="begin"/>
        </w:r>
        <w:r w:rsidR="00CF0449">
          <w:rPr>
            <w:noProof/>
            <w:webHidden/>
          </w:rPr>
          <w:instrText xml:space="preserve"> PAGEREF _Toc384911966 \h </w:instrText>
        </w:r>
        <w:r w:rsidR="00CF0449">
          <w:rPr>
            <w:noProof/>
            <w:webHidden/>
          </w:rPr>
        </w:r>
        <w:r w:rsidR="00CF0449">
          <w:rPr>
            <w:noProof/>
            <w:webHidden/>
          </w:rPr>
          <w:fldChar w:fldCharType="separate"/>
        </w:r>
        <w:r w:rsidR="00381BCB">
          <w:rPr>
            <w:noProof/>
            <w:webHidden/>
          </w:rPr>
          <w:t>36</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67" w:history="1">
        <w:r w:rsidR="00CF0449" w:rsidRPr="00401023">
          <w:rPr>
            <w:rStyle w:val="Hyperlink"/>
            <w:noProof/>
          </w:rPr>
          <w:t>4.4</w:t>
        </w:r>
        <w:r w:rsidR="00CF0449">
          <w:rPr>
            <w:rFonts w:asciiTheme="minorHAnsi" w:eastAsiaTheme="minorEastAsia" w:hAnsiTheme="minorHAnsi" w:cstheme="minorBidi"/>
            <w:smallCaps w:val="0"/>
            <w:noProof/>
            <w:sz w:val="22"/>
            <w:szCs w:val="22"/>
          </w:rPr>
          <w:tab/>
        </w:r>
        <w:r w:rsidR="00CF0449" w:rsidRPr="00401023">
          <w:rPr>
            <w:rStyle w:val="Hyperlink"/>
            <w:noProof/>
          </w:rPr>
          <w:t xml:space="preserve"> SEPARATE DISTRICTS AND HEALTH CENTRES BUDGETS AND PILOT ESTABLISHMENT OF HEALTH CENTERS</w:t>
        </w:r>
        <w:r w:rsidR="00CF0449">
          <w:rPr>
            <w:noProof/>
            <w:webHidden/>
          </w:rPr>
          <w:tab/>
        </w:r>
        <w:r w:rsidR="00CF0449">
          <w:rPr>
            <w:noProof/>
            <w:webHidden/>
          </w:rPr>
          <w:fldChar w:fldCharType="begin"/>
        </w:r>
        <w:r w:rsidR="00CF0449">
          <w:rPr>
            <w:noProof/>
            <w:webHidden/>
          </w:rPr>
          <w:instrText xml:space="preserve"> PAGEREF _Toc384911967 \h </w:instrText>
        </w:r>
        <w:r w:rsidR="00CF0449">
          <w:rPr>
            <w:noProof/>
            <w:webHidden/>
          </w:rPr>
        </w:r>
        <w:r w:rsidR="00CF0449">
          <w:rPr>
            <w:noProof/>
            <w:webHidden/>
          </w:rPr>
          <w:fldChar w:fldCharType="separate"/>
        </w:r>
        <w:r w:rsidR="00381BCB">
          <w:rPr>
            <w:noProof/>
            <w:webHidden/>
          </w:rPr>
          <w:t>36</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68" w:history="1">
        <w:r w:rsidR="00CF0449" w:rsidRPr="00401023">
          <w:rPr>
            <w:rStyle w:val="Hyperlink"/>
            <w:noProof/>
          </w:rPr>
          <w:t>4.5</w:t>
        </w:r>
        <w:r w:rsidR="00CF0449">
          <w:rPr>
            <w:rFonts w:asciiTheme="minorHAnsi" w:eastAsiaTheme="minorEastAsia" w:hAnsiTheme="minorHAnsi" w:cstheme="minorBidi"/>
            <w:smallCaps w:val="0"/>
            <w:noProof/>
            <w:sz w:val="22"/>
            <w:szCs w:val="22"/>
          </w:rPr>
          <w:tab/>
        </w:r>
        <w:r w:rsidR="00CF0449" w:rsidRPr="00401023">
          <w:rPr>
            <w:rStyle w:val="Hyperlink"/>
            <w:noProof/>
          </w:rPr>
          <w:t>STRENGTHEN PUBLIC-PRIVATE PARTNERSHIPS TO MAKE EFFICIENT USE OF RESOURCES</w:t>
        </w:r>
        <w:r w:rsidR="00CF0449">
          <w:rPr>
            <w:noProof/>
            <w:webHidden/>
          </w:rPr>
          <w:tab/>
        </w:r>
        <w:r w:rsidR="00CF0449">
          <w:rPr>
            <w:noProof/>
            <w:webHidden/>
          </w:rPr>
          <w:fldChar w:fldCharType="begin"/>
        </w:r>
        <w:r w:rsidR="00CF0449">
          <w:rPr>
            <w:noProof/>
            <w:webHidden/>
          </w:rPr>
          <w:instrText xml:space="preserve"> PAGEREF _Toc384911968 \h </w:instrText>
        </w:r>
        <w:r w:rsidR="00CF0449">
          <w:rPr>
            <w:noProof/>
            <w:webHidden/>
          </w:rPr>
        </w:r>
        <w:r w:rsidR="00CF0449">
          <w:rPr>
            <w:noProof/>
            <w:webHidden/>
          </w:rPr>
          <w:fldChar w:fldCharType="separate"/>
        </w:r>
        <w:r w:rsidR="00381BCB">
          <w:rPr>
            <w:noProof/>
            <w:webHidden/>
          </w:rPr>
          <w:t>37</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69" w:history="1">
        <w:r w:rsidR="00CF0449" w:rsidRPr="00401023">
          <w:rPr>
            <w:rStyle w:val="Hyperlink"/>
            <w:noProof/>
          </w:rPr>
          <w:t>4.6</w:t>
        </w:r>
        <w:r w:rsidR="00CF0449">
          <w:rPr>
            <w:rFonts w:asciiTheme="minorHAnsi" w:eastAsiaTheme="minorEastAsia" w:hAnsiTheme="minorHAnsi" w:cstheme="minorBidi"/>
            <w:smallCaps w:val="0"/>
            <w:noProof/>
            <w:sz w:val="22"/>
            <w:szCs w:val="22"/>
          </w:rPr>
          <w:tab/>
        </w:r>
        <w:r w:rsidR="00CF0449" w:rsidRPr="00401023">
          <w:rPr>
            <w:rStyle w:val="Hyperlink"/>
            <w:noProof/>
          </w:rPr>
          <w:t>IMPROVE THE EFFICIENCY OF CENTRAL HOSPITALS THROUGH THE INTRODUCTION OF BYPASS FEES</w:t>
        </w:r>
        <w:r w:rsidR="00CF0449">
          <w:rPr>
            <w:noProof/>
            <w:webHidden/>
          </w:rPr>
          <w:tab/>
        </w:r>
        <w:r w:rsidR="00CF0449">
          <w:rPr>
            <w:noProof/>
            <w:webHidden/>
          </w:rPr>
          <w:fldChar w:fldCharType="begin"/>
        </w:r>
        <w:r w:rsidR="00CF0449">
          <w:rPr>
            <w:noProof/>
            <w:webHidden/>
          </w:rPr>
          <w:instrText xml:space="preserve"> PAGEREF _Toc384911969 \h </w:instrText>
        </w:r>
        <w:r w:rsidR="00CF0449">
          <w:rPr>
            <w:noProof/>
            <w:webHidden/>
          </w:rPr>
        </w:r>
        <w:r w:rsidR="00CF0449">
          <w:rPr>
            <w:noProof/>
            <w:webHidden/>
          </w:rPr>
          <w:fldChar w:fldCharType="separate"/>
        </w:r>
        <w:r w:rsidR="00381BCB">
          <w:rPr>
            <w:noProof/>
            <w:webHidden/>
          </w:rPr>
          <w:t>39</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70" w:history="1">
        <w:r w:rsidR="00CF0449" w:rsidRPr="00401023">
          <w:rPr>
            <w:rStyle w:val="Hyperlink"/>
            <w:noProof/>
          </w:rPr>
          <w:t>4.7</w:t>
        </w:r>
        <w:r w:rsidR="00CF0449">
          <w:rPr>
            <w:rFonts w:asciiTheme="minorHAnsi" w:eastAsiaTheme="minorEastAsia" w:hAnsiTheme="minorHAnsi" w:cstheme="minorBidi"/>
            <w:smallCaps w:val="0"/>
            <w:noProof/>
            <w:sz w:val="22"/>
            <w:szCs w:val="22"/>
          </w:rPr>
          <w:tab/>
        </w:r>
        <w:r w:rsidR="00CF0449" w:rsidRPr="00401023">
          <w:rPr>
            <w:rStyle w:val="Hyperlink"/>
            <w:noProof/>
          </w:rPr>
          <w:t>IMPROVE EFFICIENCY THROUGH INTEGRATION OF PARALLEL SUPPLY CHAINS</w:t>
        </w:r>
        <w:r w:rsidR="00CF0449">
          <w:rPr>
            <w:noProof/>
            <w:webHidden/>
          </w:rPr>
          <w:tab/>
        </w:r>
        <w:r w:rsidR="00CF0449">
          <w:rPr>
            <w:noProof/>
            <w:webHidden/>
          </w:rPr>
          <w:fldChar w:fldCharType="begin"/>
        </w:r>
        <w:r w:rsidR="00CF0449">
          <w:rPr>
            <w:noProof/>
            <w:webHidden/>
          </w:rPr>
          <w:instrText xml:space="preserve"> PAGEREF _Toc384911970 \h </w:instrText>
        </w:r>
        <w:r w:rsidR="00CF0449">
          <w:rPr>
            <w:noProof/>
            <w:webHidden/>
          </w:rPr>
        </w:r>
        <w:r w:rsidR="00CF0449">
          <w:rPr>
            <w:noProof/>
            <w:webHidden/>
          </w:rPr>
          <w:fldChar w:fldCharType="separate"/>
        </w:r>
        <w:r w:rsidR="00381BCB">
          <w:rPr>
            <w:noProof/>
            <w:webHidden/>
          </w:rPr>
          <w:t>40</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71" w:history="1">
        <w:r w:rsidR="00CF0449" w:rsidRPr="00401023">
          <w:rPr>
            <w:rStyle w:val="Hyperlink"/>
            <w:noProof/>
          </w:rPr>
          <w:t>4.8</w:t>
        </w:r>
        <w:r w:rsidR="00CF0449">
          <w:rPr>
            <w:rFonts w:asciiTheme="minorHAnsi" w:eastAsiaTheme="minorEastAsia" w:hAnsiTheme="minorHAnsi" w:cstheme="minorBidi"/>
            <w:smallCaps w:val="0"/>
            <w:noProof/>
            <w:sz w:val="22"/>
            <w:szCs w:val="22"/>
          </w:rPr>
          <w:tab/>
        </w:r>
        <w:r w:rsidR="00CF0449" w:rsidRPr="00401023">
          <w:rPr>
            <w:rStyle w:val="Hyperlink"/>
            <w:noProof/>
          </w:rPr>
          <w:t>IMPROVE THE EFFICIENCY OF PROCUREMENT BY AVOIDING USE OF MIDDLE-MEN IN PROCUREMENT, BUYING DRUGS DIRECTLY FROM MANUFACTURERS TO LOWER PRICES</w:t>
        </w:r>
        <w:r w:rsidR="00CF0449">
          <w:rPr>
            <w:noProof/>
            <w:webHidden/>
          </w:rPr>
          <w:tab/>
        </w:r>
        <w:r w:rsidR="00CF0449">
          <w:rPr>
            <w:noProof/>
            <w:webHidden/>
          </w:rPr>
          <w:fldChar w:fldCharType="begin"/>
        </w:r>
        <w:r w:rsidR="00CF0449">
          <w:rPr>
            <w:noProof/>
            <w:webHidden/>
          </w:rPr>
          <w:instrText xml:space="preserve"> PAGEREF _Toc384911971 \h </w:instrText>
        </w:r>
        <w:r w:rsidR="00CF0449">
          <w:rPr>
            <w:noProof/>
            <w:webHidden/>
          </w:rPr>
        </w:r>
        <w:r w:rsidR="00CF0449">
          <w:rPr>
            <w:noProof/>
            <w:webHidden/>
          </w:rPr>
          <w:fldChar w:fldCharType="separate"/>
        </w:r>
        <w:r w:rsidR="00381BCB">
          <w:rPr>
            <w:noProof/>
            <w:webHidden/>
          </w:rPr>
          <w:t>42</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72" w:history="1">
        <w:r w:rsidR="00CF0449" w:rsidRPr="00401023">
          <w:rPr>
            <w:rStyle w:val="Hyperlink"/>
            <w:noProof/>
          </w:rPr>
          <w:t>4.9</w:t>
        </w:r>
        <w:r w:rsidR="00CF0449">
          <w:rPr>
            <w:rFonts w:asciiTheme="minorHAnsi" w:eastAsiaTheme="minorEastAsia" w:hAnsiTheme="minorHAnsi" w:cstheme="minorBidi"/>
            <w:smallCaps w:val="0"/>
            <w:noProof/>
            <w:sz w:val="22"/>
            <w:szCs w:val="22"/>
          </w:rPr>
          <w:tab/>
        </w:r>
        <w:r w:rsidR="00CF0449" w:rsidRPr="00401023">
          <w:rPr>
            <w:rStyle w:val="Hyperlink"/>
            <w:noProof/>
          </w:rPr>
          <w:t>EXPLORE HOW TO IDENTIFY NON-NATIONALS IN HEALTHCARE FACILITIES AND ACCOUNT FOR THEIR COSTS</w:t>
        </w:r>
        <w:r w:rsidR="00CF0449">
          <w:rPr>
            <w:rStyle w:val="Hyperlink"/>
            <w:noProof/>
          </w:rPr>
          <w:tab/>
        </w:r>
        <w:r w:rsidR="00CF0449">
          <w:rPr>
            <w:noProof/>
            <w:webHidden/>
          </w:rPr>
          <w:tab/>
        </w:r>
        <w:r w:rsidR="00CF0449">
          <w:rPr>
            <w:noProof/>
            <w:webHidden/>
          </w:rPr>
          <w:fldChar w:fldCharType="begin"/>
        </w:r>
        <w:r w:rsidR="00CF0449">
          <w:rPr>
            <w:noProof/>
            <w:webHidden/>
          </w:rPr>
          <w:instrText xml:space="preserve"> PAGEREF _Toc384911972 \h </w:instrText>
        </w:r>
        <w:r w:rsidR="00CF0449">
          <w:rPr>
            <w:noProof/>
            <w:webHidden/>
          </w:rPr>
        </w:r>
        <w:r w:rsidR="00CF0449">
          <w:rPr>
            <w:noProof/>
            <w:webHidden/>
          </w:rPr>
          <w:fldChar w:fldCharType="separate"/>
        </w:r>
        <w:r w:rsidR="00381BCB">
          <w:rPr>
            <w:noProof/>
            <w:webHidden/>
          </w:rPr>
          <w:t>42</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73" w:history="1">
        <w:r w:rsidR="00CF0449" w:rsidRPr="00401023">
          <w:rPr>
            <w:rStyle w:val="Hyperlink"/>
            <w:noProof/>
          </w:rPr>
          <w:t>4.10</w:t>
        </w:r>
        <w:r w:rsidR="00CF0449">
          <w:rPr>
            <w:rFonts w:asciiTheme="minorHAnsi" w:eastAsiaTheme="minorEastAsia" w:hAnsiTheme="minorHAnsi" w:cstheme="minorBidi"/>
            <w:smallCaps w:val="0"/>
            <w:noProof/>
            <w:sz w:val="22"/>
            <w:szCs w:val="22"/>
          </w:rPr>
          <w:tab/>
        </w:r>
        <w:r w:rsidR="00CF0449" w:rsidRPr="00401023">
          <w:rPr>
            <w:rStyle w:val="Hyperlink"/>
            <w:noProof/>
            <w:lang w:val="en-CA"/>
          </w:rPr>
          <w:t>STRENGTHEN FINANCIAL MANAGEMENT CAPACITY AT ALL LEVELS OF THE HEALTH SYSTEM</w:t>
        </w:r>
        <w:r w:rsidR="00CF0449">
          <w:rPr>
            <w:noProof/>
            <w:webHidden/>
          </w:rPr>
          <w:tab/>
        </w:r>
        <w:r w:rsidR="00CF0449">
          <w:rPr>
            <w:noProof/>
            <w:webHidden/>
          </w:rPr>
          <w:fldChar w:fldCharType="begin"/>
        </w:r>
        <w:r w:rsidR="00CF0449">
          <w:rPr>
            <w:noProof/>
            <w:webHidden/>
          </w:rPr>
          <w:instrText xml:space="preserve"> PAGEREF _Toc384911973 \h </w:instrText>
        </w:r>
        <w:r w:rsidR="00CF0449">
          <w:rPr>
            <w:noProof/>
            <w:webHidden/>
          </w:rPr>
        </w:r>
        <w:r w:rsidR="00CF0449">
          <w:rPr>
            <w:noProof/>
            <w:webHidden/>
          </w:rPr>
          <w:fldChar w:fldCharType="separate"/>
        </w:r>
        <w:r w:rsidR="00381BCB">
          <w:rPr>
            <w:noProof/>
            <w:webHidden/>
          </w:rPr>
          <w:t>43</w:t>
        </w:r>
        <w:r w:rsidR="00CF0449">
          <w:rPr>
            <w:noProof/>
            <w:webHidden/>
          </w:rPr>
          <w:fldChar w:fldCharType="end"/>
        </w:r>
      </w:hyperlink>
    </w:p>
    <w:p w:rsidR="00CF0449" w:rsidRDefault="004D598F">
      <w:pPr>
        <w:pStyle w:val="TOC1"/>
        <w:tabs>
          <w:tab w:val="left" w:pos="660"/>
          <w:tab w:val="right" w:leader="dot" w:pos="9350"/>
        </w:tabs>
        <w:rPr>
          <w:rFonts w:asciiTheme="minorHAnsi" w:eastAsiaTheme="minorEastAsia" w:hAnsiTheme="minorHAnsi" w:cstheme="minorBidi"/>
          <w:b w:val="0"/>
          <w:bCs w:val="0"/>
          <w:caps w:val="0"/>
          <w:noProof/>
          <w:sz w:val="22"/>
          <w:szCs w:val="22"/>
        </w:rPr>
      </w:pPr>
      <w:hyperlink w:anchor="_Toc384911974" w:history="1">
        <w:r w:rsidR="00CF0449" w:rsidRPr="00401023">
          <w:rPr>
            <w:rStyle w:val="Hyperlink"/>
            <w:noProof/>
          </w:rPr>
          <w:t>5.0</w:t>
        </w:r>
        <w:r w:rsidR="00CF0449">
          <w:rPr>
            <w:rFonts w:asciiTheme="minorHAnsi" w:eastAsiaTheme="minorEastAsia" w:hAnsiTheme="minorHAnsi" w:cstheme="minorBidi"/>
            <w:b w:val="0"/>
            <w:bCs w:val="0"/>
            <w:caps w:val="0"/>
            <w:noProof/>
            <w:sz w:val="22"/>
            <w:szCs w:val="22"/>
          </w:rPr>
          <w:tab/>
        </w:r>
        <w:r w:rsidR="00CF0449" w:rsidRPr="00401023">
          <w:rPr>
            <w:rStyle w:val="Hyperlink"/>
            <w:noProof/>
          </w:rPr>
          <w:t xml:space="preserve"> OBJECTIVE 3: GENERATE EVIDENCE TO DEVELOP HEALTH FINANCING APPROACHES BASED ON ACTUAL NEEDS AND COSTS WHILST ALSO BUILDING HEALTH FINANCING CAPACITY AT ALL LEVELS OF THE HEALTH SYSTEM</w:t>
        </w:r>
        <w:r w:rsidR="00CF0449">
          <w:rPr>
            <w:noProof/>
            <w:webHidden/>
          </w:rPr>
          <w:tab/>
        </w:r>
        <w:r w:rsidR="00CF0449">
          <w:rPr>
            <w:noProof/>
            <w:webHidden/>
          </w:rPr>
          <w:fldChar w:fldCharType="begin"/>
        </w:r>
        <w:r w:rsidR="00CF0449">
          <w:rPr>
            <w:noProof/>
            <w:webHidden/>
          </w:rPr>
          <w:instrText xml:space="preserve"> PAGEREF _Toc384911974 \h </w:instrText>
        </w:r>
        <w:r w:rsidR="00CF0449">
          <w:rPr>
            <w:noProof/>
            <w:webHidden/>
          </w:rPr>
        </w:r>
        <w:r w:rsidR="00CF0449">
          <w:rPr>
            <w:noProof/>
            <w:webHidden/>
          </w:rPr>
          <w:fldChar w:fldCharType="separate"/>
        </w:r>
        <w:r w:rsidR="00381BCB">
          <w:rPr>
            <w:noProof/>
            <w:webHidden/>
          </w:rPr>
          <w:t>44</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75" w:history="1">
        <w:r w:rsidR="00CF0449" w:rsidRPr="00401023">
          <w:rPr>
            <w:rStyle w:val="Hyperlink"/>
            <w:noProof/>
          </w:rPr>
          <w:t>5.1</w:t>
        </w:r>
        <w:r w:rsidR="00CF0449">
          <w:rPr>
            <w:rFonts w:asciiTheme="minorHAnsi" w:eastAsiaTheme="minorEastAsia" w:hAnsiTheme="minorHAnsi" w:cstheme="minorBidi"/>
            <w:smallCaps w:val="0"/>
            <w:noProof/>
            <w:sz w:val="22"/>
            <w:szCs w:val="22"/>
          </w:rPr>
          <w:tab/>
        </w:r>
        <w:r w:rsidR="00CF0449" w:rsidRPr="00401023">
          <w:rPr>
            <w:rStyle w:val="Hyperlink"/>
            <w:bCs/>
            <w:noProof/>
          </w:rPr>
          <w:t xml:space="preserve">ENGAGE GOVERNMENT AND PARTNERS </w:t>
        </w:r>
        <w:r w:rsidR="00CF0449" w:rsidRPr="00401023">
          <w:rPr>
            <w:rStyle w:val="Hyperlink"/>
            <w:noProof/>
          </w:rPr>
          <w:t>IN PLANNING PROCESSES BY HOLDING NATIONAL HEALTH FINANCING SUMMIT EVERY YEAR TO INFORM BUDGETING FOR MOH, DISTRICTS, AND NAC</w:t>
        </w:r>
        <w:r w:rsidR="00CF0449">
          <w:rPr>
            <w:noProof/>
            <w:webHidden/>
          </w:rPr>
          <w:tab/>
        </w:r>
        <w:r w:rsidR="00CF0449">
          <w:rPr>
            <w:noProof/>
            <w:webHidden/>
          </w:rPr>
          <w:fldChar w:fldCharType="begin"/>
        </w:r>
        <w:r w:rsidR="00CF0449">
          <w:rPr>
            <w:noProof/>
            <w:webHidden/>
          </w:rPr>
          <w:instrText xml:space="preserve"> PAGEREF _Toc384911975 \h </w:instrText>
        </w:r>
        <w:r w:rsidR="00CF0449">
          <w:rPr>
            <w:noProof/>
            <w:webHidden/>
          </w:rPr>
        </w:r>
        <w:r w:rsidR="00CF0449">
          <w:rPr>
            <w:noProof/>
            <w:webHidden/>
          </w:rPr>
          <w:fldChar w:fldCharType="separate"/>
        </w:r>
        <w:r w:rsidR="00381BCB">
          <w:rPr>
            <w:noProof/>
            <w:webHidden/>
          </w:rPr>
          <w:t>44</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76" w:history="1">
        <w:r w:rsidR="00CF0449" w:rsidRPr="00401023">
          <w:rPr>
            <w:rStyle w:val="Hyperlink"/>
            <w:noProof/>
          </w:rPr>
          <w:t>5.2</w:t>
        </w:r>
        <w:r w:rsidR="00CF0449">
          <w:rPr>
            <w:rFonts w:asciiTheme="minorHAnsi" w:eastAsiaTheme="minorEastAsia" w:hAnsiTheme="minorHAnsi" w:cstheme="minorBidi"/>
            <w:smallCaps w:val="0"/>
            <w:noProof/>
            <w:sz w:val="22"/>
            <w:szCs w:val="22"/>
          </w:rPr>
          <w:tab/>
        </w:r>
        <w:r w:rsidR="00CF0449" w:rsidRPr="00401023">
          <w:rPr>
            <w:rStyle w:val="Hyperlink"/>
            <w:noProof/>
          </w:rPr>
          <w:t>USE RESOURCE TRACKING MECHANISMS TO IDENTIFY RESOURCE GAPS AS WELL AS AREAS OF SURPLUS AND BUILD ANALYTICAL CAPACITY</w:t>
        </w:r>
        <w:r w:rsidR="00CF0449">
          <w:rPr>
            <w:noProof/>
            <w:webHidden/>
          </w:rPr>
          <w:tab/>
        </w:r>
        <w:r w:rsidR="00CF0449">
          <w:rPr>
            <w:noProof/>
            <w:webHidden/>
          </w:rPr>
          <w:fldChar w:fldCharType="begin"/>
        </w:r>
        <w:r w:rsidR="00CF0449">
          <w:rPr>
            <w:noProof/>
            <w:webHidden/>
          </w:rPr>
          <w:instrText xml:space="preserve"> PAGEREF _Toc384911976 \h </w:instrText>
        </w:r>
        <w:r w:rsidR="00CF0449">
          <w:rPr>
            <w:noProof/>
            <w:webHidden/>
          </w:rPr>
        </w:r>
        <w:r w:rsidR="00CF0449">
          <w:rPr>
            <w:noProof/>
            <w:webHidden/>
          </w:rPr>
          <w:fldChar w:fldCharType="separate"/>
        </w:r>
        <w:r w:rsidR="00381BCB">
          <w:rPr>
            <w:noProof/>
            <w:webHidden/>
          </w:rPr>
          <w:t>44</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77" w:history="1">
        <w:r w:rsidR="00CF0449" w:rsidRPr="00401023">
          <w:rPr>
            <w:rStyle w:val="Hyperlink"/>
            <w:noProof/>
          </w:rPr>
          <w:t>5.3</w:t>
        </w:r>
        <w:r w:rsidR="00CF0449">
          <w:rPr>
            <w:rFonts w:asciiTheme="minorHAnsi" w:eastAsiaTheme="minorEastAsia" w:hAnsiTheme="minorHAnsi" w:cstheme="minorBidi"/>
            <w:smallCaps w:val="0"/>
            <w:noProof/>
            <w:sz w:val="22"/>
            <w:szCs w:val="22"/>
          </w:rPr>
          <w:tab/>
        </w:r>
        <w:r w:rsidR="00CF0449" w:rsidRPr="00401023">
          <w:rPr>
            <w:rStyle w:val="Hyperlink"/>
            <w:noProof/>
          </w:rPr>
          <w:t>RE-COST THE HSSP AT THE MID-TERM REVIEW SO IT CAN BE USED IN BUDGETING AND PLANNING</w:t>
        </w:r>
        <w:r w:rsidR="00CF0449">
          <w:rPr>
            <w:noProof/>
            <w:webHidden/>
          </w:rPr>
          <w:tab/>
        </w:r>
        <w:r w:rsidR="00CF0449">
          <w:rPr>
            <w:noProof/>
            <w:webHidden/>
          </w:rPr>
          <w:fldChar w:fldCharType="begin"/>
        </w:r>
        <w:r w:rsidR="00CF0449">
          <w:rPr>
            <w:noProof/>
            <w:webHidden/>
          </w:rPr>
          <w:instrText xml:space="preserve"> PAGEREF _Toc384911977 \h </w:instrText>
        </w:r>
        <w:r w:rsidR="00CF0449">
          <w:rPr>
            <w:noProof/>
            <w:webHidden/>
          </w:rPr>
        </w:r>
        <w:r w:rsidR="00CF0449">
          <w:rPr>
            <w:noProof/>
            <w:webHidden/>
          </w:rPr>
          <w:fldChar w:fldCharType="separate"/>
        </w:r>
        <w:r w:rsidR="00381BCB">
          <w:rPr>
            <w:noProof/>
            <w:webHidden/>
          </w:rPr>
          <w:t>45</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78" w:history="1">
        <w:r w:rsidR="00CF0449" w:rsidRPr="00401023">
          <w:rPr>
            <w:rStyle w:val="Hyperlink"/>
            <w:noProof/>
          </w:rPr>
          <w:t>5.5</w:t>
        </w:r>
        <w:r w:rsidR="00CF0449">
          <w:rPr>
            <w:rFonts w:asciiTheme="minorHAnsi" w:eastAsiaTheme="minorEastAsia" w:hAnsiTheme="minorHAnsi" w:cstheme="minorBidi"/>
            <w:smallCaps w:val="0"/>
            <w:noProof/>
            <w:sz w:val="22"/>
            <w:szCs w:val="22"/>
          </w:rPr>
          <w:tab/>
        </w:r>
        <w:r w:rsidR="00CF0449" w:rsidRPr="00401023">
          <w:rPr>
            <w:rStyle w:val="Hyperlink"/>
            <w:noProof/>
          </w:rPr>
          <w:t>ANALYZE COST-EFFECTIVENESS OF HEALTH INVENTIONS</w:t>
        </w:r>
        <w:r w:rsidR="00CF0449">
          <w:rPr>
            <w:noProof/>
            <w:webHidden/>
          </w:rPr>
          <w:tab/>
        </w:r>
        <w:r w:rsidR="00CF0449">
          <w:rPr>
            <w:noProof/>
            <w:webHidden/>
          </w:rPr>
          <w:fldChar w:fldCharType="begin"/>
        </w:r>
        <w:r w:rsidR="00CF0449">
          <w:rPr>
            <w:noProof/>
            <w:webHidden/>
          </w:rPr>
          <w:instrText xml:space="preserve"> PAGEREF _Toc384911978 \h </w:instrText>
        </w:r>
        <w:r w:rsidR="00CF0449">
          <w:rPr>
            <w:noProof/>
            <w:webHidden/>
          </w:rPr>
        </w:r>
        <w:r w:rsidR="00CF0449">
          <w:rPr>
            <w:noProof/>
            <w:webHidden/>
          </w:rPr>
          <w:fldChar w:fldCharType="separate"/>
        </w:r>
        <w:r w:rsidR="00381BCB">
          <w:rPr>
            <w:noProof/>
            <w:webHidden/>
          </w:rPr>
          <w:t>46</w:t>
        </w:r>
        <w:r w:rsidR="00CF0449">
          <w:rPr>
            <w:noProof/>
            <w:webHidden/>
          </w:rPr>
          <w:fldChar w:fldCharType="end"/>
        </w:r>
      </w:hyperlink>
    </w:p>
    <w:p w:rsidR="00CF0449" w:rsidRDefault="004D598F">
      <w:pPr>
        <w:pStyle w:val="TOC1"/>
        <w:tabs>
          <w:tab w:val="left" w:pos="660"/>
          <w:tab w:val="right" w:leader="dot" w:pos="9350"/>
        </w:tabs>
        <w:rPr>
          <w:rFonts w:asciiTheme="minorHAnsi" w:eastAsiaTheme="minorEastAsia" w:hAnsiTheme="minorHAnsi" w:cstheme="minorBidi"/>
          <w:b w:val="0"/>
          <w:bCs w:val="0"/>
          <w:caps w:val="0"/>
          <w:noProof/>
          <w:sz w:val="22"/>
          <w:szCs w:val="22"/>
        </w:rPr>
      </w:pPr>
      <w:hyperlink w:anchor="_Toc384911979" w:history="1">
        <w:r w:rsidR="00CF0449" w:rsidRPr="00401023">
          <w:rPr>
            <w:rStyle w:val="Hyperlink"/>
            <w:noProof/>
          </w:rPr>
          <w:t>6.0</w:t>
        </w:r>
        <w:r w:rsidR="00CF0449">
          <w:rPr>
            <w:rFonts w:asciiTheme="minorHAnsi" w:eastAsiaTheme="minorEastAsia" w:hAnsiTheme="minorHAnsi" w:cstheme="minorBidi"/>
            <w:b w:val="0"/>
            <w:bCs w:val="0"/>
            <w:caps w:val="0"/>
            <w:noProof/>
            <w:sz w:val="22"/>
            <w:szCs w:val="22"/>
          </w:rPr>
          <w:tab/>
        </w:r>
        <w:r w:rsidR="00CF0449" w:rsidRPr="00401023">
          <w:rPr>
            <w:rStyle w:val="Hyperlink"/>
            <w:noProof/>
          </w:rPr>
          <w:t xml:space="preserve"> IMPLEMENTATION, MONITORING AND EVALUATION</w:t>
        </w:r>
        <w:r w:rsidR="00CF0449">
          <w:rPr>
            <w:noProof/>
            <w:webHidden/>
          </w:rPr>
          <w:tab/>
        </w:r>
        <w:r w:rsidR="00CF0449">
          <w:rPr>
            <w:noProof/>
            <w:webHidden/>
          </w:rPr>
          <w:fldChar w:fldCharType="begin"/>
        </w:r>
        <w:r w:rsidR="00CF0449">
          <w:rPr>
            <w:noProof/>
            <w:webHidden/>
          </w:rPr>
          <w:instrText xml:space="preserve"> PAGEREF _Toc384911979 \h </w:instrText>
        </w:r>
        <w:r w:rsidR="00CF0449">
          <w:rPr>
            <w:noProof/>
            <w:webHidden/>
          </w:rPr>
        </w:r>
        <w:r w:rsidR="00CF0449">
          <w:rPr>
            <w:noProof/>
            <w:webHidden/>
          </w:rPr>
          <w:fldChar w:fldCharType="separate"/>
        </w:r>
        <w:r w:rsidR="00381BCB">
          <w:rPr>
            <w:noProof/>
            <w:webHidden/>
          </w:rPr>
          <w:t>47</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80" w:history="1">
        <w:r w:rsidR="00CF0449" w:rsidRPr="00401023">
          <w:rPr>
            <w:rStyle w:val="Hyperlink"/>
            <w:noProof/>
          </w:rPr>
          <w:t>6.1</w:t>
        </w:r>
        <w:r w:rsidR="00CF0449">
          <w:rPr>
            <w:rFonts w:asciiTheme="minorHAnsi" w:eastAsiaTheme="minorEastAsia" w:hAnsiTheme="minorHAnsi" w:cstheme="minorBidi"/>
            <w:smallCaps w:val="0"/>
            <w:noProof/>
            <w:sz w:val="22"/>
            <w:szCs w:val="22"/>
          </w:rPr>
          <w:tab/>
        </w:r>
        <w:r w:rsidR="00CF0449" w:rsidRPr="00401023">
          <w:rPr>
            <w:rStyle w:val="Hyperlink"/>
            <w:noProof/>
          </w:rPr>
          <w:t>IMPLEMENTATION ARRANGEMENTS</w:t>
        </w:r>
        <w:r w:rsidR="00CF0449">
          <w:rPr>
            <w:noProof/>
            <w:webHidden/>
          </w:rPr>
          <w:tab/>
        </w:r>
        <w:r w:rsidR="00CF0449">
          <w:rPr>
            <w:noProof/>
            <w:webHidden/>
          </w:rPr>
          <w:fldChar w:fldCharType="begin"/>
        </w:r>
        <w:r w:rsidR="00CF0449">
          <w:rPr>
            <w:noProof/>
            <w:webHidden/>
          </w:rPr>
          <w:instrText xml:space="preserve"> PAGEREF _Toc384911980 \h </w:instrText>
        </w:r>
        <w:r w:rsidR="00CF0449">
          <w:rPr>
            <w:noProof/>
            <w:webHidden/>
          </w:rPr>
        </w:r>
        <w:r w:rsidR="00CF0449">
          <w:rPr>
            <w:noProof/>
            <w:webHidden/>
          </w:rPr>
          <w:fldChar w:fldCharType="separate"/>
        </w:r>
        <w:r w:rsidR="00381BCB">
          <w:rPr>
            <w:noProof/>
            <w:webHidden/>
          </w:rPr>
          <w:t>47</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81" w:history="1">
        <w:r w:rsidR="00CF0449" w:rsidRPr="00401023">
          <w:rPr>
            <w:rStyle w:val="Hyperlink"/>
            <w:noProof/>
          </w:rPr>
          <w:t>6.2</w:t>
        </w:r>
        <w:r w:rsidR="00CF0449">
          <w:rPr>
            <w:rFonts w:asciiTheme="minorHAnsi" w:eastAsiaTheme="minorEastAsia" w:hAnsiTheme="minorHAnsi" w:cstheme="minorBidi"/>
            <w:smallCaps w:val="0"/>
            <w:noProof/>
            <w:sz w:val="22"/>
            <w:szCs w:val="22"/>
          </w:rPr>
          <w:tab/>
        </w:r>
        <w:r w:rsidR="00CF0449" w:rsidRPr="00401023">
          <w:rPr>
            <w:rStyle w:val="Hyperlink"/>
            <w:noProof/>
          </w:rPr>
          <w:t>DEVELOPING AND IMPLEMENTING ANNUAL OPERATIONAL PLANS</w:t>
        </w:r>
        <w:r w:rsidR="00CF0449">
          <w:rPr>
            <w:noProof/>
            <w:webHidden/>
          </w:rPr>
          <w:tab/>
        </w:r>
        <w:r w:rsidR="00CF0449">
          <w:rPr>
            <w:noProof/>
            <w:webHidden/>
          </w:rPr>
          <w:fldChar w:fldCharType="begin"/>
        </w:r>
        <w:r w:rsidR="00CF0449">
          <w:rPr>
            <w:noProof/>
            <w:webHidden/>
          </w:rPr>
          <w:instrText xml:space="preserve"> PAGEREF _Toc384911981 \h </w:instrText>
        </w:r>
        <w:r w:rsidR="00CF0449">
          <w:rPr>
            <w:noProof/>
            <w:webHidden/>
          </w:rPr>
        </w:r>
        <w:r w:rsidR="00CF0449">
          <w:rPr>
            <w:noProof/>
            <w:webHidden/>
          </w:rPr>
          <w:fldChar w:fldCharType="separate"/>
        </w:r>
        <w:r w:rsidR="00381BCB">
          <w:rPr>
            <w:noProof/>
            <w:webHidden/>
          </w:rPr>
          <w:t>47</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82" w:history="1">
        <w:r w:rsidR="00CF0449" w:rsidRPr="00401023">
          <w:rPr>
            <w:rStyle w:val="Hyperlink"/>
            <w:noProof/>
          </w:rPr>
          <w:t>6.3</w:t>
        </w:r>
        <w:r w:rsidR="00CF0449">
          <w:rPr>
            <w:rFonts w:asciiTheme="minorHAnsi" w:eastAsiaTheme="minorEastAsia" w:hAnsiTheme="minorHAnsi" w:cstheme="minorBidi"/>
            <w:smallCaps w:val="0"/>
            <w:noProof/>
            <w:sz w:val="22"/>
            <w:szCs w:val="22"/>
          </w:rPr>
          <w:tab/>
        </w:r>
        <w:r w:rsidR="00CF0449" w:rsidRPr="00401023">
          <w:rPr>
            <w:rStyle w:val="Hyperlink"/>
            <w:noProof/>
          </w:rPr>
          <w:t>MONITORING AND EVALUATION</w:t>
        </w:r>
        <w:r w:rsidR="00CF0449">
          <w:rPr>
            <w:noProof/>
            <w:webHidden/>
          </w:rPr>
          <w:tab/>
        </w:r>
        <w:r w:rsidR="00CF0449">
          <w:rPr>
            <w:noProof/>
            <w:webHidden/>
          </w:rPr>
          <w:fldChar w:fldCharType="begin"/>
        </w:r>
        <w:r w:rsidR="00CF0449">
          <w:rPr>
            <w:noProof/>
            <w:webHidden/>
          </w:rPr>
          <w:instrText xml:space="preserve"> PAGEREF _Toc384911982 \h </w:instrText>
        </w:r>
        <w:r w:rsidR="00CF0449">
          <w:rPr>
            <w:noProof/>
            <w:webHidden/>
          </w:rPr>
        </w:r>
        <w:r w:rsidR="00CF0449">
          <w:rPr>
            <w:noProof/>
            <w:webHidden/>
          </w:rPr>
          <w:fldChar w:fldCharType="separate"/>
        </w:r>
        <w:r w:rsidR="00381BCB">
          <w:rPr>
            <w:noProof/>
            <w:webHidden/>
          </w:rPr>
          <w:t>48</w:t>
        </w:r>
        <w:r w:rsidR="00CF0449">
          <w:rPr>
            <w:noProof/>
            <w:webHidden/>
          </w:rPr>
          <w:fldChar w:fldCharType="end"/>
        </w:r>
      </w:hyperlink>
    </w:p>
    <w:p w:rsidR="00CF0449" w:rsidRDefault="004D598F">
      <w:pPr>
        <w:pStyle w:val="TOC1"/>
        <w:tabs>
          <w:tab w:val="left" w:pos="660"/>
          <w:tab w:val="right" w:leader="dot" w:pos="9350"/>
        </w:tabs>
        <w:rPr>
          <w:rFonts w:asciiTheme="minorHAnsi" w:eastAsiaTheme="minorEastAsia" w:hAnsiTheme="minorHAnsi" w:cstheme="minorBidi"/>
          <w:b w:val="0"/>
          <w:bCs w:val="0"/>
          <w:caps w:val="0"/>
          <w:noProof/>
          <w:sz w:val="22"/>
          <w:szCs w:val="22"/>
        </w:rPr>
      </w:pPr>
      <w:hyperlink w:anchor="_Toc384911983" w:history="1">
        <w:r w:rsidR="00CF0449" w:rsidRPr="00401023">
          <w:rPr>
            <w:rStyle w:val="Hyperlink"/>
            <w:noProof/>
          </w:rPr>
          <w:t>7.0</w:t>
        </w:r>
        <w:r w:rsidR="00CF0449">
          <w:rPr>
            <w:rFonts w:asciiTheme="minorHAnsi" w:eastAsiaTheme="minorEastAsia" w:hAnsiTheme="minorHAnsi" w:cstheme="minorBidi"/>
            <w:b w:val="0"/>
            <w:bCs w:val="0"/>
            <w:caps w:val="0"/>
            <w:noProof/>
            <w:sz w:val="22"/>
            <w:szCs w:val="22"/>
          </w:rPr>
          <w:tab/>
        </w:r>
        <w:r w:rsidR="00CF0449" w:rsidRPr="00401023">
          <w:rPr>
            <w:rStyle w:val="Hyperlink"/>
            <w:noProof/>
          </w:rPr>
          <w:t xml:space="preserve"> ADDENDUM: OTHER OPTIONS NOT PRIORITIZED FOR THE STRATEGY BUT POSSIBLE FOR FUTURE</w:t>
        </w:r>
        <w:r w:rsidR="00CF0449">
          <w:rPr>
            <w:noProof/>
            <w:webHidden/>
          </w:rPr>
          <w:tab/>
        </w:r>
        <w:r w:rsidR="00CF0449">
          <w:rPr>
            <w:noProof/>
            <w:webHidden/>
          </w:rPr>
          <w:fldChar w:fldCharType="begin"/>
        </w:r>
        <w:r w:rsidR="00CF0449">
          <w:rPr>
            <w:noProof/>
            <w:webHidden/>
          </w:rPr>
          <w:instrText xml:space="preserve"> PAGEREF _Toc384911983 \h </w:instrText>
        </w:r>
        <w:r w:rsidR="00CF0449">
          <w:rPr>
            <w:noProof/>
            <w:webHidden/>
          </w:rPr>
        </w:r>
        <w:r w:rsidR="00CF0449">
          <w:rPr>
            <w:noProof/>
            <w:webHidden/>
          </w:rPr>
          <w:fldChar w:fldCharType="separate"/>
        </w:r>
        <w:r w:rsidR="00381BCB">
          <w:rPr>
            <w:noProof/>
            <w:webHidden/>
          </w:rPr>
          <w:t>52</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84" w:history="1">
        <w:r w:rsidR="00CF0449" w:rsidRPr="00401023">
          <w:rPr>
            <w:rStyle w:val="Hyperlink"/>
            <w:noProof/>
          </w:rPr>
          <w:t>7.1</w:t>
        </w:r>
        <w:r w:rsidR="00CF0449">
          <w:rPr>
            <w:rFonts w:asciiTheme="minorHAnsi" w:eastAsiaTheme="minorEastAsia" w:hAnsiTheme="minorHAnsi" w:cstheme="minorBidi"/>
            <w:smallCaps w:val="0"/>
            <w:noProof/>
            <w:sz w:val="22"/>
            <w:szCs w:val="22"/>
          </w:rPr>
          <w:tab/>
        </w:r>
        <w:r w:rsidR="00CF0449" w:rsidRPr="00401023">
          <w:rPr>
            <w:rStyle w:val="Hyperlink"/>
            <w:noProof/>
          </w:rPr>
          <w:t>INTRODUCTION</w:t>
        </w:r>
        <w:r w:rsidR="00CF0449">
          <w:rPr>
            <w:noProof/>
            <w:webHidden/>
          </w:rPr>
          <w:tab/>
        </w:r>
        <w:r w:rsidR="00CF0449">
          <w:rPr>
            <w:noProof/>
            <w:webHidden/>
          </w:rPr>
          <w:fldChar w:fldCharType="begin"/>
        </w:r>
        <w:r w:rsidR="00CF0449">
          <w:rPr>
            <w:noProof/>
            <w:webHidden/>
          </w:rPr>
          <w:instrText xml:space="preserve"> PAGEREF _Toc384911984 \h </w:instrText>
        </w:r>
        <w:r w:rsidR="00CF0449">
          <w:rPr>
            <w:noProof/>
            <w:webHidden/>
          </w:rPr>
        </w:r>
        <w:r w:rsidR="00CF0449">
          <w:rPr>
            <w:noProof/>
            <w:webHidden/>
          </w:rPr>
          <w:fldChar w:fldCharType="separate"/>
        </w:r>
        <w:r w:rsidR="00381BCB">
          <w:rPr>
            <w:noProof/>
            <w:webHidden/>
          </w:rPr>
          <w:t>52</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85" w:history="1">
        <w:r w:rsidR="00CF0449" w:rsidRPr="00401023">
          <w:rPr>
            <w:rStyle w:val="Hyperlink"/>
            <w:noProof/>
          </w:rPr>
          <w:t>7.2</w:t>
        </w:r>
        <w:r w:rsidR="00CF0449">
          <w:rPr>
            <w:rFonts w:asciiTheme="minorHAnsi" w:eastAsiaTheme="minorEastAsia" w:hAnsiTheme="minorHAnsi" w:cstheme="minorBidi"/>
            <w:smallCaps w:val="0"/>
            <w:noProof/>
            <w:sz w:val="22"/>
            <w:szCs w:val="22"/>
          </w:rPr>
          <w:tab/>
        </w:r>
        <w:r w:rsidR="00CF0449" w:rsidRPr="00401023">
          <w:rPr>
            <w:rStyle w:val="Hyperlink"/>
            <w:noProof/>
          </w:rPr>
          <w:t>INTRODUCE A TRUST FUND TO FINANCE A SPECIFIC HEALTH EXPENSE</w:t>
        </w:r>
        <w:r w:rsidR="00CF0449">
          <w:rPr>
            <w:noProof/>
            <w:webHidden/>
          </w:rPr>
          <w:tab/>
        </w:r>
        <w:r w:rsidR="00CF0449">
          <w:rPr>
            <w:noProof/>
            <w:webHidden/>
          </w:rPr>
          <w:fldChar w:fldCharType="begin"/>
        </w:r>
        <w:r w:rsidR="00CF0449">
          <w:rPr>
            <w:noProof/>
            <w:webHidden/>
          </w:rPr>
          <w:instrText xml:space="preserve"> PAGEREF _Toc384911985 \h </w:instrText>
        </w:r>
        <w:r w:rsidR="00CF0449">
          <w:rPr>
            <w:noProof/>
            <w:webHidden/>
          </w:rPr>
        </w:r>
        <w:r w:rsidR="00CF0449">
          <w:rPr>
            <w:noProof/>
            <w:webHidden/>
          </w:rPr>
          <w:fldChar w:fldCharType="separate"/>
        </w:r>
        <w:r w:rsidR="00381BCB">
          <w:rPr>
            <w:noProof/>
            <w:webHidden/>
          </w:rPr>
          <w:t>52</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86" w:history="1">
        <w:r w:rsidR="00CF0449" w:rsidRPr="00401023">
          <w:rPr>
            <w:rStyle w:val="Hyperlink"/>
            <w:noProof/>
          </w:rPr>
          <w:t>7.3</w:t>
        </w:r>
        <w:r w:rsidR="00CF0449">
          <w:rPr>
            <w:rFonts w:asciiTheme="minorHAnsi" w:eastAsiaTheme="minorEastAsia" w:hAnsiTheme="minorHAnsi" w:cstheme="minorBidi"/>
            <w:smallCaps w:val="0"/>
            <w:noProof/>
            <w:sz w:val="22"/>
            <w:szCs w:val="22"/>
          </w:rPr>
          <w:tab/>
        </w:r>
        <w:r w:rsidR="00CF0449" w:rsidRPr="00401023">
          <w:rPr>
            <w:rStyle w:val="Hyperlink"/>
            <w:noProof/>
          </w:rPr>
          <w:t>INTRODUCE EARMARKED FUNDS FOR HEALTH FROM INTERNATIONAL AND DOMESTIC LOTTERIES</w:t>
        </w:r>
        <w:r w:rsidR="00CF0449">
          <w:rPr>
            <w:noProof/>
            <w:webHidden/>
          </w:rPr>
          <w:tab/>
        </w:r>
        <w:r w:rsidR="00CF0449">
          <w:rPr>
            <w:noProof/>
            <w:webHidden/>
          </w:rPr>
          <w:fldChar w:fldCharType="begin"/>
        </w:r>
        <w:r w:rsidR="00CF0449">
          <w:rPr>
            <w:noProof/>
            <w:webHidden/>
          </w:rPr>
          <w:instrText xml:space="preserve"> PAGEREF _Toc384911986 \h </w:instrText>
        </w:r>
        <w:r w:rsidR="00CF0449">
          <w:rPr>
            <w:noProof/>
            <w:webHidden/>
          </w:rPr>
        </w:r>
        <w:r w:rsidR="00CF0449">
          <w:rPr>
            <w:noProof/>
            <w:webHidden/>
          </w:rPr>
          <w:fldChar w:fldCharType="separate"/>
        </w:r>
        <w:r w:rsidR="00381BCB">
          <w:rPr>
            <w:noProof/>
            <w:webHidden/>
          </w:rPr>
          <w:t>53</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87" w:history="1">
        <w:r w:rsidR="00CF0449" w:rsidRPr="00401023">
          <w:rPr>
            <w:rStyle w:val="Hyperlink"/>
            <w:noProof/>
          </w:rPr>
          <w:t>7.4</w:t>
        </w:r>
        <w:r w:rsidR="00CF0449">
          <w:rPr>
            <w:rFonts w:asciiTheme="minorHAnsi" w:eastAsiaTheme="minorEastAsia" w:hAnsiTheme="minorHAnsi" w:cstheme="minorBidi"/>
            <w:smallCaps w:val="0"/>
            <w:noProof/>
            <w:sz w:val="22"/>
            <w:szCs w:val="22"/>
          </w:rPr>
          <w:tab/>
        </w:r>
        <w:r w:rsidR="00CF0449" w:rsidRPr="00401023">
          <w:rPr>
            <w:rStyle w:val="Hyperlink"/>
            <w:noProof/>
          </w:rPr>
          <w:t>STRENGTHEN RESOURCE GENERATION MECHANISMS AT CENTRAL AND LOCAL LEVEL</w:t>
        </w:r>
        <w:r w:rsidR="00CF0449">
          <w:rPr>
            <w:noProof/>
            <w:webHidden/>
          </w:rPr>
          <w:tab/>
        </w:r>
        <w:r w:rsidR="00CF0449">
          <w:rPr>
            <w:noProof/>
            <w:webHidden/>
          </w:rPr>
          <w:fldChar w:fldCharType="begin"/>
        </w:r>
        <w:r w:rsidR="00CF0449">
          <w:rPr>
            <w:noProof/>
            <w:webHidden/>
          </w:rPr>
          <w:instrText xml:space="preserve"> PAGEREF _Toc384911987 \h </w:instrText>
        </w:r>
        <w:r w:rsidR="00CF0449">
          <w:rPr>
            <w:noProof/>
            <w:webHidden/>
          </w:rPr>
        </w:r>
        <w:r w:rsidR="00CF0449">
          <w:rPr>
            <w:noProof/>
            <w:webHidden/>
          </w:rPr>
          <w:fldChar w:fldCharType="separate"/>
        </w:r>
        <w:r w:rsidR="00381BCB">
          <w:rPr>
            <w:noProof/>
            <w:webHidden/>
          </w:rPr>
          <w:t>53</w:t>
        </w:r>
        <w:r w:rsidR="00CF0449">
          <w:rPr>
            <w:noProof/>
            <w:webHidden/>
          </w:rPr>
          <w:fldChar w:fldCharType="end"/>
        </w:r>
      </w:hyperlink>
    </w:p>
    <w:p w:rsidR="00CF0449" w:rsidRDefault="004D598F">
      <w:pPr>
        <w:pStyle w:val="TOC2"/>
        <w:tabs>
          <w:tab w:val="left" w:pos="880"/>
          <w:tab w:val="right" w:leader="dot" w:pos="9350"/>
        </w:tabs>
        <w:rPr>
          <w:rFonts w:asciiTheme="minorHAnsi" w:eastAsiaTheme="minorEastAsia" w:hAnsiTheme="minorHAnsi" w:cstheme="minorBidi"/>
          <w:smallCaps w:val="0"/>
          <w:noProof/>
          <w:sz w:val="22"/>
          <w:szCs w:val="22"/>
        </w:rPr>
      </w:pPr>
      <w:hyperlink w:anchor="_Toc384911988" w:history="1">
        <w:r w:rsidR="00CF0449" w:rsidRPr="00401023">
          <w:rPr>
            <w:rStyle w:val="Hyperlink"/>
            <w:noProof/>
          </w:rPr>
          <w:t>7.5</w:t>
        </w:r>
        <w:r w:rsidR="00CF0449">
          <w:rPr>
            <w:rFonts w:asciiTheme="minorHAnsi" w:eastAsiaTheme="minorEastAsia" w:hAnsiTheme="minorHAnsi" w:cstheme="minorBidi"/>
            <w:smallCaps w:val="0"/>
            <w:noProof/>
            <w:sz w:val="22"/>
            <w:szCs w:val="22"/>
          </w:rPr>
          <w:tab/>
        </w:r>
        <w:r w:rsidR="00CF0449" w:rsidRPr="00401023">
          <w:rPr>
            <w:rStyle w:val="Hyperlink"/>
            <w:noProof/>
          </w:rPr>
          <w:t>INCREASE ABSOLUTE FUNDING OF DONOR HEALTH SECTOR INVESTMENTS</w:t>
        </w:r>
        <w:r w:rsidR="00CF0449">
          <w:rPr>
            <w:noProof/>
            <w:webHidden/>
          </w:rPr>
          <w:tab/>
        </w:r>
        <w:r w:rsidR="00CF0449">
          <w:rPr>
            <w:noProof/>
            <w:webHidden/>
          </w:rPr>
          <w:fldChar w:fldCharType="begin"/>
        </w:r>
        <w:r w:rsidR="00CF0449">
          <w:rPr>
            <w:noProof/>
            <w:webHidden/>
          </w:rPr>
          <w:instrText xml:space="preserve"> PAGEREF _Toc384911988 \h </w:instrText>
        </w:r>
        <w:r w:rsidR="00CF0449">
          <w:rPr>
            <w:noProof/>
            <w:webHidden/>
          </w:rPr>
        </w:r>
        <w:r w:rsidR="00CF0449">
          <w:rPr>
            <w:noProof/>
            <w:webHidden/>
          </w:rPr>
          <w:fldChar w:fldCharType="separate"/>
        </w:r>
        <w:r w:rsidR="00381BCB">
          <w:rPr>
            <w:noProof/>
            <w:webHidden/>
          </w:rPr>
          <w:t>54</w:t>
        </w:r>
        <w:r w:rsidR="00CF0449">
          <w:rPr>
            <w:noProof/>
            <w:webHidden/>
          </w:rPr>
          <w:fldChar w:fldCharType="end"/>
        </w:r>
      </w:hyperlink>
    </w:p>
    <w:p w:rsidR="009F4261" w:rsidRPr="009F4261" w:rsidRDefault="009F4261" w:rsidP="009F4261">
      <w:pPr>
        <w:rPr>
          <w:lang w:eastAsia="ja-JP"/>
        </w:rPr>
      </w:pPr>
      <w:r w:rsidRPr="00C753E2">
        <w:rPr>
          <w:b/>
          <w:sz w:val="20"/>
          <w:szCs w:val="20"/>
          <w:lang w:val="en-GB"/>
        </w:rPr>
        <w:fldChar w:fldCharType="end"/>
      </w:r>
    </w:p>
    <w:p w:rsidR="009F4261" w:rsidRDefault="002F32D0" w:rsidP="009F4261">
      <w:pPr>
        <w:pStyle w:val="TOC1"/>
        <w:tabs>
          <w:tab w:val="right" w:leader="dot" w:pos="9350"/>
        </w:tabs>
        <w:rPr>
          <w:rFonts w:asciiTheme="minorHAnsi" w:eastAsiaTheme="minorEastAsia" w:hAnsiTheme="minorHAnsi" w:cstheme="minorBidi"/>
          <w:i/>
          <w:iCs/>
          <w:noProof/>
          <w:sz w:val="22"/>
          <w:szCs w:val="22"/>
        </w:rPr>
      </w:pPr>
      <w:r w:rsidRPr="004A1643">
        <w:rPr>
          <w:sz w:val="22"/>
          <w:szCs w:val="22"/>
        </w:rPr>
        <w:fldChar w:fldCharType="begin"/>
      </w:r>
      <w:r w:rsidR="00606FC1" w:rsidRPr="004A1643">
        <w:rPr>
          <w:sz w:val="22"/>
          <w:szCs w:val="22"/>
        </w:rPr>
        <w:instrText xml:space="preserve"> TOC \o "1-3" \h \z \u </w:instrText>
      </w:r>
      <w:r w:rsidRPr="004A1643">
        <w:rPr>
          <w:sz w:val="22"/>
          <w:szCs w:val="22"/>
        </w:rPr>
        <w:fldChar w:fldCharType="separate"/>
      </w:r>
    </w:p>
    <w:p w:rsidR="00C77388" w:rsidRDefault="00C77388">
      <w:pPr>
        <w:pStyle w:val="TOC3"/>
        <w:tabs>
          <w:tab w:val="left" w:pos="1100"/>
          <w:tab w:val="right" w:leader="dot" w:pos="9350"/>
        </w:tabs>
        <w:rPr>
          <w:rFonts w:asciiTheme="minorHAnsi" w:eastAsiaTheme="minorEastAsia" w:hAnsiTheme="minorHAnsi" w:cstheme="minorBidi"/>
          <w:i w:val="0"/>
          <w:iCs w:val="0"/>
          <w:noProof/>
          <w:sz w:val="22"/>
          <w:szCs w:val="22"/>
        </w:rPr>
      </w:pPr>
    </w:p>
    <w:p w:rsidR="00606FC1" w:rsidRPr="004A1643" w:rsidRDefault="002F32D0" w:rsidP="00606FC1">
      <w:r w:rsidRPr="004A1643">
        <w:rPr>
          <w:b/>
          <w:bCs/>
          <w:noProof/>
        </w:rPr>
        <w:fldChar w:fldCharType="end"/>
      </w:r>
    </w:p>
    <w:p w:rsidR="008F23FC" w:rsidRDefault="008F23FC" w:rsidP="008F23FC">
      <w:pPr>
        <w:rPr>
          <w:rFonts w:ascii="Gill Sans MT" w:hAnsi="Gill Sans MT"/>
          <w:b/>
        </w:rPr>
      </w:pPr>
    </w:p>
    <w:p w:rsidR="008859F3" w:rsidRDefault="008859F3">
      <w:pPr>
        <w:rPr>
          <w:rFonts w:ascii="Cambria" w:eastAsia="Times New Roman" w:hAnsi="Cambria"/>
          <w:b/>
          <w:bCs/>
          <w:color w:val="365F91"/>
          <w:sz w:val="36"/>
          <w:szCs w:val="28"/>
          <w:lang w:val="en-GB"/>
        </w:rPr>
      </w:pPr>
      <w:bookmarkStart w:id="2" w:name="_Toc350762872"/>
    </w:p>
    <w:p w:rsidR="00231C00" w:rsidRDefault="00231C00">
      <w:pPr>
        <w:rPr>
          <w:rFonts w:ascii="Cambria" w:eastAsia="Times New Roman" w:hAnsi="Cambria"/>
          <w:b/>
          <w:bCs/>
          <w:color w:val="365F91"/>
          <w:sz w:val="36"/>
          <w:szCs w:val="28"/>
          <w:lang w:val="en-GB"/>
        </w:rPr>
      </w:pPr>
    </w:p>
    <w:p w:rsidR="00231C00" w:rsidRDefault="00231C00">
      <w:pPr>
        <w:rPr>
          <w:rFonts w:ascii="Cambria" w:eastAsia="Times New Roman" w:hAnsi="Cambria"/>
          <w:b/>
          <w:bCs/>
          <w:color w:val="365F91"/>
          <w:sz w:val="36"/>
          <w:szCs w:val="28"/>
          <w:lang w:val="en-GB"/>
        </w:rPr>
      </w:pPr>
    </w:p>
    <w:p w:rsidR="009F4261" w:rsidRDefault="008B6342" w:rsidP="00AA5468">
      <w:pPr>
        <w:pStyle w:val="HeadingO"/>
      </w:pPr>
      <w:bookmarkStart w:id="3" w:name="_Toc384911940"/>
      <w:r>
        <w:lastRenderedPageBreak/>
        <w:t>LIST OF TABLES</w:t>
      </w:r>
      <w:bookmarkEnd w:id="3"/>
    </w:p>
    <w:p w:rsidR="009F4261" w:rsidRPr="00DE71A1" w:rsidRDefault="009F4261">
      <w:pPr>
        <w:pStyle w:val="TableofFigures"/>
        <w:tabs>
          <w:tab w:val="right" w:leader="dot" w:pos="9350"/>
        </w:tabs>
        <w:rPr>
          <w:noProof/>
          <w:sz w:val="20"/>
          <w:szCs w:val="20"/>
        </w:rPr>
      </w:pPr>
      <w:r w:rsidRPr="00DE71A1">
        <w:rPr>
          <w:rFonts w:ascii="Cambria" w:eastAsia="Times New Roman" w:hAnsi="Cambria"/>
          <w:b/>
          <w:bCs/>
          <w:color w:val="365F91"/>
          <w:sz w:val="20"/>
          <w:szCs w:val="20"/>
          <w:lang w:val="en-GB"/>
        </w:rPr>
        <w:fldChar w:fldCharType="begin"/>
      </w:r>
      <w:r w:rsidRPr="00DE71A1">
        <w:rPr>
          <w:rFonts w:ascii="Cambria" w:eastAsia="Times New Roman" w:hAnsi="Cambria"/>
          <w:b/>
          <w:bCs/>
          <w:color w:val="365F91"/>
          <w:sz w:val="20"/>
          <w:szCs w:val="20"/>
          <w:lang w:val="en-GB"/>
        </w:rPr>
        <w:instrText xml:space="preserve"> TOC \h \z \c "Table" </w:instrText>
      </w:r>
      <w:r w:rsidRPr="00DE71A1">
        <w:rPr>
          <w:rFonts w:ascii="Cambria" w:eastAsia="Times New Roman" w:hAnsi="Cambria"/>
          <w:b/>
          <w:bCs/>
          <w:color w:val="365F91"/>
          <w:sz w:val="20"/>
          <w:szCs w:val="20"/>
          <w:lang w:val="en-GB"/>
        </w:rPr>
        <w:fldChar w:fldCharType="separate"/>
      </w:r>
      <w:hyperlink w:anchor="_Toc384829402" w:history="1">
        <w:r w:rsidR="00DE71A1" w:rsidRPr="00DE71A1">
          <w:rPr>
            <w:rStyle w:val="Hyperlink"/>
            <w:noProof/>
            <w:sz w:val="20"/>
            <w:szCs w:val="20"/>
          </w:rPr>
          <w:t>TABLE 1: VISA FEE FOR US CITIZENS IN NEIGHBORING COUNTRIES</w:t>
        </w:r>
        <w:r w:rsidR="00DE71A1" w:rsidRPr="00DE71A1">
          <w:rPr>
            <w:noProof/>
            <w:webHidden/>
            <w:sz w:val="20"/>
            <w:szCs w:val="20"/>
          </w:rPr>
          <w:tab/>
        </w:r>
        <w:r w:rsidRPr="00DE71A1">
          <w:rPr>
            <w:noProof/>
            <w:webHidden/>
            <w:sz w:val="20"/>
            <w:szCs w:val="20"/>
          </w:rPr>
          <w:fldChar w:fldCharType="begin"/>
        </w:r>
        <w:r w:rsidRPr="00DE71A1">
          <w:rPr>
            <w:noProof/>
            <w:webHidden/>
            <w:sz w:val="20"/>
            <w:szCs w:val="20"/>
          </w:rPr>
          <w:instrText xml:space="preserve"> PAGEREF _Toc384829402 \h </w:instrText>
        </w:r>
        <w:r w:rsidRPr="00DE71A1">
          <w:rPr>
            <w:noProof/>
            <w:webHidden/>
            <w:sz w:val="20"/>
            <w:szCs w:val="20"/>
          </w:rPr>
        </w:r>
        <w:r w:rsidRPr="00DE71A1">
          <w:rPr>
            <w:noProof/>
            <w:webHidden/>
            <w:sz w:val="20"/>
            <w:szCs w:val="20"/>
          </w:rPr>
          <w:fldChar w:fldCharType="separate"/>
        </w:r>
        <w:r w:rsidR="00381BCB">
          <w:rPr>
            <w:noProof/>
            <w:webHidden/>
            <w:sz w:val="20"/>
            <w:szCs w:val="20"/>
          </w:rPr>
          <w:t>23</w:t>
        </w:r>
        <w:r w:rsidRPr="00DE71A1">
          <w:rPr>
            <w:noProof/>
            <w:webHidden/>
            <w:sz w:val="20"/>
            <w:szCs w:val="20"/>
          </w:rPr>
          <w:fldChar w:fldCharType="end"/>
        </w:r>
      </w:hyperlink>
    </w:p>
    <w:p w:rsidR="009F4261" w:rsidRPr="00DE71A1" w:rsidRDefault="004D598F">
      <w:pPr>
        <w:pStyle w:val="TableofFigures"/>
        <w:tabs>
          <w:tab w:val="right" w:leader="dot" w:pos="9350"/>
        </w:tabs>
        <w:rPr>
          <w:noProof/>
          <w:sz w:val="20"/>
          <w:szCs w:val="20"/>
        </w:rPr>
      </w:pPr>
      <w:hyperlink w:anchor="_Toc384829403" w:history="1">
        <w:r w:rsidR="00DE71A1" w:rsidRPr="00DE71A1">
          <w:rPr>
            <w:rStyle w:val="Hyperlink"/>
            <w:noProof/>
            <w:sz w:val="20"/>
            <w:szCs w:val="20"/>
          </w:rPr>
          <w:t>TABLE 2: FUEL LEVIES STRUCTURE AS AT JULY, 2013</w:t>
        </w:r>
        <w:r w:rsidR="00DE71A1" w:rsidRPr="00DE71A1">
          <w:rPr>
            <w:noProof/>
            <w:webHidden/>
            <w:sz w:val="20"/>
            <w:szCs w:val="20"/>
          </w:rPr>
          <w:tab/>
        </w:r>
        <w:r w:rsidR="009F4261" w:rsidRPr="00DE71A1">
          <w:rPr>
            <w:noProof/>
            <w:webHidden/>
            <w:sz w:val="20"/>
            <w:szCs w:val="20"/>
          </w:rPr>
          <w:fldChar w:fldCharType="begin"/>
        </w:r>
        <w:r w:rsidR="009F4261" w:rsidRPr="00DE71A1">
          <w:rPr>
            <w:noProof/>
            <w:webHidden/>
            <w:sz w:val="20"/>
            <w:szCs w:val="20"/>
          </w:rPr>
          <w:instrText xml:space="preserve"> PAGEREF _Toc384829403 \h </w:instrText>
        </w:r>
        <w:r w:rsidR="009F4261" w:rsidRPr="00DE71A1">
          <w:rPr>
            <w:noProof/>
            <w:webHidden/>
            <w:sz w:val="20"/>
            <w:szCs w:val="20"/>
          </w:rPr>
        </w:r>
        <w:r w:rsidR="009F4261" w:rsidRPr="00DE71A1">
          <w:rPr>
            <w:noProof/>
            <w:webHidden/>
            <w:sz w:val="20"/>
            <w:szCs w:val="20"/>
          </w:rPr>
          <w:fldChar w:fldCharType="separate"/>
        </w:r>
        <w:r w:rsidR="00381BCB">
          <w:rPr>
            <w:noProof/>
            <w:webHidden/>
            <w:sz w:val="20"/>
            <w:szCs w:val="20"/>
          </w:rPr>
          <w:t>26</w:t>
        </w:r>
        <w:r w:rsidR="009F4261" w:rsidRPr="00DE71A1">
          <w:rPr>
            <w:noProof/>
            <w:webHidden/>
            <w:sz w:val="20"/>
            <w:szCs w:val="20"/>
          </w:rPr>
          <w:fldChar w:fldCharType="end"/>
        </w:r>
      </w:hyperlink>
    </w:p>
    <w:p w:rsidR="00231C00" w:rsidRDefault="009F4261">
      <w:pPr>
        <w:rPr>
          <w:rFonts w:ascii="Cambria" w:eastAsia="Times New Roman" w:hAnsi="Cambria"/>
          <w:b/>
          <w:bCs/>
          <w:color w:val="365F91"/>
          <w:sz w:val="36"/>
          <w:szCs w:val="28"/>
          <w:lang w:val="en-GB"/>
        </w:rPr>
      </w:pPr>
      <w:r w:rsidRPr="00DE71A1">
        <w:rPr>
          <w:rFonts w:ascii="Cambria" w:eastAsia="Times New Roman" w:hAnsi="Cambria"/>
          <w:b/>
          <w:bCs/>
          <w:color w:val="365F91"/>
          <w:sz w:val="20"/>
          <w:szCs w:val="20"/>
          <w:lang w:val="en-GB"/>
        </w:rPr>
        <w:fldChar w:fldCharType="end"/>
      </w:r>
    </w:p>
    <w:p w:rsidR="00231C00" w:rsidRDefault="00231C00">
      <w:pPr>
        <w:rPr>
          <w:rFonts w:ascii="Cambria" w:eastAsia="Times New Roman" w:hAnsi="Cambria"/>
          <w:b/>
          <w:bCs/>
          <w:color w:val="365F91"/>
          <w:sz w:val="36"/>
          <w:szCs w:val="28"/>
          <w:lang w:val="en-GB"/>
        </w:rPr>
      </w:pPr>
    </w:p>
    <w:p w:rsidR="00231C00" w:rsidRDefault="00231C00">
      <w:pPr>
        <w:rPr>
          <w:rFonts w:ascii="Cambria" w:eastAsia="Times New Roman" w:hAnsi="Cambria"/>
          <w:b/>
          <w:bCs/>
          <w:color w:val="365F91"/>
          <w:sz w:val="36"/>
          <w:szCs w:val="28"/>
          <w:lang w:val="en-GB"/>
        </w:rPr>
      </w:pPr>
    </w:p>
    <w:p w:rsidR="00231C00" w:rsidRDefault="00231C00">
      <w:pPr>
        <w:rPr>
          <w:rFonts w:ascii="Cambria" w:eastAsia="Times New Roman" w:hAnsi="Cambria"/>
          <w:b/>
          <w:bCs/>
          <w:color w:val="365F91"/>
          <w:sz w:val="36"/>
          <w:szCs w:val="28"/>
          <w:lang w:val="en-GB"/>
        </w:rPr>
      </w:pPr>
    </w:p>
    <w:p w:rsidR="00231C00" w:rsidRDefault="00231C00">
      <w:pPr>
        <w:rPr>
          <w:rFonts w:ascii="Cambria" w:eastAsia="Times New Roman" w:hAnsi="Cambria"/>
          <w:b/>
          <w:bCs/>
          <w:color w:val="365F91"/>
          <w:sz w:val="36"/>
          <w:szCs w:val="28"/>
          <w:lang w:val="en-GB"/>
        </w:rPr>
      </w:pPr>
    </w:p>
    <w:p w:rsidR="00231C00" w:rsidRDefault="00231C00">
      <w:pPr>
        <w:rPr>
          <w:rFonts w:ascii="Cambria" w:eastAsia="Times New Roman" w:hAnsi="Cambria"/>
          <w:b/>
          <w:bCs/>
          <w:color w:val="365F91"/>
          <w:sz w:val="36"/>
          <w:szCs w:val="28"/>
          <w:lang w:val="en-GB"/>
        </w:rPr>
      </w:pPr>
    </w:p>
    <w:p w:rsidR="009F4261" w:rsidRDefault="009F4261">
      <w:pPr>
        <w:rPr>
          <w:rFonts w:ascii="Cambria" w:eastAsia="Times New Roman" w:hAnsi="Cambria"/>
          <w:b/>
          <w:bCs/>
          <w:color w:val="365F91"/>
          <w:sz w:val="36"/>
          <w:szCs w:val="28"/>
          <w:lang w:val="en-GB"/>
        </w:rPr>
      </w:pPr>
    </w:p>
    <w:p w:rsidR="009F4261" w:rsidRDefault="009F4261">
      <w:pPr>
        <w:rPr>
          <w:rFonts w:ascii="Cambria" w:eastAsia="Times New Roman" w:hAnsi="Cambria"/>
          <w:b/>
          <w:bCs/>
          <w:color w:val="365F91"/>
          <w:sz w:val="36"/>
          <w:szCs w:val="28"/>
          <w:lang w:val="en-GB"/>
        </w:rPr>
      </w:pPr>
    </w:p>
    <w:p w:rsidR="009F4261" w:rsidRDefault="009F4261">
      <w:pPr>
        <w:rPr>
          <w:rFonts w:ascii="Cambria" w:eastAsia="Times New Roman" w:hAnsi="Cambria"/>
          <w:b/>
          <w:bCs/>
          <w:color w:val="365F91"/>
          <w:sz w:val="36"/>
          <w:szCs w:val="28"/>
          <w:lang w:val="en-GB"/>
        </w:rPr>
      </w:pPr>
    </w:p>
    <w:p w:rsidR="009F4261" w:rsidRDefault="009F4261">
      <w:pPr>
        <w:rPr>
          <w:rFonts w:ascii="Cambria" w:eastAsia="Times New Roman" w:hAnsi="Cambria"/>
          <w:b/>
          <w:bCs/>
          <w:color w:val="365F91"/>
          <w:sz w:val="36"/>
          <w:szCs w:val="28"/>
          <w:lang w:val="en-GB"/>
        </w:rPr>
      </w:pPr>
    </w:p>
    <w:p w:rsidR="009F4261" w:rsidRDefault="009F4261">
      <w:pPr>
        <w:rPr>
          <w:rFonts w:ascii="Cambria" w:eastAsia="Times New Roman" w:hAnsi="Cambria"/>
          <w:b/>
          <w:bCs/>
          <w:color w:val="365F91"/>
          <w:sz w:val="36"/>
          <w:szCs w:val="28"/>
          <w:lang w:val="en-GB"/>
        </w:rPr>
      </w:pPr>
    </w:p>
    <w:p w:rsidR="009F4261" w:rsidRDefault="009F4261">
      <w:pPr>
        <w:rPr>
          <w:rFonts w:ascii="Cambria" w:eastAsia="Times New Roman" w:hAnsi="Cambria"/>
          <w:b/>
          <w:bCs/>
          <w:color w:val="365F91"/>
          <w:sz w:val="36"/>
          <w:szCs w:val="28"/>
          <w:lang w:val="en-GB"/>
        </w:rPr>
      </w:pPr>
    </w:p>
    <w:p w:rsidR="009F4261" w:rsidRDefault="009F4261">
      <w:pPr>
        <w:rPr>
          <w:rFonts w:ascii="Cambria" w:eastAsia="Times New Roman" w:hAnsi="Cambria"/>
          <w:b/>
          <w:bCs/>
          <w:color w:val="365F91"/>
          <w:sz w:val="36"/>
          <w:szCs w:val="28"/>
          <w:lang w:val="en-GB"/>
        </w:rPr>
      </w:pPr>
    </w:p>
    <w:p w:rsidR="009F4261" w:rsidRDefault="009F4261">
      <w:pPr>
        <w:rPr>
          <w:rFonts w:ascii="Cambria" w:eastAsia="Times New Roman" w:hAnsi="Cambria"/>
          <w:b/>
          <w:bCs/>
          <w:color w:val="365F91"/>
          <w:sz w:val="36"/>
          <w:szCs w:val="28"/>
          <w:lang w:val="en-GB"/>
        </w:rPr>
      </w:pPr>
    </w:p>
    <w:p w:rsidR="009F4261" w:rsidRDefault="009F4261">
      <w:pPr>
        <w:rPr>
          <w:rFonts w:ascii="Cambria" w:eastAsia="Times New Roman" w:hAnsi="Cambria"/>
          <w:b/>
          <w:bCs/>
          <w:color w:val="365F91"/>
          <w:sz w:val="36"/>
          <w:szCs w:val="28"/>
          <w:lang w:val="en-GB"/>
        </w:rPr>
      </w:pPr>
    </w:p>
    <w:p w:rsidR="009F4261" w:rsidRDefault="009F4261">
      <w:pPr>
        <w:rPr>
          <w:rFonts w:ascii="Cambria" w:eastAsia="Times New Roman" w:hAnsi="Cambria"/>
          <w:b/>
          <w:bCs/>
          <w:color w:val="365F91"/>
          <w:sz w:val="36"/>
          <w:szCs w:val="28"/>
          <w:lang w:val="en-GB"/>
        </w:rPr>
      </w:pPr>
    </w:p>
    <w:p w:rsidR="009F4261" w:rsidRDefault="009F4261">
      <w:pPr>
        <w:rPr>
          <w:rFonts w:ascii="Cambria" w:eastAsia="Times New Roman" w:hAnsi="Cambria"/>
          <w:b/>
          <w:bCs/>
          <w:color w:val="365F91"/>
          <w:sz w:val="36"/>
          <w:szCs w:val="28"/>
          <w:lang w:val="en-GB"/>
        </w:rPr>
      </w:pPr>
    </w:p>
    <w:p w:rsidR="009F4261" w:rsidRDefault="008B6342" w:rsidP="00AA5468">
      <w:pPr>
        <w:pStyle w:val="HeadingO"/>
      </w:pPr>
      <w:bookmarkStart w:id="4" w:name="_Toc384911941"/>
      <w:r>
        <w:lastRenderedPageBreak/>
        <w:t>LIST OF FIGURES</w:t>
      </w:r>
      <w:bookmarkEnd w:id="4"/>
    </w:p>
    <w:p w:rsidR="00C753E2" w:rsidRPr="00C753E2" w:rsidRDefault="009322F2">
      <w:pPr>
        <w:pStyle w:val="TableofFigures"/>
        <w:tabs>
          <w:tab w:val="right" w:leader="dot" w:pos="9350"/>
        </w:tabs>
        <w:rPr>
          <w:rFonts w:asciiTheme="minorHAnsi" w:eastAsiaTheme="minorEastAsia" w:hAnsiTheme="minorHAnsi" w:cstheme="minorBidi"/>
          <w:noProof/>
          <w:sz w:val="20"/>
          <w:szCs w:val="20"/>
        </w:rPr>
      </w:pPr>
      <w:r>
        <w:rPr>
          <w:rFonts w:ascii="Cambria" w:eastAsia="Times New Roman" w:hAnsi="Cambria"/>
          <w:b/>
          <w:bCs/>
          <w:color w:val="365F91"/>
          <w:sz w:val="36"/>
          <w:szCs w:val="28"/>
          <w:lang w:val="en-GB"/>
        </w:rPr>
        <w:fldChar w:fldCharType="begin"/>
      </w:r>
      <w:r>
        <w:rPr>
          <w:rFonts w:ascii="Cambria" w:eastAsia="Times New Roman" w:hAnsi="Cambria"/>
          <w:b/>
          <w:bCs/>
          <w:color w:val="365F91"/>
          <w:sz w:val="36"/>
          <w:szCs w:val="28"/>
          <w:lang w:val="en-GB"/>
        </w:rPr>
        <w:instrText xml:space="preserve"> TOC \h \z \c "Figure" </w:instrText>
      </w:r>
      <w:r>
        <w:rPr>
          <w:rFonts w:ascii="Cambria" w:eastAsia="Times New Roman" w:hAnsi="Cambria"/>
          <w:b/>
          <w:bCs/>
          <w:color w:val="365F91"/>
          <w:sz w:val="36"/>
          <w:szCs w:val="28"/>
          <w:lang w:val="en-GB"/>
        </w:rPr>
        <w:fldChar w:fldCharType="separate"/>
      </w:r>
      <w:hyperlink w:anchor="_Toc384908037" w:history="1">
        <w:r w:rsidR="00C753E2" w:rsidRPr="00C753E2">
          <w:rPr>
            <w:rStyle w:val="Hyperlink"/>
            <w:noProof/>
            <w:sz w:val="20"/>
            <w:szCs w:val="20"/>
          </w:rPr>
          <w:t>FIGURE 1: FUNDING SOURCES FOR MALAWI HEALTH EXPENDITURE, 2001-2012</w:t>
        </w:r>
        <w:r w:rsidR="00C753E2" w:rsidRPr="00C753E2">
          <w:rPr>
            <w:noProof/>
            <w:webHidden/>
            <w:sz w:val="20"/>
            <w:szCs w:val="20"/>
          </w:rPr>
          <w:tab/>
        </w:r>
        <w:r w:rsidR="00C753E2" w:rsidRPr="00C753E2">
          <w:rPr>
            <w:noProof/>
            <w:webHidden/>
            <w:sz w:val="20"/>
            <w:szCs w:val="20"/>
          </w:rPr>
          <w:fldChar w:fldCharType="begin"/>
        </w:r>
        <w:r w:rsidR="00C753E2" w:rsidRPr="00C753E2">
          <w:rPr>
            <w:noProof/>
            <w:webHidden/>
            <w:sz w:val="20"/>
            <w:szCs w:val="20"/>
          </w:rPr>
          <w:instrText xml:space="preserve"> PAGEREF _Toc384908037 \h </w:instrText>
        </w:r>
        <w:r w:rsidR="00C753E2" w:rsidRPr="00C753E2">
          <w:rPr>
            <w:noProof/>
            <w:webHidden/>
            <w:sz w:val="20"/>
            <w:szCs w:val="20"/>
          </w:rPr>
        </w:r>
        <w:r w:rsidR="00C753E2" w:rsidRPr="00C753E2">
          <w:rPr>
            <w:noProof/>
            <w:webHidden/>
            <w:sz w:val="20"/>
            <w:szCs w:val="20"/>
          </w:rPr>
          <w:fldChar w:fldCharType="separate"/>
        </w:r>
        <w:r w:rsidR="00381BCB">
          <w:rPr>
            <w:noProof/>
            <w:webHidden/>
            <w:sz w:val="20"/>
            <w:szCs w:val="20"/>
          </w:rPr>
          <w:t>13</w:t>
        </w:r>
        <w:r w:rsidR="00C753E2" w:rsidRPr="00C753E2">
          <w:rPr>
            <w:noProof/>
            <w:webHidden/>
            <w:sz w:val="20"/>
            <w:szCs w:val="20"/>
          </w:rPr>
          <w:fldChar w:fldCharType="end"/>
        </w:r>
      </w:hyperlink>
    </w:p>
    <w:p w:rsidR="00C753E2" w:rsidRPr="00C753E2" w:rsidRDefault="004D598F">
      <w:pPr>
        <w:pStyle w:val="TableofFigures"/>
        <w:tabs>
          <w:tab w:val="right" w:leader="dot" w:pos="9350"/>
        </w:tabs>
        <w:rPr>
          <w:rFonts w:asciiTheme="minorHAnsi" w:eastAsiaTheme="minorEastAsia" w:hAnsiTheme="minorHAnsi" w:cstheme="minorBidi"/>
          <w:noProof/>
          <w:sz w:val="20"/>
          <w:szCs w:val="20"/>
        </w:rPr>
      </w:pPr>
      <w:hyperlink w:anchor="_Toc384908038" w:history="1">
        <w:r w:rsidR="00C753E2" w:rsidRPr="00C753E2">
          <w:rPr>
            <w:rStyle w:val="Hyperlink"/>
            <w:noProof/>
            <w:sz w:val="20"/>
            <w:szCs w:val="20"/>
          </w:rPr>
          <w:t>FIGURE 2: TREE DIMENSIONS TO CONSIDER WHEN MOVING TOWARDS UNIVERSAL COVERAGE</w:t>
        </w:r>
        <w:r w:rsidR="00C753E2" w:rsidRPr="00C753E2">
          <w:rPr>
            <w:noProof/>
            <w:webHidden/>
            <w:sz w:val="20"/>
            <w:szCs w:val="20"/>
          </w:rPr>
          <w:tab/>
        </w:r>
        <w:r w:rsidR="00C753E2" w:rsidRPr="00C753E2">
          <w:rPr>
            <w:noProof/>
            <w:webHidden/>
            <w:sz w:val="20"/>
            <w:szCs w:val="20"/>
          </w:rPr>
          <w:fldChar w:fldCharType="begin"/>
        </w:r>
        <w:r w:rsidR="00C753E2" w:rsidRPr="00C753E2">
          <w:rPr>
            <w:noProof/>
            <w:webHidden/>
            <w:sz w:val="20"/>
            <w:szCs w:val="20"/>
          </w:rPr>
          <w:instrText xml:space="preserve"> PAGEREF _Toc384908038 \h </w:instrText>
        </w:r>
        <w:r w:rsidR="00C753E2" w:rsidRPr="00C753E2">
          <w:rPr>
            <w:noProof/>
            <w:webHidden/>
            <w:sz w:val="20"/>
            <w:szCs w:val="20"/>
          </w:rPr>
        </w:r>
        <w:r w:rsidR="00C753E2" w:rsidRPr="00C753E2">
          <w:rPr>
            <w:noProof/>
            <w:webHidden/>
            <w:sz w:val="20"/>
            <w:szCs w:val="20"/>
          </w:rPr>
          <w:fldChar w:fldCharType="separate"/>
        </w:r>
        <w:r w:rsidR="00381BCB">
          <w:rPr>
            <w:noProof/>
            <w:webHidden/>
            <w:sz w:val="20"/>
            <w:szCs w:val="20"/>
          </w:rPr>
          <w:t>19</w:t>
        </w:r>
        <w:r w:rsidR="00C753E2" w:rsidRPr="00C753E2">
          <w:rPr>
            <w:noProof/>
            <w:webHidden/>
            <w:sz w:val="20"/>
            <w:szCs w:val="20"/>
          </w:rPr>
          <w:fldChar w:fldCharType="end"/>
        </w:r>
      </w:hyperlink>
    </w:p>
    <w:p w:rsidR="00C753E2" w:rsidRPr="00C753E2" w:rsidRDefault="004D598F">
      <w:pPr>
        <w:pStyle w:val="TableofFigures"/>
        <w:tabs>
          <w:tab w:val="right" w:leader="dot" w:pos="9350"/>
        </w:tabs>
        <w:rPr>
          <w:rFonts w:asciiTheme="minorHAnsi" w:eastAsiaTheme="minorEastAsia" w:hAnsiTheme="minorHAnsi" w:cstheme="minorBidi"/>
          <w:noProof/>
          <w:sz w:val="20"/>
          <w:szCs w:val="20"/>
        </w:rPr>
      </w:pPr>
      <w:hyperlink w:anchor="_Toc384908039" w:history="1">
        <w:r w:rsidR="00C753E2" w:rsidRPr="00C753E2">
          <w:rPr>
            <w:rStyle w:val="Hyperlink"/>
            <w:noProof/>
            <w:sz w:val="20"/>
            <w:szCs w:val="20"/>
          </w:rPr>
          <w:t>FIGURE 3: REVENUE GENERATED FROM ALCOHOL LEVEL</w:t>
        </w:r>
        <w:r w:rsidR="00C753E2" w:rsidRPr="00C753E2">
          <w:rPr>
            <w:noProof/>
            <w:webHidden/>
            <w:sz w:val="20"/>
            <w:szCs w:val="20"/>
          </w:rPr>
          <w:tab/>
        </w:r>
        <w:r w:rsidR="00C753E2" w:rsidRPr="00C753E2">
          <w:rPr>
            <w:noProof/>
            <w:webHidden/>
            <w:sz w:val="20"/>
            <w:szCs w:val="20"/>
          </w:rPr>
          <w:fldChar w:fldCharType="begin"/>
        </w:r>
        <w:r w:rsidR="00C753E2" w:rsidRPr="00C753E2">
          <w:rPr>
            <w:noProof/>
            <w:webHidden/>
            <w:sz w:val="20"/>
            <w:szCs w:val="20"/>
          </w:rPr>
          <w:instrText xml:space="preserve"> PAGEREF _Toc384908039 \h </w:instrText>
        </w:r>
        <w:r w:rsidR="00C753E2" w:rsidRPr="00C753E2">
          <w:rPr>
            <w:noProof/>
            <w:webHidden/>
            <w:sz w:val="20"/>
            <w:szCs w:val="20"/>
          </w:rPr>
        </w:r>
        <w:r w:rsidR="00C753E2" w:rsidRPr="00C753E2">
          <w:rPr>
            <w:noProof/>
            <w:webHidden/>
            <w:sz w:val="20"/>
            <w:szCs w:val="20"/>
          </w:rPr>
          <w:fldChar w:fldCharType="separate"/>
        </w:r>
        <w:r w:rsidR="00381BCB">
          <w:rPr>
            <w:noProof/>
            <w:webHidden/>
            <w:sz w:val="20"/>
            <w:szCs w:val="20"/>
          </w:rPr>
          <w:t>25</w:t>
        </w:r>
        <w:r w:rsidR="00C753E2" w:rsidRPr="00C753E2">
          <w:rPr>
            <w:noProof/>
            <w:webHidden/>
            <w:sz w:val="20"/>
            <w:szCs w:val="20"/>
          </w:rPr>
          <w:fldChar w:fldCharType="end"/>
        </w:r>
      </w:hyperlink>
    </w:p>
    <w:p w:rsidR="00C753E2" w:rsidRPr="00C753E2" w:rsidRDefault="004D598F">
      <w:pPr>
        <w:pStyle w:val="TableofFigures"/>
        <w:tabs>
          <w:tab w:val="right" w:leader="dot" w:pos="9350"/>
        </w:tabs>
        <w:rPr>
          <w:rFonts w:asciiTheme="minorHAnsi" w:eastAsiaTheme="minorEastAsia" w:hAnsiTheme="minorHAnsi" w:cstheme="minorBidi"/>
          <w:noProof/>
          <w:sz w:val="20"/>
          <w:szCs w:val="20"/>
        </w:rPr>
      </w:pPr>
      <w:hyperlink w:anchor="_Toc384908040" w:history="1">
        <w:r w:rsidR="00C753E2" w:rsidRPr="00C753E2">
          <w:rPr>
            <w:rStyle w:val="Hyperlink"/>
            <w:noProof/>
            <w:sz w:val="20"/>
            <w:szCs w:val="20"/>
          </w:rPr>
          <w:t>FIGURE 4: REVENUE GENERATED FROM CIGARETTE LEVY</w:t>
        </w:r>
        <w:r w:rsidR="00C753E2" w:rsidRPr="00C753E2">
          <w:rPr>
            <w:noProof/>
            <w:webHidden/>
            <w:sz w:val="20"/>
            <w:szCs w:val="20"/>
          </w:rPr>
          <w:tab/>
        </w:r>
        <w:r w:rsidR="00C753E2" w:rsidRPr="00C753E2">
          <w:rPr>
            <w:noProof/>
            <w:webHidden/>
            <w:sz w:val="20"/>
            <w:szCs w:val="20"/>
          </w:rPr>
          <w:fldChar w:fldCharType="begin"/>
        </w:r>
        <w:r w:rsidR="00C753E2" w:rsidRPr="00C753E2">
          <w:rPr>
            <w:noProof/>
            <w:webHidden/>
            <w:sz w:val="20"/>
            <w:szCs w:val="20"/>
          </w:rPr>
          <w:instrText xml:space="preserve"> PAGEREF _Toc384908040 \h </w:instrText>
        </w:r>
        <w:r w:rsidR="00C753E2" w:rsidRPr="00C753E2">
          <w:rPr>
            <w:noProof/>
            <w:webHidden/>
            <w:sz w:val="20"/>
            <w:szCs w:val="20"/>
          </w:rPr>
        </w:r>
        <w:r w:rsidR="00C753E2" w:rsidRPr="00C753E2">
          <w:rPr>
            <w:noProof/>
            <w:webHidden/>
            <w:sz w:val="20"/>
            <w:szCs w:val="20"/>
          </w:rPr>
          <w:fldChar w:fldCharType="separate"/>
        </w:r>
        <w:r w:rsidR="00381BCB">
          <w:rPr>
            <w:noProof/>
            <w:webHidden/>
            <w:sz w:val="20"/>
            <w:szCs w:val="20"/>
          </w:rPr>
          <w:t>25</w:t>
        </w:r>
        <w:r w:rsidR="00C753E2" w:rsidRPr="00C753E2">
          <w:rPr>
            <w:noProof/>
            <w:webHidden/>
            <w:sz w:val="20"/>
            <w:szCs w:val="20"/>
          </w:rPr>
          <w:fldChar w:fldCharType="end"/>
        </w:r>
      </w:hyperlink>
    </w:p>
    <w:p w:rsidR="00C753E2" w:rsidRPr="00C753E2" w:rsidRDefault="004D598F">
      <w:pPr>
        <w:pStyle w:val="TableofFigures"/>
        <w:tabs>
          <w:tab w:val="right" w:leader="dot" w:pos="9350"/>
        </w:tabs>
        <w:rPr>
          <w:rFonts w:asciiTheme="minorHAnsi" w:eastAsiaTheme="minorEastAsia" w:hAnsiTheme="minorHAnsi" w:cstheme="minorBidi"/>
          <w:noProof/>
          <w:sz w:val="20"/>
          <w:szCs w:val="20"/>
        </w:rPr>
      </w:pPr>
      <w:hyperlink w:anchor="_Toc384908041" w:history="1">
        <w:r w:rsidR="00C753E2" w:rsidRPr="00C753E2">
          <w:rPr>
            <w:rStyle w:val="Hyperlink"/>
            <w:noProof/>
            <w:sz w:val="20"/>
            <w:szCs w:val="20"/>
          </w:rPr>
          <w:t>FIGURE 5: REVENUE GENERATED FROM 5% FUEL LEVY</w:t>
        </w:r>
        <w:r w:rsidR="00C753E2" w:rsidRPr="00C753E2">
          <w:rPr>
            <w:noProof/>
            <w:webHidden/>
            <w:sz w:val="20"/>
            <w:szCs w:val="20"/>
          </w:rPr>
          <w:tab/>
        </w:r>
        <w:r w:rsidR="00C753E2" w:rsidRPr="00C753E2">
          <w:rPr>
            <w:noProof/>
            <w:webHidden/>
            <w:sz w:val="20"/>
            <w:szCs w:val="20"/>
          </w:rPr>
          <w:fldChar w:fldCharType="begin"/>
        </w:r>
        <w:r w:rsidR="00C753E2" w:rsidRPr="00C753E2">
          <w:rPr>
            <w:noProof/>
            <w:webHidden/>
            <w:sz w:val="20"/>
            <w:szCs w:val="20"/>
          </w:rPr>
          <w:instrText xml:space="preserve"> PAGEREF _Toc384908041 \h </w:instrText>
        </w:r>
        <w:r w:rsidR="00C753E2" w:rsidRPr="00C753E2">
          <w:rPr>
            <w:noProof/>
            <w:webHidden/>
            <w:sz w:val="20"/>
            <w:szCs w:val="20"/>
          </w:rPr>
        </w:r>
        <w:r w:rsidR="00C753E2" w:rsidRPr="00C753E2">
          <w:rPr>
            <w:noProof/>
            <w:webHidden/>
            <w:sz w:val="20"/>
            <w:szCs w:val="20"/>
          </w:rPr>
          <w:fldChar w:fldCharType="separate"/>
        </w:r>
        <w:r w:rsidR="00381BCB">
          <w:rPr>
            <w:noProof/>
            <w:webHidden/>
            <w:sz w:val="20"/>
            <w:szCs w:val="20"/>
          </w:rPr>
          <w:t>27</w:t>
        </w:r>
        <w:r w:rsidR="00C753E2" w:rsidRPr="00C753E2">
          <w:rPr>
            <w:noProof/>
            <w:webHidden/>
            <w:sz w:val="20"/>
            <w:szCs w:val="20"/>
          </w:rPr>
          <w:fldChar w:fldCharType="end"/>
        </w:r>
      </w:hyperlink>
    </w:p>
    <w:p w:rsidR="00C753E2" w:rsidRPr="00C753E2" w:rsidRDefault="004D598F">
      <w:pPr>
        <w:pStyle w:val="TableofFigures"/>
        <w:tabs>
          <w:tab w:val="right" w:leader="dot" w:pos="9350"/>
        </w:tabs>
        <w:rPr>
          <w:rFonts w:asciiTheme="minorHAnsi" w:eastAsiaTheme="minorEastAsia" w:hAnsiTheme="minorHAnsi" w:cstheme="minorBidi"/>
          <w:noProof/>
          <w:sz w:val="20"/>
          <w:szCs w:val="20"/>
        </w:rPr>
      </w:pPr>
      <w:hyperlink w:anchor="_Toc384908042" w:history="1">
        <w:r w:rsidR="00C753E2" w:rsidRPr="00C753E2">
          <w:rPr>
            <w:rStyle w:val="Hyperlink"/>
            <w:noProof/>
            <w:sz w:val="20"/>
            <w:szCs w:val="20"/>
          </w:rPr>
          <w:t>FIGURE 6: REVENUE GENERATED FROM TELECOMMUNICATION LEVY</w:t>
        </w:r>
        <w:r w:rsidR="00C753E2" w:rsidRPr="00C753E2">
          <w:rPr>
            <w:noProof/>
            <w:webHidden/>
            <w:sz w:val="20"/>
            <w:szCs w:val="20"/>
          </w:rPr>
          <w:tab/>
        </w:r>
        <w:r w:rsidR="00C753E2" w:rsidRPr="00C753E2">
          <w:rPr>
            <w:noProof/>
            <w:webHidden/>
            <w:sz w:val="20"/>
            <w:szCs w:val="20"/>
          </w:rPr>
          <w:fldChar w:fldCharType="begin"/>
        </w:r>
        <w:r w:rsidR="00C753E2" w:rsidRPr="00C753E2">
          <w:rPr>
            <w:noProof/>
            <w:webHidden/>
            <w:sz w:val="20"/>
            <w:szCs w:val="20"/>
          </w:rPr>
          <w:instrText xml:space="preserve"> PAGEREF _Toc384908042 \h </w:instrText>
        </w:r>
        <w:r w:rsidR="00C753E2" w:rsidRPr="00C753E2">
          <w:rPr>
            <w:noProof/>
            <w:webHidden/>
            <w:sz w:val="20"/>
            <w:szCs w:val="20"/>
          </w:rPr>
        </w:r>
        <w:r w:rsidR="00C753E2" w:rsidRPr="00C753E2">
          <w:rPr>
            <w:noProof/>
            <w:webHidden/>
            <w:sz w:val="20"/>
            <w:szCs w:val="20"/>
          </w:rPr>
          <w:fldChar w:fldCharType="separate"/>
        </w:r>
        <w:r w:rsidR="00381BCB">
          <w:rPr>
            <w:noProof/>
            <w:webHidden/>
            <w:sz w:val="20"/>
            <w:szCs w:val="20"/>
          </w:rPr>
          <w:t>33</w:t>
        </w:r>
        <w:r w:rsidR="00C753E2" w:rsidRPr="00C753E2">
          <w:rPr>
            <w:noProof/>
            <w:webHidden/>
            <w:sz w:val="20"/>
            <w:szCs w:val="20"/>
          </w:rPr>
          <w:fldChar w:fldCharType="end"/>
        </w:r>
      </w:hyperlink>
    </w:p>
    <w:p w:rsidR="00C753E2" w:rsidRDefault="004D598F">
      <w:pPr>
        <w:pStyle w:val="TableofFigures"/>
        <w:tabs>
          <w:tab w:val="right" w:leader="dot" w:pos="9350"/>
        </w:tabs>
        <w:rPr>
          <w:rFonts w:asciiTheme="minorHAnsi" w:eastAsiaTheme="minorEastAsia" w:hAnsiTheme="minorHAnsi" w:cstheme="minorBidi"/>
          <w:noProof/>
        </w:rPr>
      </w:pPr>
      <w:hyperlink w:anchor="_Toc384908043" w:history="1">
        <w:r w:rsidR="00C753E2" w:rsidRPr="00C753E2">
          <w:rPr>
            <w:rStyle w:val="Hyperlink"/>
            <w:noProof/>
            <w:sz w:val="20"/>
            <w:szCs w:val="20"/>
          </w:rPr>
          <w:t>FIGURE 7: PARALLEL SUPPLY CHAINS IN MALAWI</w:t>
        </w:r>
        <w:r w:rsidR="00C753E2" w:rsidRPr="00C753E2">
          <w:rPr>
            <w:noProof/>
            <w:webHidden/>
            <w:sz w:val="20"/>
            <w:szCs w:val="20"/>
          </w:rPr>
          <w:tab/>
        </w:r>
        <w:r w:rsidR="00C753E2" w:rsidRPr="00C753E2">
          <w:rPr>
            <w:noProof/>
            <w:webHidden/>
            <w:sz w:val="20"/>
            <w:szCs w:val="20"/>
          </w:rPr>
          <w:fldChar w:fldCharType="begin"/>
        </w:r>
        <w:r w:rsidR="00C753E2" w:rsidRPr="00C753E2">
          <w:rPr>
            <w:noProof/>
            <w:webHidden/>
            <w:sz w:val="20"/>
            <w:szCs w:val="20"/>
          </w:rPr>
          <w:instrText xml:space="preserve"> PAGEREF _Toc384908043 \h </w:instrText>
        </w:r>
        <w:r w:rsidR="00C753E2" w:rsidRPr="00C753E2">
          <w:rPr>
            <w:noProof/>
            <w:webHidden/>
            <w:sz w:val="20"/>
            <w:szCs w:val="20"/>
          </w:rPr>
        </w:r>
        <w:r w:rsidR="00C753E2" w:rsidRPr="00C753E2">
          <w:rPr>
            <w:noProof/>
            <w:webHidden/>
            <w:sz w:val="20"/>
            <w:szCs w:val="20"/>
          </w:rPr>
          <w:fldChar w:fldCharType="separate"/>
        </w:r>
        <w:r w:rsidR="00381BCB">
          <w:rPr>
            <w:noProof/>
            <w:webHidden/>
            <w:sz w:val="20"/>
            <w:szCs w:val="20"/>
          </w:rPr>
          <w:t>40</w:t>
        </w:r>
        <w:r w:rsidR="00C753E2" w:rsidRPr="00C753E2">
          <w:rPr>
            <w:noProof/>
            <w:webHidden/>
            <w:sz w:val="20"/>
            <w:szCs w:val="20"/>
          </w:rPr>
          <w:fldChar w:fldCharType="end"/>
        </w:r>
      </w:hyperlink>
    </w:p>
    <w:p w:rsidR="009322F2" w:rsidRDefault="009322F2">
      <w:pPr>
        <w:rPr>
          <w:rFonts w:ascii="Cambria" w:eastAsia="Times New Roman" w:hAnsi="Cambria"/>
          <w:b/>
          <w:bCs/>
          <w:color w:val="365F91"/>
          <w:sz w:val="36"/>
          <w:szCs w:val="28"/>
          <w:lang w:val="en-GB"/>
        </w:rPr>
      </w:pPr>
      <w:r>
        <w:rPr>
          <w:rFonts w:ascii="Cambria" w:eastAsia="Times New Roman" w:hAnsi="Cambria"/>
          <w:b/>
          <w:bCs/>
          <w:color w:val="365F91"/>
          <w:sz w:val="36"/>
          <w:szCs w:val="28"/>
          <w:lang w:val="en-GB"/>
        </w:rPr>
        <w:fldChar w:fldCharType="end"/>
      </w:r>
    </w:p>
    <w:p w:rsidR="009322F2" w:rsidRDefault="009322F2">
      <w:pPr>
        <w:rPr>
          <w:rFonts w:ascii="Cambria" w:eastAsia="Times New Roman" w:hAnsi="Cambria"/>
          <w:b/>
          <w:bCs/>
          <w:color w:val="365F91"/>
          <w:sz w:val="36"/>
          <w:szCs w:val="28"/>
          <w:lang w:val="en-GB"/>
        </w:rPr>
      </w:pPr>
    </w:p>
    <w:p w:rsidR="009322F2" w:rsidRDefault="009322F2">
      <w:pPr>
        <w:rPr>
          <w:rFonts w:ascii="Cambria" w:eastAsia="Times New Roman" w:hAnsi="Cambria"/>
          <w:b/>
          <w:bCs/>
          <w:color w:val="365F91"/>
          <w:sz w:val="36"/>
          <w:szCs w:val="28"/>
          <w:lang w:val="en-GB"/>
        </w:rPr>
      </w:pPr>
    </w:p>
    <w:p w:rsidR="009322F2" w:rsidRDefault="009322F2">
      <w:pPr>
        <w:rPr>
          <w:rFonts w:ascii="Cambria" w:eastAsia="Times New Roman" w:hAnsi="Cambria"/>
          <w:b/>
          <w:bCs/>
          <w:color w:val="365F91"/>
          <w:sz w:val="36"/>
          <w:szCs w:val="28"/>
          <w:lang w:val="en-GB"/>
        </w:rPr>
      </w:pPr>
    </w:p>
    <w:p w:rsidR="009322F2" w:rsidRDefault="009322F2">
      <w:pPr>
        <w:rPr>
          <w:rFonts w:ascii="Cambria" w:eastAsia="Times New Roman" w:hAnsi="Cambria"/>
          <w:b/>
          <w:bCs/>
          <w:color w:val="365F91"/>
          <w:sz w:val="36"/>
          <w:szCs w:val="28"/>
          <w:lang w:val="en-GB"/>
        </w:rPr>
      </w:pPr>
    </w:p>
    <w:p w:rsidR="009322F2" w:rsidRDefault="009322F2">
      <w:pPr>
        <w:rPr>
          <w:rFonts w:ascii="Cambria" w:eastAsia="Times New Roman" w:hAnsi="Cambria"/>
          <w:b/>
          <w:bCs/>
          <w:color w:val="365F91"/>
          <w:sz w:val="36"/>
          <w:szCs w:val="28"/>
          <w:lang w:val="en-GB"/>
        </w:rPr>
      </w:pPr>
    </w:p>
    <w:p w:rsidR="009322F2" w:rsidRDefault="009322F2">
      <w:pPr>
        <w:rPr>
          <w:rFonts w:ascii="Cambria" w:eastAsia="Times New Roman" w:hAnsi="Cambria"/>
          <w:b/>
          <w:bCs/>
          <w:color w:val="365F91"/>
          <w:sz w:val="36"/>
          <w:szCs w:val="28"/>
          <w:lang w:val="en-GB"/>
        </w:rPr>
      </w:pPr>
    </w:p>
    <w:p w:rsidR="009322F2" w:rsidRDefault="009322F2">
      <w:pPr>
        <w:rPr>
          <w:rFonts w:ascii="Cambria" w:eastAsia="Times New Roman" w:hAnsi="Cambria"/>
          <w:b/>
          <w:bCs/>
          <w:color w:val="365F91"/>
          <w:sz w:val="36"/>
          <w:szCs w:val="28"/>
          <w:lang w:val="en-GB"/>
        </w:rPr>
      </w:pPr>
    </w:p>
    <w:p w:rsidR="009322F2" w:rsidRDefault="009322F2">
      <w:pPr>
        <w:rPr>
          <w:rFonts w:ascii="Cambria" w:eastAsia="Times New Roman" w:hAnsi="Cambria"/>
          <w:b/>
          <w:bCs/>
          <w:color w:val="365F91"/>
          <w:sz w:val="36"/>
          <w:szCs w:val="28"/>
          <w:lang w:val="en-GB"/>
        </w:rPr>
      </w:pPr>
    </w:p>
    <w:p w:rsidR="009322F2" w:rsidRDefault="009322F2">
      <w:pPr>
        <w:rPr>
          <w:rFonts w:ascii="Cambria" w:eastAsia="Times New Roman" w:hAnsi="Cambria"/>
          <w:b/>
          <w:bCs/>
          <w:color w:val="365F91"/>
          <w:sz w:val="36"/>
          <w:szCs w:val="28"/>
          <w:lang w:val="en-GB"/>
        </w:rPr>
      </w:pPr>
    </w:p>
    <w:p w:rsidR="009322F2" w:rsidRDefault="009322F2">
      <w:pPr>
        <w:rPr>
          <w:rFonts w:ascii="Cambria" w:eastAsia="Times New Roman" w:hAnsi="Cambria"/>
          <w:b/>
          <w:bCs/>
          <w:color w:val="365F91"/>
          <w:sz w:val="36"/>
          <w:szCs w:val="28"/>
          <w:lang w:val="en-GB"/>
        </w:rPr>
      </w:pPr>
    </w:p>
    <w:p w:rsidR="009322F2" w:rsidRDefault="009322F2">
      <w:pPr>
        <w:rPr>
          <w:rFonts w:ascii="Cambria" w:eastAsia="Times New Roman" w:hAnsi="Cambria"/>
          <w:b/>
          <w:bCs/>
          <w:color w:val="365F91"/>
          <w:sz w:val="36"/>
          <w:szCs w:val="28"/>
          <w:lang w:val="en-GB"/>
        </w:rPr>
      </w:pPr>
    </w:p>
    <w:p w:rsidR="009322F2" w:rsidRDefault="009322F2">
      <w:pPr>
        <w:rPr>
          <w:rFonts w:ascii="Cambria" w:eastAsia="Times New Roman" w:hAnsi="Cambria"/>
          <w:b/>
          <w:bCs/>
          <w:color w:val="365F91"/>
          <w:sz w:val="36"/>
          <w:szCs w:val="28"/>
          <w:lang w:val="en-GB"/>
        </w:rPr>
      </w:pPr>
    </w:p>
    <w:p w:rsidR="009322F2" w:rsidRDefault="009322F2">
      <w:pPr>
        <w:rPr>
          <w:rFonts w:ascii="Cambria" w:eastAsia="Times New Roman" w:hAnsi="Cambria"/>
          <w:b/>
          <w:bCs/>
          <w:color w:val="365F91"/>
          <w:sz w:val="36"/>
          <w:szCs w:val="28"/>
          <w:lang w:val="en-GB"/>
        </w:rPr>
      </w:pPr>
    </w:p>
    <w:p w:rsidR="00D579B3" w:rsidRPr="00EB435F" w:rsidRDefault="00D579B3" w:rsidP="00AA5468">
      <w:pPr>
        <w:pStyle w:val="HeadingO"/>
      </w:pPr>
      <w:bookmarkStart w:id="5" w:name="_Toc358819107"/>
      <w:bookmarkStart w:id="6" w:name="_Toc363225852"/>
      <w:bookmarkStart w:id="7" w:name="_Toc384911942"/>
      <w:bookmarkStart w:id="8" w:name="_Toc354005614"/>
      <w:r w:rsidRPr="00EB435F">
        <w:lastRenderedPageBreak/>
        <w:t>Acronyms</w:t>
      </w:r>
      <w:bookmarkEnd w:id="5"/>
      <w:bookmarkEnd w:id="6"/>
      <w:bookmarkEnd w:id="7"/>
    </w:p>
    <w:p w:rsidR="00BC2308" w:rsidRDefault="00BC2308" w:rsidP="00D579B3">
      <w:pPr>
        <w:rPr>
          <w:lang w:val="en-GB"/>
        </w:rPr>
      </w:pPr>
      <w:r>
        <w:rPr>
          <w:lang w:val="en-GB"/>
        </w:rPr>
        <w:t>AIP</w:t>
      </w:r>
      <w:r>
        <w:rPr>
          <w:lang w:val="en-GB"/>
        </w:rPr>
        <w:tab/>
      </w:r>
      <w:r>
        <w:rPr>
          <w:lang w:val="en-GB"/>
        </w:rPr>
        <w:tab/>
        <w:t>Annual Implementation Plan</w:t>
      </w:r>
    </w:p>
    <w:p w:rsidR="00D579B3" w:rsidRPr="00EB435F" w:rsidRDefault="00D579B3" w:rsidP="00D579B3">
      <w:pPr>
        <w:rPr>
          <w:lang w:val="en-GB"/>
        </w:rPr>
      </w:pPr>
      <w:r w:rsidRPr="00EB435F">
        <w:rPr>
          <w:lang w:val="en-GB"/>
        </w:rPr>
        <w:t>ART</w:t>
      </w:r>
      <w:r w:rsidRPr="00EB435F">
        <w:rPr>
          <w:lang w:val="en-GB"/>
        </w:rPr>
        <w:tab/>
      </w:r>
      <w:r w:rsidRPr="00EB435F">
        <w:rPr>
          <w:lang w:val="en-GB"/>
        </w:rPr>
        <w:tab/>
        <w:t>Antiretroviral Therapy</w:t>
      </w:r>
    </w:p>
    <w:p w:rsidR="00D579B3" w:rsidRPr="00EB435F" w:rsidRDefault="00231C00" w:rsidP="00D579B3">
      <w:pPr>
        <w:rPr>
          <w:lang w:val="en-GB"/>
        </w:rPr>
      </w:pPr>
      <w:r>
        <w:rPr>
          <w:lang w:val="en-GB"/>
        </w:rPr>
        <w:t>ARV</w:t>
      </w:r>
      <w:r>
        <w:rPr>
          <w:lang w:val="en-GB"/>
        </w:rPr>
        <w:tab/>
      </w:r>
      <w:r>
        <w:rPr>
          <w:lang w:val="en-GB"/>
        </w:rPr>
        <w:tab/>
        <w:t>Antiretroviral (D</w:t>
      </w:r>
      <w:r w:rsidR="00D579B3" w:rsidRPr="00EB435F">
        <w:rPr>
          <w:lang w:val="en-GB"/>
        </w:rPr>
        <w:t xml:space="preserve">rug) </w:t>
      </w:r>
    </w:p>
    <w:p w:rsidR="00D579B3" w:rsidRDefault="00D579B3" w:rsidP="00D579B3">
      <w:pPr>
        <w:rPr>
          <w:lang w:val="en-GB"/>
        </w:rPr>
      </w:pPr>
      <w:r w:rsidRPr="00EB435F">
        <w:rPr>
          <w:lang w:val="en-GB"/>
        </w:rPr>
        <w:t>CHAM</w:t>
      </w:r>
      <w:r w:rsidRPr="00EB435F">
        <w:rPr>
          <w:lang w:val="en-GB"/>
        </w:rPr>
        <w:tab/>
      </w:r>
      <w:r w:rsidRPr="00EB435F">
        <w:rPr>
          <w:lang w:val="en-GB"/>
        </w:rPr>
        <w:tab/>
        <w:t xml:space="preserve">Christian Health Association of Malawi </w:t>
      </w:r>
    </w:p>
    <w:p w:rsidR="00BC2308" w:rsidRPr="00EB435F" w:rsidRDefault="00BC2308" w:rsidP="00D579B3">
      <w:pPr>
        <w:rPr>
          <w:lang w:val="en-GB"/>
        </w:rPr>
      </w:pPr>
      <w:r>
        <w:rPr>
          <w:lang w:val="en-GB"/>
        </w:rPr>
        <w:t>CHIP</w:t>
      </w:r>
      <w:r>
        <w:rPr>
          <w:lang w:val="en-GB"/>
        </w:rPr>
        <w:tab/>
      </w:r>
      <w:r>
        <w:rPr>
          <w:lang w:val="en-GB"/>
        </w:rPr>
        <w:tab/>
        <w:t>Central Hospital Implementation Plan</w:t>
      </w:r>
    </w:p>
    <w:p w:rsidR="00D579B3" w:rsidRPr="00EB435F" w:rsidRDefault="00D579B3" w:rsidP="00D579B3">
      <w:pPr>
        <w:rPr>
          <w:lang w:val="en-GB"/>
        </w:rPr>
      </w:pPr>
      <w:r w:rsidRPr="00EB435F">
        <w:rPr>
          <w:lang w:val="en-GB"/>
        </w:rPr>
        <w:t>CMST</w:t>
      </w:r>
      <w:r w:rsidRPr="00EB435F">
        <w:rPr>
          <w:lang w:val="en-GB"/>
        </w:rPr>
        <w:tab/>
      </w:r>
      <w:r w:rsidRPr="00EB435F">
        <w:rPr>
          <w:lang w:val="en-GB"/>
        </w:rPr>
        <w:tab/>
        <w:t>Central Medical Stores Trust</w:t>
      </w:r>
    </w:p>
    <w:p w:rsidR="00D579B3" w:rsidRPr="00EB435F" w:rsidRDefault="00D579B3" w:rsidP="00D579B3">
      <w:pPr>
        <w:rPr>
          <w:lang w:val="en-GB"/>
        </w:rPr>
      </w:pPr>
      <w:r w:rsidRPr="00EB435F">
        <w:rPr>
          <w:lang w:val="en-GB"/>
        </w:rPr>
        <w:t>COMESA</w:t>
      </w:r>
      <w:r w:rsidRPr="00EB435F">
        <w:rPr>
          <w:lang w:val="en-GB"/>
        </w:rPr>
        <w:tab/>
        <w:t>Common Market for Eastern and Southern Africa</w:t>
      </w:r>
    </w:p>
    <w:p w:rsidR="00D579B3" w:rsidRPr="00EB435F" w:rsidRDefault="00D579B3" w:rsidP="00D579B3">
      <w:pPr>
        <w:rPr>
          <w:lang w:val="en-GB"/>
        </w:rPr>
      </w:pPr>
      <w:r w:rsidRPr="00EB435F">
        <w:rPr>
          <w:lang w:val="en-GB"/>
        </w:rPr>
        <w:t>CSR</w:t>
      </w:r>
      <w:r w:rsidRPr="00EB435F">
        <w:rPr>
          <w:lang w:val="en-GB"/>
        </w:rPr>
        <w:tab/>
      </w:r>
      <w:r w:rsidRPr="00EB435F">
        <w:rPr>
          <w:lang w:val="en-GB"/>
        </w:rPr>
        <w:tab/>
        <w:t>Corporate Social Responsibility</w:t>
      </w:r>
    </w:p>
    <w:p w:rsidR="00D579B3" w:rsidRPr="00EB435F" w:rsidRDefault="00D579B3" w:rsidP="00D579B3">
      <w:pPr>
        <w:rPr>
          <w:lang w:val="en-GB"/>
        </w:rPr>
      </w:pPr>
      <w:r w:rsidRPr="00EB435F">
        <w:rPr>
          <w:lang w:val="en-GB"/>
        </w:rPr>
        <w:t>DFF</w:t>
      </w:r>
      <w:r w:rsidRPr="00EB435F">
        <w:rPr>
          <w:lang w:val="en-GB"/>
        </w:rPr>
        <w:tab/>
      </w:r>
      <w:r w:rsidRPr="00EB435F">
        <w:rPr>
          <w:lang w:val="en-GB"/>
        </w:rPr>
        <w:tab/>
        <w:t>District Facility Funding</w:t>
      </w:r>
    </w:p>
    <w:p w:rsidR="00D579B3" w:rsidRPr="00EB435F" w:rsidRDefault="00D579B3" w:rsidP="00D579B3">
      <w:pPr>
        <w:rPr>
          <w:lang w:val="en-GB"/>
        </w:rPr>
      </w:pPr>
      <w:r w:rsidRPr="00EB435F">
        <w:rPr>
          <w:lang w:val="en-GB"/>
        </w:rPr>
        <w:t>DHMT</w:t>
      </w:r>
      <w:r w:rsidRPr="00EB435F">
        <w:rPr>
          <w:lang w:val="en-GB"/>
        </w:rPr>
        <w:tab/>
      </w:r>
      <w:r w:rsidRPr="00EB435F">
        <w:rPr>
          <w:lang w:val="en-GB"/>
        </w:rPr>
        <w:tab/>
        <w:t>District Health Management Team</w:t>
      </w:r>
    </w:p>
    <w:p w:rsidR="00D579B3" w:rsidRPr="00EB435F" w:rsidRDefault="00D579B3" w:rsidP="00D579B3">
      <w:pPr>
        <w:rPr>
          <w:lang w:val="en-GB"/>
        </w:rPr>
      </w:pPr>
      <w:r w:rsidRPr="00EB435F">
        <w:rPr>
          <w:lang w:val="en-GB"/>
        </w:rPr>
        <w:t>DIP</w:t>
      </w:r>
      <w:r w:rsidRPr="00EB435F">
        <w:rPr>
          <w:lang w:val="en-GB"/>
        </w:rPr>
        <w:tab/>
      </w:r>
      <w:r w:rsidRPr="00EB435F">
        <w:rPr>
          <w:lang w:val="en-GB"/>
        </w:rPr>
        <w:tab/>
        <w:t>District Implementation Plan</w:t>
      </w:r>
    </w:p>
    <w:p w:rsidR="00D579B3" w:rsidRPr="00EB435F" w:rsidRDefault="00D579B3" w:rsidP="00D579B3">
      <w:pPr>
        <w:rPr>
          <w:lang w:val="en-GB"/>
        </w:rPr>
      </w:pPr>
      <w:r w:rsidRPr="00EB435F">
        <w:rPr>
          <w:lang w:val="en-GB"/>
        </w:rPr>
        <w:t>EHP</w:t>
      </w:r>
      <w:r w:rsidRPr="00EB435F">
        <w:rPr>
          <w:lang w:val="en-GB"/>
        </w:rPr>
        <w:tab/>
      </w:r>
      <w:r w:rsidRPr="00EB435F">
        <w:rPr>
          <w:lang w:val="en-GB"/>
        </w:rPr>
        <w:tab/>
        <w:t xml:space="preserve">Essential Health Package </w:t>
      </w:r>
    </w:p>
    <w:p w:rsidR="00D579B3" w:rsidRPr="00EB435F" w:rsidRDefault="00D579B3" w:rsidP="00D579B3">
      <w:pPr>
        <w:rPr>
          <w:lang w:val="en-GB"/>
        </w:rPr>
      </w:pPr>
      <w:r w:rsidRPr="00EB435F">
        <w:rPr>
          <w:lang w:val="en-GB"/>
        </w:rPr>
        <w:t>EHRP</w:t>
      </w:r>
      <w:r w:rsidRPr="00EB435F">
        <w:rPr>
          <w:lang w:val="en-GB"/>
        </w:rPr>
        <w:tab/>
      </w:r>
      <w:r w:rsidRPr="00EB435F">
        <w:rPr>
          <w:lang w:val="en-GB"/>
        </w:rPr>
        <w:tab/>
        <w:t xml:space="preserve">Emergency Human Resource Plan </w:t>
      </w:r>
    </w:p>
    <w:p w:rsidR="00D579B3" w:rsidRPr="00EB435F" w:rsidRDefault="00D579B3" w:rsidP="00D579B3">
      <w:pPr>
        <w:rPr>
          <w:lang w:val="en-GB"/>
        </w:rPr>
      </w:pPr>
      <w:r w:rsidRPr="00EB435F">
        <w:rPr>
          <w:lang w:val="en-GB"/>
        </w:rPr>
        <w:t>HSSP</w:t>
      </w:r>
      <w:r w:rsidRPr="00EB435F">
        <w:rPr>
          <w:lang w:val="en-GB"/>
        </w:rPr>
        <w:tab/>
      </w:r>
      <w:r w:rsidRPr="00EB435F">
        <w:rPr>
          <w:lang w:val="en-GB"/>
        </w:rPr>
        <w:tab/>
      </w:r>
      <w:r w:rsidRPr="00EB435F">
        <w:rPr>
          <w:rFonts w:eastAsia="Times New Roman" w:cs="Calibri"/>
          <w:lang w:val="en-GB" w:eastAsia="en-GB"/>
        </w:rPr>
        <w:t>Health Sector Strategic Plan</w:t>
      </w:r>
    </w:p>
    <w:p w:rsidR="00D579B3" w:rsidRPr="00EB435F" w:rsidRDefault="00D579B3" w:rsidP="00D579B3">
      <w:pPr>
        <w:rPr>
          <w:lang w:val="en-GB"/>
        </w:rPr>
      </w:pPr>
      <w:r w:rsidRPr="00EB435F">
        <w:rPr>
          <w:lang w:val="en-GB"/>
        </w:rPr>
        <w:t>M&amp;E</w:t>
      </w:r>
      <w:r w:rsidRPr="00EB435F">
        <w:rPr>
          <w:lang w:val="en-GB"/>
        </w:rPr>
        <w:tab/>
      </w:r>
      <w:r w:rsidRPr="00EB435F">
        <w:rPr>
          <w:lang w:val="en-GB"/>
        </w:rPr>
        <w:tab/>
        <w:t>Monitoring and Evaluation</w:t>
      </w:r>
    </w:p>
    <w:p w:rsidR="00D579B3" w:rsidRPr="00EB435F" w:rsidRDefault="00D579B3" w:rsidP="00D579B3">
      <w:pPr>
        <w:rPr>
          <w:lang w:val="en-GB"/>
        </w:rPr>
      </w:pPr>
      <w:r w:rsidRPr="00EB435F">
        <w:rPr>
          <w:lang w:val="en-GB"/>
        </w:rPr>
        <w:t>MOF</w:t>
      </w:r>
      <w:r w:rsidRPr="00EB435F">
        <w:rPr>
          <w:lang w:val="en-GB"/>
        </w:rPr>
        <w:tab/>
      </w:r>
      <w:r w:rsidRPr="00EB435F">
        <w:rPr>
          <w:lang w:val="en-GB"/>
        </w:rPr>
        <w:tab/>
        <w:t>Ministry of Finance</w:t>
      </w:r>
    </w:p>
    <w:p w:rsidR="00D579B3" w:rsidRPr="00EB435F" w:rsidRDefault="00D579B3" w:rsidP="00D579B3">
      <w:pPr>
        <w:rPr>
          <w:lang w:val="en-GB"/>
        </w:rPr>
      </w:pPr>
      <w:r w:rsidRPr="00EB435F">
        <w:rPr>
          <w:lang w:val="en-GB"/>
        </w:rPr>
        <w:t>M</w:t>
      </w:r>
      <w:r w:rsidR="00766023" w:rsidRPr="00EB435F">
        <w:rPr>
          <w:lang w:val="en-GB"/>
        </w:rPr>
        <w:t>o</w:t>
      </w:r>
      <w:r w:rsidRPr="00EB435F">
        <w:rPr>
          <w:lang w:val="en-GB"/>
        </w:rPr>
        <w:t>H</w:t>
      </w:r>
      <w:r w:rsidRPr="00EB435F">
        <w:rPr>
          <w:lang w:val="en-GB"/>
        </w:rPr>
        <w:tab/>
      </w:r>
      <w:r w:rsidRPr="00EB435F">
        <w:rPr>
          <w:lang w:val="en-GB"/>
        </w:rPr>
        <w:tab/>
        <w:t>Ministry of Health</w:t>
      </w:r>
    </w:p>
    <w:p w:rsidR="00D579B3" w:rsidRDefault="00D579B3" w:rsidP="00D579B3">
      <w:pPr>
        <w:rPr>
          <w:lang w:val="en-GB"/>
        </w:rPr>
      </w:pPr>
      <w:r w:rsidRPr="00EB435F">
        <w:rPr>
          <w:lang w:val="en-GB"/>
        </w:rPr>
        <w:t>NHA</w:t>
      </w:r>
      <w:r w:rsidRPr="00EB435F">
        <w:rPr>
          <w:lang w:val="en-GB"/>
        </w:rPr>
        <w:tab/>
      </w:r>
      <w:r w:rsidRPr="00EB435F">
        <w:rPr>
          <w:lang w:val="en-GB"/>
        </w:rPr>
        <w:tab/>
        <w:t>National Health Accounts</w:t>
      </w:r>
    </w:p>
    <w:p w:rsidR="004D60A4" w:rsidRPr="00EB435F" w:rsidRDefault="004D60A4" w:rsidP="00D579B3">
      <w:pPr>
        <w:rPr>
          <w:lang w:val="en-GB"/>
        </w:rPr>
      </w:pPr>
      <w:r>
        <w:rPr>
          <w:lang w:val="en-GB"/>
        </w:rPr>
        <w:t>OOP</w:t>
      </w:r>
      <w:r>
        <w:rPr>
          <w:lang w:val="en-GB"/>
        </w:rPr>
        <w:tab/>
      </w:r>
      <w:r>
        <w:rPr>
          <w:lang w:val="en-GB"/>
        </w:rPr>
        <w:tab/>
        <w:t>Out of Pocket</w:t>
      </w:r>
    </w:p>
    <w:p w:rsidR="00D579B3" w:rsidRPr="00EB435F" w:rsidRDefault="00D579B3" w:rsidP="00D579B3">
      <w:pPr>
        <w:rPr>
          <w:lang w:val="en-GB"/>
        </w:rPr>
      </w:pPr>
      <w:r w:rsidRPr="00EB435F">
        <w:rPr>
          <w:lang w:val="en-GB"/>
        </w:rPr>
        <w:t>PBF</w:t>
      </w:r>
      <w:r w:rsidRPr="00EB435F">
        <w:rPr>
          <w:lang w:val="en-GB"/>
        </w:rPr>
        <w:tab/>
      </w:r>
      <w:r w:rsidRPr="00EB435F">
        <w:rPr>
          <w:lang w:val="en-GB"/>
        </w:rPr>
        <w:tab/>
        <w:t>Performance-Based Financing</w:t>
      </w:r>
    </w:p>
    <w:p w:rsidR="00D579B3" w:rsidRPr="00EB435F" w:rsidRDefault="00D579B3" w:rsidP="00D579B3">
      <w:pPr>
        <w:rPr>
          <w:lang w:val="en-GB"/>
        </w:rPr>
      </w:pPr>
      <w:r w:rsidRPr="00EB435F">
        <w:rPr>
          <w:lang w:val="en-GB"/>
        </w:rPr>
        <w:t>PSM</w:t>
      </w:r>
      <w:r w:rsidRPr="00EB435F">
        <w:rPr>
          <w:lang w:val="en-GB"/>
        </w:rPr>
        <w:tab/>
      </w:r>
      <w:r w:rsidRPr="00EB435F">
        <w:rPr>
          <w:lang w:val="en-GB"/>
        </w:rPr>
        <w:tab/>
        <w:t xml:space="preserve">Procurement and Supply Management </w:t>
      </w:r>
    </w:p>
    <w:p w:rsidR="00D579B3" w:rsidRPr="00EB435F" w:rsidRDefault="00D579B3" w:rsidP="00D579B3">
      <w:pPr>
        <w:rPr>
          <w:lang w:val="en-GB"/>
        </w:rPr>
      </w:pPr>
      <w:r w:rsidRPr="00EB435F">
        <w:rPr>
          <w:lang w:val="en-GB"/>
        </w:rPr>
        <w:t>SADC</w:t>
      </w:r>
      <w:r w:rsidRPr="00EB435F">
        <w:rPr>
          <w:lang w:val="en-GB"/>
        </w:rPr>
        <w:tab/>
      </w:r>
      <w:r w:rsidRPr="00EB435F">
        <w:rPr>
          <w:lang w:val="en-GB"/>
        </w:rPr>
        <w:tab/>
        <w:t>Southern African Development Community</w:t>
      </w:r>
    </w:p>
    <w:p w:rsidR="00D579B3" w:rsidRPr="00EB435F" w:rsidRDefault="00D579B3" w:rsidP="00D579B3">
      <w:pPr>
        <w:rPr>
          <w:lang w:val="en-GB"/>
        </w:rPr>
      </w:pPr>
      <w:r w:rsidRPr="00EB435F">
        <w:rPr>
          <w:lang w:val="en-GB"/>
        </w:rPr>
        <w:t>SHI</w:t>
      </w:r>
      <w:r w:rsidRPr="00EB435F">
        <w:rPr>
          <w:lang w:val="en-GB"/>
        </w:rPr>
        <w:tab/>
      </w:r>
      <w:r w:rsidRPr="00EB435F">
        <w:rPr>
          <w:lang w:val="en-GB"/>
        </w:rPr>
        <w:tab/>
        <w:t>Social Health Insurance</w:t>
      </w:r>
    </w:p>
    <w:p w:rsidR="00D579B3" w:rsidRPr="00EB435F" w:rsidRDefault="00D579B3" w:rsidP="00D579B3">
      <w:pPr>
        <w:rPr>
          <w:lang w:val="en-GB"/>
        </w:rPr>
      </w:pPr>
      <w:r w:rsidRPr="00EB435F">
        <w:rPr>
          <w:lang w:val="en-GB"/>
        </w:rPr>
        <w:t>SWAp</w:t>
      </w:r>
      <w:r w:rsidRPr="00EB435F">
        <w:rPr>
          <w:lang w:val="en-GB"/>
        </w:rPr>
        <w:tab/>
      </w:r>
      <w:r w:rsidRPr="00EB435F">
        <w:rPr>
          <w:lang w:val="en-GB"/>
        </w:rPr>
        <w:tab/>
        <w:t>Sector</w:t>
      </w:r>
      <w:r w:rsidR="00107F00">
        <w:rPr>
          <w:lang w:val="en-GB"/>
        </w:rPr>
        <w:t>-</w:t>
      </w:r>
      <w:r w:rsidRPr="00EB435F">
        <w:rPr>
          <w:lang w:val="en-GB"/>
        </w:rPr>
        <w:t>wide Approach</w:t>
      </w:r>
    </w:p>
    <w:p w:rsidR="00D579B3" w:rsidRPr="00EB435F" w:rsidRDefault="00D579B3" w:rsidP="00D579B3">
      <w:pPr>
        <w:rPr>
          <w:lang w:val="en-GB"/>
        </w:rPr>
      </w:pPr>
      <w:r w:rsidRPr="00EB435F">
        <w:rPr>
          <w:lang w:val="en-GB"/>
        </w:rPr>
        <w:lastRenderedPageBreak/>
        <w:t>USAID</w:t>
      </w:r>
      <w:r w:rsidRPr="00EB435F">
        <w:rPr>
          <w:lang w:val="en-GB"/>
        </w:rPr>
        <w:tab/>
      </w:r>
      <w:r w:rsidRPr="00EB435F">
        <w:rPr>
          <w:lang w:val="en-GB"/>
        </w:rPr>
        <w:tab/>
        <w:t>United States Agency for International Development</w:t>
      </w:r>
    </w:p>
    <w:p w:rsidR="00BC2308" w:rsidRDefault="00D579B3" w:rsidP="00D579B3">
      <w:pPr>
        <w:rPr>
          <w:lang w:val="en-GB"/>
        </w:rPr>
      </w:pPr>
      <w:r w:rsidRPr="00EB435F">
        <w:rPr>
          <w:lang w:val="en-GB"/>
        </w:rPr>
        <w:t>VAT</w:t>
      </w:r>
      <w:r w:rsidRPr="00EB435F">
        <w:rPr>
          <w:lang w:val="en-GB"/>
        </w:rPr>
        <w:tab/>
      </w:r>
      <w:r w:rsidRPr="00EB435F">
        <w:rPr>
          <w:lang w:val="en-GB"/>
        </w:rPr>
        <w:tab/>
        <w:t>Value-added Tax</w:t>
      </w:r>
    </w:p>
    <w:p w:rsidR="003C3A8F" w:rsidRDefault="003C3A8F" w:rsidP="00D579B3">
      <w:pPr>
        <w:rPr>
          <w:lang w:val="en-GB"/>
        </w:rPr>
      </w:pPr>
      <w:r>
        <w:rPr>
          <w:lang w:val="en-GB"/>
        </w:rPr>
        <w:t>WHO                    World Health Organization</w:t>
      </w:r>
    </w:p>
    <w:p w:rsidR="00DE71A1" w:rsidRDefault="00BC2308" w:rsidP="00D579B3">
      <w:pPr>
        <w:rPr>
          <w:lang w:val="en-GB"/>
        </w:rPr>
      </w:pPr>
      <w:r>
        <w:rPr>
          <w:lang w:val="en-GB"/>
        </w:rPr>
        <w:t>ZIP</w:t>
      </w:r>
      <w:r>
        <w:rPr>
          <w:lang w:val="en-GB"/>
        </w:rPr>
        <w:tab/>
      </w:r>
      <w:r>
        <w:rPr>
          <w:lang w:val="en-GB"/>
        </w:rPr>
        <w:tab/>
        <w:t>Zonal Implementation Plan</w:t>
      </w:r>
    </w:p>
    <w:p w:rsidR="00DE71A1" w:rsidRDefault="00DE71A1" w:rsidP="00D579B3">
      <w:pPr>
        <w:rPr>
          <w:lang w:val="en-GB"/>
        </w:rPr>
      </w:pPr>
    </w:p>
    <w:p w:rsidR="00D579B3" w:rsidRDefault="00D579B3" w:rsidP="00D579B3">
      <w:pPr>
        <w:rPr>
          <w:lang w:val="en-GB"/>
        </w:rPr>
      </w:pPr>
    </w:p>
    <w:p w:rsidR="00DE71A1" w:rsidRDefault="00DE71A1" w:rsidP="00D579B3">
      <w:pPr>
        <w:rPr>
          <w:lang w:val="en-GB"/>
        </w:rPr>
      </w:pPr>
    </w:p>
    <w:p w:rsidR="00DE71A1" w:rsidRDefault="00DE71A1" w:rsidP="00D579B3">
      <w:pPr>
        <w:rPr>
          <w:lang w:val="en-GB"/>
        </w:rPr>
      </w:pPr>
    </w:p>
    <w:p w:rsidR="00DE71A1" w:rsidRDefault="00DE71A1" w:rsidP="00D579B3">
      <w:pPr>
        <w:rPr>
          <w:lang w:val="en-GB"/>
        </w:rPr>
      </w:pPr>
    </w:p>
    <w:p w:rsidR="00DE71A1" w:rsidRDefault="00DE71A1" w:rsidP="00D579B3">
      <w:pPr>
        <w:rPr>
          <w:lang w:val="en-GB"/>
        </w:rPr>
      </w:pPr>
    </w:p>
    <w:p w:rsidR="00DE71A1" w:rsidRDefault="00DE71A1" w:rsidP="00D579B3">
      <w:pPr>
        <w:rPr>
          <w:lang w:val="en-GB"/>
        </w:rPr>
      </w:pPr>
    </w:p>
    <w:p w:rsidR="00DE71A1" w:rsidRDefault="00DE71A1" w:rsidP="00D579B3">
      <w:pPr>
        <w:rPr>
          <w:lang w:val="en-GB"/>
        </w:rPr>
      </w:pPr>
    </w:p>
    <w:p w:rsidR="00DE71A1" w:rsidRDefault="00DE71A1" w:rsidP="00D579B3">
      <w:pPr>
        <w:rPr>
          <w:lang w:val="en-GB"/>
        </w:rPr>
      </w:pPr>
    </w:p>
    <w:p w:rsidR="00DE71A1" w:rsidRDefault="00DE71A1" w:rsidP="00D579B3">
      <w:pPr>
        <w:rPr>
          <w:lang w:val="en-GB"/>
        </w:rPr>
      </w:pPr>
    </w:p>
    <w:p w:rsidR="00DE71A1" w:rsidRDefault="00DE71A1" w:rsidP="00D579B3">
      <w:pPr>
        <w:rPr>
          <w:lang w:val="en-GB"/>
        </w:rPr>
      </w:pPr>
    </w:p>
    <w:p w:rsidR="00DE71A1" w:rsidRDefault="00DE71A1" w:rsidP="00D579B3">
      <w:pPr>
        <w:rPr>
          <w:lang w:val="en-GB"/>
        </w:rPr>
      </w:pPr>
    </w:p>
    <w:p w:rsidR="00DE71A1" w:rsidRDefault="00DE71A1" w:rsidP="00D579B3">
      <w:pPr>
        <w:rPr>
          <w:lang w:val="en-GB"/>
        </w:rPr>
      </w:pPr>
    </w:p>
    <w:p w:rsidR="00DE71A1" w:rsidRDefault="00DE71A1" w:rsidP="00D579B3">
      <w:pPr>
        <w:rPr>
          <w:lang w:val="en-GB"/>
        </w:rPr>
      </w:pPr>
    </w:p>
    <w:p w:rsidR="00DE71A1" w:rsidRDefault="00DE71A1" w:rsidP="00D579B3">
      <w:pPr>
        <w:rPr>
          <w:lang w:val="en-GB"/>
        </w:rPr>
      </w:pPr>
    </w:p>
    <w:p w:rsidR="00DE71A1" w:rsidRDefault="00DE71A1" w:rsidP="00D579B3">
      <w:pPr>
        <w:rPr>
          <w:lang w:val="en-GB"/>
        </w:rPr>
      </w:pPr>
    </w:p>
    <w:p w:rsidR="00DE71A1" w:rsidRDefault="00DE71A1" w:rsidP="00D579B3">
      <w:pPr>
        <w:rPr>
          <w:lang w:val="en-GB"/>
        </w:rPr>
      </w:pPr>
    </w:p>
    <w:p w:rsidR="00DE71A1" w:rsidRDefault="00DE71A1" w:rsidP="00D579B3">
      <w:pPr>
        <w:rPr>
          <w:lang w:val="en-GB"/>
        </w:rPr>
      </w:pPr>
    </w:p>
    <w:p w:rsidR="00DE71A1" w:rsidRDefault="00DE71A1" w:rsidP="00D579B3">
      <w:pPr>
        <w:rPr>
          <w:lang w:val="en-GB"/>
        </w:rPr>
      </w:pPr>
    </w:p>
    <w:p w:rsidR="00DE71A1" w:rsidRPr="00EB435F" w:rsidRDefault="00DE71A1" w:rsidP="00D579B3">
      <w:pPr>
        <w:rPr>
          <w:rFonts w:eastAsia="Times New Roman"/>
          <w:b/>
          <w:bCs/>
          <w:color w:val="365F91"/>
          <w:sz w:val="36"/>
          <w:szCs w:val="28"/>
          <w:lang w:val="en-GB"/>
        </w:rPr>
      </w:pPr>
    </w:p>
    <w:p w:rsidR="00D579B3" w:rsidRPr="00D579B3" w:rsidRDefault="00D579B3" w:rsidP="00AA5468">
      <w:pPr>
        <w:pStyle w:val="HeadingO"/>
      </w:pPr>
      <w:bookmarkStart w:id="9" w:name="_Toc363225853"/>
      <w:bookmarkStart w:id="10" w:name="_Toc384911943"/>
      <w:r w:rsidRPr="00D579B3">
        <w:lastRenderedPageBreak/>
        <w:t>ACKNOWLEDGEMENTS</w:t>
      </w:r>
      <w:bookmarkEnd w:id="9"/>
      <w:bookmarkEnd w:id="10"/>
    </w:p>
    <w:p w:rsidR="00D579B3" w:rsidRDefault="00D579B3" w:rsidP="00D84F5C">
      <w:pPr>
        <w:jc w:val="both"/>
      </w:pPr>
      <w:r>
        <w:t xml:space="preserve">The Malawi </w:t>
      </w:r>
      <w:r w:rsidR="00C77388">
        <w:t>Health Financing Strategy</w:t>
      </w:r>
      <w:r>
        <w:t xml:space="preserve"> was strengthened by the concerted efforts and support from several cooperating partners and individuals. Since they are too many to list individually, the Ministry of Health would like to acknowledge and highly commend their invaluable input to the various drafts of this work.</w:t>
      </w:r>
    </w:p>
    <w:p w:rsidR="00EE1B26" w:rsidRDefault="00EE1B26" w:rsidP="00EE1B26">
      <w:pPr>
        <w:spacing w:after="0" w:line="240" w:lineRule="auto"/>
        <w:contextualSpacing/>
        <w:jc w:val="both"/>
      </w:pPr>
    </w:p>
    <w:p w:rsidR="00D579B3" w:rsidRDefault="00D579B3" w:rsidP="00D84F5C">
      <w:pPr>
        <w:jc w:val="both"/>
      </w:pPr>
      <w:r>
        <w:t>The Ministry of Health extends great appreciation for the technical and financial support provided to implement this exercise by the United States Agency for International Development (USAID), through the Support for Service Delivery Integration – Systems (SSDI-Systems) Program, and by the Clinton Health Access Initiative (CHAI). Further, the Ministry would like to thank the members of the Finance Management and Procurement Technical Working Group and its Health Financing Task Force for reviewing drafts and providing guidance throughout the process of this exercise.</w:t>
      </w:r>
    </w:p>
    <w:p w:rsidR="00EE1B26" w:rsidRDefault="00EE1B26" w:rsidP="00EE1B26">
      <w:pPr>
        <w:spacing w:after="0" w:line="240" w:lineRule="auto"/>
        <w:contextualSpacing/>
        <w:jc w:val="both"/>
      </w:pPr>
    </w:p>
    <w:p w:rsidR="00D579B3" w:rsidRDefault="00D579B3" w:rsidP="00D84F5C">
      <w:pPr>
        <w:jc w:val="both"/>
      </w:pPr>
      <w:r>
        <w:t xml:space="preserve">The Ministry of Health would also like to recognize with gratitude all the members of the </w:t>
      </w:r>
      <w:r w:rsidR="00C77388">
        <w:t>Health Financing Strategy</w:t>
      </w:r>
      <w:r>
        <w:t xml:space="preserve"> Drafting Team who have worked tirelessly to produce this report.</w:t>
      </w:r>
    </w:p>
    <w:p w:rsidR="00D579B3" w:rsidRDefault="00D579B3" w:rsidP="00830F25">
      <w:pPr>
        <w:pStyle w:val="Heading1"/>
      </w:pPr>
    </w:p>
    <w:p w:rsidR="00D579B3" w:rsidRDefault="00D579B3" w:rsidP="00830F25">
      <w:pPr>
        <w:pStyle w:val="Heading1"/>
      </w:pPr>
    </w:p>
    <w:p w:rsidR="00D579B3" w:rsidRDefault="00D579B3" w:rsidP="00830F25">
      <w:pPr>
        <w:pStyle w:val="Heading1"/>
      </w:pPr>
    </w:p>
    <w:p w:rsidR="00D579B3" w:rsidRDefault="00D579B3" w:rsidP="00830F25">
      <w:pPr>
        <w:pStyle w:val="Heading1"/>
      </w:pPr>
    </w:p>
    <w:p w:rsidR="00D579B3" w:rsidRDefault="00D579B3" w:rsidP="00830F25">
      <w:pPr>
        <w:pStyle w:val="Heading1"/>
      </w:pPr>
    </w:p>
    <w:p w:rsidR="00D579B3" w:rsidRDefault="00D579B3" w:rsidP="00830F25">
      <w:pPr>
        <w:pStyle w:val="Heading1"/>
      </w:pPr>
    </w:p>
    <w:p w:rsidR="00BF6977" w:rsidRDefault="00BF6977" w:rsidP="00BF6977">
      <w:pPr>
        <w:rPr>
          <w:lang w:val="en-GB" w:eastAsia="en-GB"/>
        </w:rPr>
      </w:pPr>
    </w:p>
    <w:p w:rsidR="00BF6977" w:rsidRDefault="00BF6977" w:rsidP="00BF6977">
      <w:pPr>
        <w:rPr>
          <w:lang w:val="en-GB" w:eastAsia="en-GB"/>
        </w:rPr>
      </w:pPr>
    </w:p>
    <w:p w:rsidR="00BF6977" w:rsidRPr="00BF6977" w:rsidRDefault="00BF6977" w:rsidP="00BF6977">
      <w:pPr>
        <w:rPr>
          <w:lang w:val="en-GB" w:eastAsia="en-GB"/>
        </w:rPr>
      </w:pPr>
    </w:p>
    <w:p w:rsidR="00CA2DDC" w:rsidRPr="009F4261" w:rsidRDefault="009322F2" w:rsidP="00AA5468">
      <w:pPr>
        <w:pStyle w:val="HeadingO"/>
      </w:pPr>
      <w:bookmarkStart w:id="11" w:name="_Toc363225854"/>
      <w:bookmarkStart w:id="12" w:name="_Toc384911944"/>
      <w:bookmarkStart w:id="13" w:name="_Toc350762874"/>
      <w:bookmarkEnd w:id="2"/>
      <w:bookmarkEnd w:id="8"/>
      <w:r>
        <w:lastRenderedPageBreak/>
        <w:t>EX</w:t>
      </w:r>
      <w:r w:rsidRPr="006E2302">
        <w:t>ECUTIVE SUMMARY</w:t>
      </w:r>
      <w:bookmarkEnd w:id="11"/>
      <w:bookmarkEnd w:id="12"/>
    </w:p>
    <w:p w:rsidR="00CA2DDC" w:rsidRDefault="00CA2DDC" w:rsidP="00FB6B5B">
      <w:pPr>
        <w:spacing w:after="120"/>
        <w:jc w:val="both"/>
        <w:rPr>
          <w:bCs/>
          <w:lang w:eastAsia="en-GB"/>
        </w:rPr>
      </w:pPr>
      <w:r w:rsidRPr="00871D92">
        <w:t>The goal of Malawi’s government is “to raise the level of health status of all Malawians by reducing the incidence of illness and occurrence of premature deaths in the population” (Ministry of Economic Planning and Development 2002).</w:t>
      </w:r>
      <w:r>
        <w:t xml:space="preserve"> The national Health Sector Strategic Plan (HSSP) 2011-16 outlines the actions and interventions aimed at meeting this goal. However, </w:t>
      </w:r>
      <w:r>
        <w:rPr>
          <w:bCs/>
          <w:lang w:eastAsia="en-GB"/>
        </w:rPr>
        <w:t>o</w:t>
      </w:r>
      <w:r w:rsidRPr="008B089E">
        <w:rPr>
          <w:bCs/>
          <w:lang w:eastAsia="en-GB"/>
        </w:rPr>
        <w:t xml:space="preserve">f the estimated </w:t>
      </w:r>
      <w:r w:rsidRPr="00385997">
        <w:rPr>
          <w:bCs/>
          <w:lang w:eastAsia="en-GB"/>
        </w:rPr>
        <w:t>3.2 billion United States dollars (USD) needed to finance all interventions contained in the HSSP, it is estimated that only 2.4 billion USD will be available.</w:t>
      </w:r>
      <w:bookmarkStart w:id="14" w:name="_Ref326839025"/>
      <w:r w:rsidRPr="00805794">
        <w:rPr>
          <w:bCs/>
          <w:vertAlign w:val="superscript"/>
          <w:lang w:eastAsia="en-GB"/>
        </w:rPr>
        <w:footnoteReference w:id="2"/>
      </w:r>
      <w:bookmarkEnd w:id="14"/>
      <w:r w:rsidRPr="008B089E">
        <w:rPr>
          <w:bCs/>
          <w:lang w:eastAsia="en-GB"/>
        </w:rPr>
        <w:t xml:space="preserve"> </w:t>
      </w:r>
      <w:r>
        <w:rPr>
          <w:bCs/>
          <w:lang w:eastAsia="en-GB"/>
        </w:rPr>
        <w:t>Additionally, the majority of currently available resources are contributed by external sources such as multilateral organizations, bilateral donors and NGOs, limiting the long term sustainability of the health sector. An increased disease burden and growing population will only raise the resource gap in the years ahead. This trajectory poses significant challenges for the sustainability of programs in Malawi’s health secto</w:t>
      </w:r>
      <w:r w:rsidR="006A71DB">
        <w:rPr>
          <w:bCs/>
          <w:lang w:eastAsia="en-GB"/>
        </w:rPr>
        <w:t>r</w:t>
      </w:r>
      <w:r>
        <w:rPr>
          <w:bCs/>
          <w:lang w:eastAsia="en-GB"/>
        </w:rPr>
        <w:t>.</w:t>
      </w:r>
    </w:p>
    <w:p w:rsidR="00EE1B26" w:rsidRPr="008B089E" w:rsidRDefault="00EE1B26" w:rsidP="00EE1B26">
      <w:pPr>
        <w:spacing w:after="0" w:line="240" w:lineRule="auto"/>
        <w:contextualSpacing/>
        <w:jc w:val="both"/>
      </w:pPr>
    </w:p>
    <w:p w:rsidR="006A71DB" w:rsidRDefault="008B6342" w:rsidP="00FB6B5B">
      <w:pPr>
        <w:jc w:val="both"/>
        <w:rPr>
          <w:bCs/>
          <w:lang w:eastAsia="en-GB"/>
        </w:rPr>
      </w:pPr>
      <w:r>
        <w:rPr>
          <w:bCs/>
          <w:lang w:eastAsia="en-GB"/>
        </w:rPr>
        <w:t>The</w:t>
      </w:r>
      <w:r w:rsidR="00CA2DDC">
        <w:rPr>
          <w:bCs/>
          <w:lang w:eastAsia="en-GB"/>
        </w:rPr>
        <w:t xml:space="preserve"> Malawi </w:t>
      </w:r>
      <w:r w:rsidR="00C77388">
        <w:rPr>
          <w:bCs/>
          <w:lang w:eastAsia="en-GB"/>
        </w:rPr>
        <w:t>Health Financing Strategy</w:t>
      </w:r>
      <w:r w:rsidR="00CA2DDC">
        <w:rPr>
          <w:bCs/>
          <w:lang w:eastAsia="en-GB"/>
        </w:rPr>
        <w:t xml:space="preserve"> has been developed to outline the objectives </w:t>
      </w:r>
      <w:r w:rsidR="006A71DB">
        <w:rPr>
          <w:bCs/>
          <w:lang w:eastAsia="en-GB"/>
        </w:rPr>
        <w:t xml:space="preserve">and specific strategies </w:t>
      </w:r>
      <w:r w:rsidR="00CA2DDC">
        <w:rPr>
          <w:bCs/>
          <w:lang w:eastAsia="en-GB"/>
        </w:rPr>
        <w:t>aimed at reducing the resource gap and improving the long term financial sustainability of the health sector.</w:t>
      </w:r>
      <w:r w:rsidR="006A71DB">
        <w:rPr>
          <w:bCs/>
          <w:lang w:eastAsia="en-GB"/>
        </w:rPr>
        <w:t xml:space="preserve"> The strategy states the key steps that Malawi will take in the next four years to address health financing challenges, outlining the specific interventions to be undertaken, the key stakeholders who will do them, and the results to be achieved. The content of the strategy was decided based on technical analysis as well as consultation and discussion with key stakeholders in the health sector. </w:t>
      </w:r>
    </w:p>
    <w:p w:rsidR="00EE1B26" w:rsidRDefault="00EE1B26" w:rsidP="00EE1B26">
      <w:pPr>
        <w:spacing w:after="0" w:line="240" w:lineRule="auto"/>
        <w:contextualSpacing/>
        <w:jc w:val="both"/>
        <w:rPr>
          <w:bCs/>
          <w:lang w:eastAsia="en-GB"/>
        </w:rPr>
      </w:pPr>
    </w:p>
    <w:p w:rsidR="00C7180E" w:rsidRPr="00C11D59" w:rsidRDefault="006A71DB" w:rsidP="00FB6B5B">
      <w:pPr>
        <w:jc w:val="both"/>
        <w:rPr>
          <w:lang w:eastAsia="en-GB"/>
        </w:rPr>
      </w:pPr>
      <w:r w:rsidRPr="00C7180E">
        <w:rPr>
          <w:bCs/>
        </w:rPr>
        <w:t xml:space="preserve">To inform the </w:t>
      </w:r>
      <w:r w:rsidR="00C77388">
        <w:rPr>
          <w:bCs/>
        </w:rPr>
        <w:t>Health Financing Strategy</w:t>
      </w:r>
      <w:r w:rsidR="00CA2DDC" w:rsidRPr="00C7180E">
        <w:rPr>
          <w:bCs/>
        </w:rPr>
        <w:t xml:space="preserve">, </w:t>
      </w:r>
      <w:r w:rsidRPr="00C7180E">
        <w:rPr>
          <w:bCs/>
        </w:rPr>
        <w:t xml:space="preserve">a situational analysis on </w:t>
      </w:r>
      <w:r w:rsidR="00CA2DDC" w:rsidRPr="00C7180E">
        <w:rPr>
          <w:bCs/>
        </w:rPr>
        <w:t>the current state of health financing in Malawi identified challenges that must be addressed. Three m</w:t>
      </w:r>
      <w:r w:rsidRPr="00C7180E">
        <w:rPr>
          <w:bCs/>
        </w:rPr>
        <w:t>ain challenges were identified</w:t>
      </w:r>
      <w:r w:rsidR="00C7180E" w:rsidRPr="00C7180E">
        <w:rPr>
          <w:bCs/>
        </w:rPr>
        <w:t>:</w:t>
      </w:r>
    </w:p>
    <w:p w:rsidR="00C71F68" w:rsidRPr="005034F6" w:rsidRDefault="00C71F68" w:rsidP="00564161">
      <w:pPr>
        <w:numPr>
          <w:ilvl w:val="0"/>
          <w:numId w:val="37"/>
        </w:numPr>
        <w:jc w:val="both"/>
        <w:rPr>
          <w:b/>
        </w:rPr>
      </w:pPr>
      <w:bookmarkStart w:id="15" w:name="_Toc363224985"/>
      <w:bookmarkStart w:id="16" w:name="_Toc363225855"/>
      <w:bookmarkStart w:id="17" w:name="_Toc349292078"/>
      <w:bookmarkStart w:id="18" w:name="_Toc363225856"/>
      <w:bookmarkEnd w:id="15"/>
      <w:bookmarkEnd w:id="16"/>
      <w:r w:rsidRPr="00C7180E">
        <w:t>Insufficient</w:t>
      </w:r>
      <w:r w:rsidRPr="005034F6">
        <w:t xml:space="preserve"> and unpredictable resources</w:t>
      </w:r>
      <w:bookmarkEnd w:id="17"/>
      <w:r w:rsidR="006A71DB">
        <w:t>, largely due to reliance on external funding</w:t>
      </w:r>
      <w:bookmarkEnd w:id="18"/>
      <w:r w:rsidR="002E76BE">
        <w:t>;</w:t>
      </w:r>
    </w:p>
    <w:p w:rsidR="00C71F68" w:rsidRPr="005034F6" w:rsidRDefault="00C71F68" w:rsidP="00564161">
      <w:pPr>
        <w:numPr>
          <w:ilvl w:val="0"/>
          <w:numId w:val="37"/>
        </w:numPr>
        <w:jc w:val="both"/>
        <w:rPr>
          <w:b/>
        </w:rPr>
      </w:pPr>
      <w:bookmarkStart w:id="19" w:name="_Toc349292079"/>
      <w:bookmarkStart w:id="20" w:name="_Toc363225857"/>
      <w:r w:rsidRPr="005034F6">
        <w:t xml:space="preserve">Inequitable and </w:t>
      </w:r>
      <w:bookmarkEnd w:id="19"/>
      <w:r w:rsidR="00E40422">
        <w:t>inefficient resource allocation</w:t>
      </w:r>
      <w:bookmarkEnd w:id="20"/>
      <w:r w:rsidR="002E76BE">
        <w:t>; and</w:t>
      </w:r>
    </w:p>
    <w:p w:rsidR="00C77388" w:rsidRPr="00BB6C41" w:rsidRDefault="00C71F68" w:rsidP="00564161">
      <w:pPr>
        <w:numPr>
          <w:ilvl w:val="0"/>
          <w:numId w:val="37"/>
        </w:numPr>
        <w:jc w:val="both"/>
        <w:rPr>
          <w:b/>
        </w:rPr>
      </w:pPr>
      <w:bookmarkStart w:id="21" w:name="_Toc349292080"/>
      <w:bookmarkStart w:id="22" w:name="_Toc363225858"/>
      <w:r>
        <w:t xml:space="preserve">Inadequate </w:t>
      </w:r>
      <w:r w:rsidRPr="005034F6">
        <w:t>institutional health financing capacity at national</w:t>
      </w:r>
      <w:r w:rsidR="006A71DB">
        <w:t xml:space="preserve"> </w:t>
      </w:r>
      <w:r w:rsidRPr="005034F6">
        <w:t>and district levels</w:t>
      </w:r>
      <w:bookmarkEnd w:id="21"/>
      <w:bookmarkEnd w:id="22"/>
      <w:r w:rsidR="002E76BE">
        <w:t>.</w:t>
      </w:r>
    </w:p>
    <w:p w:rsidR="00C71F68" w:rsidRPr="00BD4A85" w:rsidRDefault="006A71DB" w:rsidP="00FB6B5B">
      <w:pPr>
        <w:jc w:val="both"/>
      </w:pPr>
      <w:r>
        <w:t xml:space="preserve">These three identified </w:t>
      </w:r>
      <w:r w:rsidR="00C71F68" w:rsidRPr="00BD4A85">
        <w:t xml:space="preserve">problems </w:t>
      </w:r>
      <w:r w:rsidR="002F35C3">
        <w:t xml:space="preserve">led to the development of three key </w:t>
      </w:r>
      <w:r w:rsidR="00C71F68" w:rsidRPr="00BD4A85">
        <w:t>objectives</w:t>
      </w:r>
      <w:r w:rsidR="002F35C3">
        <w:t xml:space="preserve">, each addressing one of </w:t>
      </w:r>
      <w:r w:rsidR="00C71F68" w:rsidRPr="00BD4A85">
        <w:t xml:space="preserve">the core problems listed above.  </w:t>
      </w:r>
      <w:r w:rsidR="00B24DD7" w:rsidRPr="00BD4A85">
        <w:t>Th</w:t>
      </w:r>
      <w:r w:rsidR="00B24DD7">
        <w:t xml:space="preserve">e </w:t>
      </w:r>
      <w:r w:rsidR="00C71F68" w:rsidRPr="00BD4A85">
        <w:t xml:space="preserve">specific objectives </w:t>
      </w:r>
      <w:r w:rsidR="002F35C3">
        <w:t xml:space="preserve">for </w:t>
      </w:r>
      <w:r w:rsidR="00C71F68" w:rsidRPr="00BD4A85">
        <w:t xml:space="preserve">the </w:t>
      </w:r>
      <w:r w:rsidR="002F35C3">
        <w:t>H</w:t>
      </w:r>
      <w:r w:rsidR="00C71F68" w:rsidRPr="00BD4A85">
        <w:t xml:space="preserve">ealth </w:t>
      </w:r>
      <w:r w:rsidR="002F35C3">
        <w:t>F</w:t>
      </w:r>
      <w:r w:rsidR="00C71F68" w:rsidRPr="00BD4A85">
        <w:t xml:space="preserve">inancing </w:t>
      </w:r>
      <w:r w:rsidR="002F35C3">
        <w:t>S</w:t>
      </w:r>
      <w:r w:rsidR="00C71F68" w:rsidRPr="00BD4A85">
        <w:t>trategy are:</w:t>
      </w:r>
    </w:p>
    <w:p w:rsidR="00C71F68" w:rsidRPr="00BD4A85" w:rsidRDefault="00C71F68" w:rsidP="00564161">
      <w:pPr>
        <w:numPr>
          <w:ilvl w:val="0"/>
          <w:numId w:val="31"/>
        </w:numPr>
        <w:spacing w:after="120"/>
        <w:jc w:val="both"/>
      </w:pPr>
      <w:r w:rsidRPr="00BD4A85">
        <w:t xml:space="preserve">To develop sustainable and predictable sources of revenue to adequately address Malawi’s health sector needs;  </w:t>
      </w:r>
    </w:p>
    <w:p w:rsidR="00C71F68" w:rsidRDefault="00C71F68" w:rsidP="00564161">
      <w:pPr>
        <w:numPr>
          <w:ilvl w:val="0"/>
          <w:numId w:val="31"/>
        </w:numPr>
        <w:spacing w:after="120"/>
        <w:jc w:val="both"/>
      </w:pPr>
      <w:r w:rsidRPr="00BD4A85">
        <w:t xml:space="preserve">To improve </w:t>
      </w:r>
      <w:r w:rsidR="002E76BE">
        <w:t xml:space="preserve">equity and </w:t>
      </w:r>
      <w:r w:rsidRPr="00BD4A85">
        <w:t>efficiency in how financial resources are allocated, managed and liquidated;</w:t>
      </w:r>
      <w:r w:rsidR="00A51753">
        <w:t xml:space="preserve"> and</w:t>
      </w:r>
    </w:p>
    <w:p w:rsidR="001C6408" w:rsidRPr="00766023" w:rsidRDefault="00C71F68" w:rsidP="00564161">
      <w:pPr>
        <w:numPr>
          <w:ilvl w:val="0"/>
          <w:numId w:val="31"/>
        </w:numPr>
        <w:jc w:val="both"/>
        <w:rPr>
          <w:rFonts w:cs="Calibri"/>
        </w:rPr>
      </w:pPr>
      <w:r w:rsidRPr="00BD4A85">
        <w:t>To generate evidence to develop health financing approaches based on actual needs and costs while also building health financing capacity at all levels of the health system.</w:t>
      </w:r>
      <w:r w:rsidR="00E40422">
        <w:t xml:space="preserve"> </w:t>
      </w:r>
      <w:bookmarkStart w:id="23" w:name="_Toc205732162"/>
    </w:p>
    <w:p w:rsidR="00766023" w:rsidRPr="001C6408" w:rsidRDefault="00766023" w:rsidP="00766023">
      <w:pPr>
        <w:ind w:left="720"/>
        <w:contextualSpacing/>
        <w:jc w:val="both"/>
        <w:rPr>
          <w:rFonts w:cs="Calibri"/>
        </w:rPr>
      </w:pPr>
    </w:p>
    <w:p w:rsidR="001A33B9" w:rsidRPr="001A33B9" w:rsidRDefault="00C71F68" w:rsidP="00FB6B5B">
      <w:pPr>
        <w:spacing w:after="120"/>
        <w:jc w:val="both"/>
        <w:rPr>
          <w:rFonts w:cs="Calibri"/>
        </w:rPr>
      </w:pPr>
      <w:r w:rsidRPr="001A33B9">
        <w:rPr>
          <w:rFonts w:cs="Arial"/>
        </w:rPr>
        <w:t xml:space="preserve">The guiding principles for </w:t>
      </w:r>
      <w:r w:rsidR="00C77388">
        <w:rPr>
          <w:rFonts w:cs="Arial"/>
        </w:rPr>
        <w:t>Health Financing Strategy</w:t>
      </w:r>
      <w:r w:rsidRPr="001A33B9">
        <w:rPr>
          <w:rFonts w:cs="Arial"/>
        </w:rPr>
        <w:t xml:space="preserve"> are</w:t>
      </w:r>
      <w:r w:rsidR="00E40422">
        <w:rPr>
          <w:rFonts w:cs="Arial"/>
        </w:rPr>
        <w:t xml:space="preserve"> </w:t>
      </w:r>
      <w:r w:rsidR="001A33B9">
        <w:rPr>
          <w:rFonts w:cs="Arial"/>
        </w:rPr>
        <w:t>based on</w:t>
      </w:r>
      <w:r w:rsidRPr="001A33B9">
        <w:rPr>
          <w:rFonts w:cs="Arial"/>
        </w:rPr>
        <w:t>:</w:t>
      </w:r>
      <w:bookmarkEnd w:id="23"/>
      <w:r w:rsidR="001A33B9" w:rsidRPr="001A33B9">
        <w:rPr>
          <w:rFonts w:cs="Arial"/>
        </w:rPr>
        <w:t xml:space="preserve"> </w:t>
      </w:r>
    </w:p>
    <w:p w:rsidR="001A33B9" w:rsidRPr="00C11D59" w:rsidRDefault="001A33B9" w:rsidP="00564161">
      <w:pPr>
        <w:pStyle w:val="ListParagraph"/>
        <w:numPr>
          <w:ilvl w:val="0"/>
          <w:numId w:val="32"/>
        </w:numPr>
        <w:spacing w:line="360" w:lineRule="auto"/>
        <w:jc w:val="both"/>
      </w:pPr>
      <w:r w:rsidRPr="00C11D59">
        <w:t>Creating fiscal sustainability</w:t>
      </w:r>
    </w:p>
    <w:p w:rsidR="001A33B9" w:rsidRPr="00E40B52" w:rsidRDefault="001A33B9" w:rsidP="00564161">
      <w:pPr>
        <w:pStyle w:val="ListParagraph"/>
        <w:numPr>
          <w:ilvl w:val="0"/>
          <w:numId w:val="32"/>
        </w:numPr>
        <w:spacing w:line="360" w:lineRule="auto"/>
        <w:jc w:val="both"/>
      </w:pPr>
      <w:r w:rsidRPr="00702227">
        <w:t>F</w:t>
      </w:r>
      <w:r w:rsidRPr="00E40B52">
        <w:t xml:space="preserve">air and equitable </w:t>
      </w:r>
      <w:r>
        <w:t xml:space="preserve">revenue </w:t>
      </w:r>
      <w:r w:rsidRPr="00E40B52">
        <w:t>generation and  allocation</w:t>
      </w:r>
    </w:p>
    <w:p w:rsidR="001A33B9" w:rsidRPr="00B45A9D" w:rsidRDefault="001A33B9" w:rsidP="00564161">
      <w:pPr>
        <w:pStyle w:val="ListParagraph"/>
        <w:numPr>
          <w:ilvl w:val="0"/>
          <w:numId w:val="28"/>
        </w:numPr>
        <w:spacing w:line="360" w:lineRule="auto"/>
        <w:jc w:val="both"/>
      </w:pPr>
      <w:r w:rsidRPr="007678C6">
        <w:t>Transparency and accountabi</w:t>
      </w:r>
      <w:r w:rsidRPr="00B45A9D">
        <w:t>lity</w:t>
      </w:r>
    </w:p>
    <w:p w:rsidR="001A33B9" w:rsidRPr="0054654F" w:rsidRDefault="001A33B9" w:rsidP="00564161">
      <w:pPr>
        <w:pStyle w:val="ListParagraph"/>
        <w:numPr>
          <w:ilvl w:val="0"/>
          <w:numId w:val="28"/>
        </w:numPr>
        <w:spacing w:after="0" w:line="360" w:lineRule="auto"/>
        <w:jc w:val="both"/>
        <w:rPr>
          <w:rFonts w:eastAsia="Times New Roman"/>
        </w:rPr>
      </w:pPr>
      <w:r w:rsidRPr="00F63F55">
        <w:rPr>
          <w:kern w:val="24"/>
          <w:lang w:val="en-CA"/>
        </w:rPr>
        <w:t>Allocative and technical efficiency</w:t>
      </w:r>
    </w:p>
    <w:p w:rsidR="001A33B9" w:rsidRPr="0054654F" w:rsidRDefault="001A33B9" w:rsidP="00564161">
      <w:pPr>
        <w:numPr>
          <w:ilvl w:val="0"/>
          <w:numId w:val="28"/>
        </w:numPr>
        <w:autoSpaceDE w:val="0"/>
        <w:autoSpaceDN w:val="0"/>
        <w:adjustRightInd w:val="0"/>
        <w:spacing w:after="0" w:line="360" w:lineRule="auto"/>
        <w:jc w:val="both"/>
        <w:rPr>
          <w:rFonts w:eastAsia="Times New Roman"/>
        </w:rPr>
      </w:pPr>
      <w:r w:rsidRPr="00EA4CF6">
        <w:t>Ensuring equitable access and participation</w:t>
      </w:r>
    </w:p>
    <w:p w:rsidR="001A33B9" w:rsidRPr="00C11D59" w:rsidRDefault="001A33B9" w:rsidP="00564161">
      <w:pPr>
        <w:pStyle w:val="ListParagraph"/>
        <w:numPr>
          <w:ilvl w:val="0"/>
          <w:numId w:val="28"/>
        </w:numPr>
        <w:spacing w:after="0" w:line="360" w:lineRule="auto"/>
        <w:jc w:val="both"/>
        <w:rPr>
          <w:rFonts w:eastAsia="Times New Roman"/>
        </w:rPr>
      </w:pPr>
      <w:r w:rsidRPr="00594445">
        <w:rPr>
          <w:rFonts w:cs="Calibri"/>
        </w:rPr>
        <w:t>Providing financial protection to the poor and vulnerable</w:t>
      </w:r>
    </w:p>
    <w:p w:rsidR="008A002F" w:rsidRPr="00C11D59" w:rsidRDefault="001A33B9" w:rsidP="00564161">
      <w:pPr>
        <w:pStyle w:val="ListParagraph"/>
        <w:numPr>
          <w:ilvl w:val="0"/>
          <w:numId w:val="28"/>
        </w:numPr>
        <w:spacing w:after="0" w:line="360" w:lineRule="auto"/>
        <w:jc w:val="both"/>
        <w:rPr>
          <w:rFonts w:eastAsia="Times New Roman"/>
        </w:rPr>
      </w:pPr>
      <w:r w:rsidRPr="008A002F">
        <w:rPr>
          <w:rFonts w:cs="Arial"/>
          <w:iCs/>
        </w:rPr>
        <w:t xml:space="preserve">Partnership </w:t>
      </w:r>
    </w:p>
    <w:p w:rsidR="001A33B9" w:rsidRPr="008A002F" w:rsidRDefault="001A33B9" w:rsidP="00564161">
      <w:pPr>
        <w:pStyle w:val="ListParagraph"/>
        <w:numPr>
          <w:ilvl w:val="0"/>
          <w:numId w:val="28"/>
        </w:numPr>
        <w:spacing w:after="0" w:line="360" w:lineRule="auto"/>
        <w:jc w:val="both"/>
        <w:rPr>
          <w:rFonts w:eastAsia="Times New Roman"/>
        </w:rPr>
      </w:pPr>
      <w:r w:rsidRPr="008A002F">
        <w:rPr>
          <w:rFonts w:cs="Arial"/>
          <w:iCs/>
        </w:rPr>
        <w:t xml:space="preserve">Ensuring </w:t>
      </w:r>
      <w:r w:rsidR="00170969">
        <w:rPr>
          <w:rFonts w:cs="Arial"/>
          <w:iCs/>
        </w:rPr>
        <w:t>i</w:t>
      </w:r>
      <w:r w:rsidRPr="008A002F">
        <w:rPr>
          <w:rFonts w:cs="Arial"/>
          <w:iCs/>
        </w:rPr>
        <w:t xml:space="preserve">ntersectoral collaboration </w:t>
      </w:r>
    </w:p>
    <w:p w:rsidR="00E40422" w:rsidRPr="00C11D59" w:rsidRDefault="001A33B9" w:rsidP="00564161">
      <w:pPr>
        <w:pStyle w:val="ListParagraph"/>
        <w:numPr>
          <w:ilvl w:val="0"/>
          <w:numId w:val="28"/>
        </w:numPr>
        <w:spacing w:after="0" w:line="360" w:lineRule="auto"/>
        <w:jc w:val="both"/>
        <w:rPr>
          <w:rFonts w:cs="Arial"/>
          <w:iCs/>
        </w:rPr>
      </w:pPr>
      <w:r w:rsidRPr="00EA4CF6">
        <w:rPr>
          <w:rFonts w:cs="Arial"/>
          <w:iCs/>
        </w:rPr>
        <w:t xml:space="preserve">Evidence-based decision </w:t>
      </w:r>
      <w:r w:rsidR="008A002F">
        <w:rPr>
          <w:rFonts w:cs="Arial"/>
          <w:iCs/>
        </w:rPr>
        <w:t>making</w:t>
      </w:r>
    </w:p>
    <w:p w:rsidR="008C09DC" w:rsidRDefault="008C09DC" w:rsidP="008C09DC">
      <w:pPr>
        <w:spacing w:after="120"/>
        <w:contextualSpacing/>
        <w:jc w:val="both"/>
        <w:rPr>
          <w:rFonts w:cs="FootlightMTLight"/>
        </w:rPr>
      </w:pPr>
    </w:p>
    <w:p w:rsidR="002F35C3" w:rsidRDefault="00C71F68" w:rsidP="00FB6B5B">
      <w:pPr>
        <w:jc w:val="both"/>
      </w:pPr>
      <w:r w:rsidRPr="00D57B20">
        <w:rPr>
          <w:rFonts w:cs="FootlightMTLight"/>
        </w:rPr>
        <w:t xml:space="preserve">The </w:t>
      </w:r>
      <w:r w:rsidR="00703E62">
        <w:rPr>
          <w:rFonts w:cs="FootlightMTLight"/>
        </w:rPr>
        <w:t>H</w:t>
      </w:r>
      <w:r w:rsidRPr="00D57B20">
        <w:rPr>
          <w:rFonts w:cs="FootlightMTLight"/>
        </w:rPr>
        <w:t xml:space="preserve">ealth </w:t>
      </w:r>
      <w:r w:rsidR="00703E62">
        <w:rPr>
          <w:rFonts w:cs="FootlightMTLight"/>
        </w:rPr>
        <w:t>F</w:t>
      </w:r>
      <w:r>
        <w:rPr>
          <w:rFonts w:cs="FootlightMTLight"/>
        </w:rPr>
        <w:t xml:space="preserve">inancing </w:t>
      </w:r>
      <w:r w:rsidR="00703E62">
        <w:rPr>
          <w:rFonts w:cs="FootlightMTLight"/>
        </w:rPr>
        <w:t>S</w:t>
      </w:r>
      <w:r>
        <w:rPr>
          <w:rFonts w:cs="FootlightMTLight"/>
        </w:rPr>
        <w:t>trategy</w:t>
      </w:r>
      <w:r w:rsidR="008A002F">
        <w:rPr>
          <w:rFonts w:cs="FootlightMTLight"/>
        </w:rPr>
        <w:t xml:space="preserve"> is based on</w:t>
      </w:r>
      <w:r>
        <w:rPr>
          <w:rFonts w:cs="FootlightMTLight"/>
        </w:rPr>
        <w:t xml:space="preserve"> </w:t>
      </w:r>
      <w:r w:rsidR="00703E62">
        <w:rPr>
          <w:rFonts w:cs="FootlightMTLight"/>
        </w:rPr>
        <w:t>three foundational aspects of health financing:</w:t>
      </w:r>
      <w:r w:rsidR="001C6408">
        <w:rPr>
          <w:rFonts w:cs="FootlightMTLight"/>
        </w:rPr>
        <w:t xml:space="preserve"> </w:t>
      </w:r>
      <w:r w:rsidRPr="00D57B20">
        <w:t>revenue generating mechanisms</w:t>
      </w:r>
      <w:r w:rsidR="001C6408">
        <w:t xml:space="preserve">, </w:t>
      </w:r>
      <w:r w:rsidRPr="00D57B20">
        <w:t>risk-sharing (pooling) mechanisms</w:t>
      </w:r>
      <w:r w:rsidR="001C6408">
        <w:t xml:space="preserve">, and </w:t>
      </w:r>
      <w:r w:rsidRPr="00D57B20">
        <w:t xml:space="preserve">purchasing mechanisms. </w:t>
      </w:r>
    </w:p>
    <w:p w:rsidR="002F35C3" w:rsidRPr="00093323" w:rsidRDefault="002F35C3" w:rsidP="00093323">
      <w:pPr>
        <w:jc w:val="both"/>
      </w:pPr>
      <w:r>
        <w:t xml:space="preserve">In addition to outlining the overall objectives of the </w:t>
      </w:r>
      <w:r w:rsidR="00C77388">
        <w:t>Health Financing Strategy</w:t>
      </w:r>
      <w:r>
        <w:t xml:space="preserve">, the Situational Analysis also proposed specific strategies to address these three </w:t>
      </w:r>
      <w:r w:rsidR="00B24DD7">
        <w:t>objectives</w:t>
      </w:r>
      <w:r w:rsidR="004D3D3C">
        <w:t>.</w:t>
      </w:r>
      <w:r>
        <w:t xml:space="preserve"> </w:t>
      </w:r>
      <w:r w:rsidR="004D3D3C">
        <w:t>T</w:t>
      </w:r>
      <w:r>
        <w:t>he proposed strategies</w:t>
      </w:r>
      <w:r w:rsidR="004D3D3C">
        <w:t xml:space="preserve"> were assessed</w:t>
      </w:r>
      <w:r>
        <w:t xml:space="preserve"> based on four criteria:</w:t>
      </w:r>
      <w:r w:rsidRPr="007E5C7B">
        <w:rPr>
          <w:rFonts w:ascii="Gill Sans MT" w:hAnsi="Gill Sans MT" w:cs="Calibri"/>
          <w:bCs/>
        </w:rPr>
        <w:t xml:space="preserve"> </w:t>
      </w:r>
      <w:r w:rsidRPr="007E5C7B">
        <w:rPr>
          <w:bCs/>
        </w:rPr>
        <w:t xml:space="preserve">Financial Magnitude, Feasibility and Sustainability, </w:t>
      </w:r>
      <w:r>
        <w:rPr>
          <w:bCs/>
        </w:rPr>
        <w:t xml:space="preserve">Impact on </w:t>
      </w:r>
      <w:r w:rsidRPr="007E5C7B">
        <w:rPr>
          <w:bCs/>
        </w:rPr>
        <w:t xml:space="preserve">Equity and Access, and </w:t>
      </w:r>
      <w:r>
        <w:rPr>
          <w:bCs/>
        </w:rPr>
        <w:t xml:space="preserve">Impact on </w:t>
      </w:r>
      <w:r w:rsidRPr="007E5C7B">
        <w:rPr>
          <w:bCs/>
        </w:rPr>
        <w:t>Transparency and Accountability</w:t>
      </w:r>
      <w:r>
        <w:rPr>
          <w:bCs/>
        </w:rPr>
        <w:t>.</w:t>
      </w:r>
      <w:r w:rsidR="004D3D3C">
        <w:rPr>
          <w:bCs/>
        </w:rPr>
        <w:t xml:space="preserve"> A report on Health Financing Strategy - Technical Evaluation was developed based on the finding of the assessment. </w:t>
      </w:r>
      <w:r>
        <w:rPr>
          <w:bCs/>
        </w:rPr>
        <w:t>Stakeholders in the Health Financing Task Force discussed findings from the Technical Evaluation and prioritize</w:t>
      </w:r>
      <w:r w:rsidR="004D3D3C">
        <w:rPr>
          <w:bCs/>
        </w:rPr>
        <w:t>d</w:t>
      </w:r>
      <w:r>
        <w:rPr>
          <w:bCs/>
        </w:rPr>
        <w:t xml:space="preserve"> </w:t>
      </w:r>
      <w:r w:rsidR="004D3D3C">
        <w:rPr>
          <w:bCs/>
        </w:rPr>
        <w:t xml:space="preserve">viable </w:t>
      </w:r>
      <w:r>
        <w:rPr>
          <w:bCs/>
        </w:rPr>
        <w:t xml:space="preserve">strategies. </w:t>
      </w:r>
      <w:r w:rsidR="00C71F68" w:rsidRPr="00D57B20">
        <w:t xml:space="preserve">The summary of the strategies </w:t>
      </w:r>
      <w:r>
        <w:t xml:space="preserve">prioritized </w:t>
      </w:r>
      <w:r w:rsidR="00C71F68" w:rsidRPr="00D57B20">
        <w:t>under each overarching objective are as follows:</w:t>
      </w:r>
    </w:p>
    <w:p w:rsidR="00C71F68" w:rsidRPr="00D57B20" w:rsidRDefault="00C71F68" w:rsidP="00146927">
      <w:pPr>
        <w:pStyle w:val="BodyText1"/>
      </w:pPr>
      <w:r w:rsidRPr="00D57B20">
        <w:t>Objective 1: Develop sustainable and predictable sources of revenue to adequately address Malawi’s health sector needs</w:t>
      </w:r>
    </w:p>
    <w:p w:rsidR="000D2AD3" w:rsidRPr="00FC1B77" w:rsidRDefault="000D2AD3" w:rsidP="00564161">
      <w:pPr>
        <w:numPr>
          <w:ilvl w:val="1"/>
          <w:numId w:val="22"/>
        </w:numPr>
        <w:spacing w:after="120"/>
        <w:jc w:val="both"/>
      </w:pPr>
      <w:r w:rsidRPr="00C11D59">
        <w:t>Introduce a reciprocal visa fee for incoming travelers</w:t>
      </w:r>
      <w:r w:rsidR="005B2BB3">
        <w:t>.</w:t>
      </w:r>
    </w:p>
    <w:p w:rsidR="00C179D0" w:rsidRPr="00FC1B77" w:rsidRDefault="00C179D0" w:rsidP="00564161">
      <w:pPr>
        <w:numPr>
          <w:ilvl w:val="1"/>
          <w:numId w:val="22"/>
        </w:numPr>
        <w:spacing w:after="120"/>
        <w:jc w:val="both"/>
      </w:pPr>
      <w:r w:rsidRPr="0057434A">
        <w:t xml:space="preserve">Introduce a </w:t>
      </w:r>
      <w:r w:rsidRPr="00C11D59">
        <w:rPr>
          <w:bCs/>
        </w:rPr>
        <w:t xml:space="preserve">sin tax on alcohol </w:t>
      </w:r>
      <w:r w:rsidR="005B2BB3">
        <w:rPr>
          <w:bCs/>
        </w:rPr>
        <w:t>and</w:t>
      </w:r>
      <w:r w:rsidRPr="00C11D59">
        <w:rPr>
          <w:bCs/>
        </w:rPr>
        <w:t xml:space="preserve"> cigarette consumption</w:t>
      </w:r>
      <w:r w:rsidR="005B2BB3">
        <w:rPr>
          <w:bCs/>
        </w:rPr>
        <w:t>.</w:t>
      </w:r>
    </w:p>
    <w:p w:rsidR="0042498A" w:rsidRPr="00FC1B77" w:rsidRDefault="0042498A" w:rsidP="00564161">
      <w:pPr>
        <w:numPr>
          <w:ilvl w:val="1"/>
          <w:numId w:val="22"/>
        </w:numPr>
        <w:spacing w:after="120"/>
        <w:jc w:val="both"/>
      </w:pPr>
      <w:r w:rsidRPr="00FC1B77">
        <w:t>Introduce a fuel levy for health</w:t>
      </w:r>
      <w:r w:rsidR="005B2BB3">
        <w:t>.</w:t>
      </w:r>
    </w:p>
    <w:p w:rsidR="00BA435A" w:rsidRPr="00BA435A" w:rsidRDefault="00BA435A" w:rsidP="00564161">
      <w:pPr>
        <w:numPr>
          <w:ilvl w:val="1"/>
          <w:numId w:val="22"/>
        </w:numPr>
      </w:pPr>
      <w:r w:rsidRPr="00BA435A">
        <w:t>Strengthening paying wings in central and district hospitals and gradually expand optional paying services and move towards introduction/expansion of user fees at district and central hospitals for non-EHP services   combined with appropriate health insurance schemes.</w:t>
      </w:r>
    </w:p>
    <w:p w:rsidR="00C71F68" w:rsidRPr="00A51753" w:rsidRDefault="00C71F68" w:rsidP="00564161">
      <w:pPr>
        <w:numPr>
          <w:ilvl w:val="1"/>
          <w:numId w:val="22"/>
        </w:numPr>
        <w:spacing w:after="120"/>
        <w:jc w:val="both"/>
      </w:pPr>
      <w:r w:rsidRPr="00FC1B77">
        <w:rPr>
          <w:bCs/>
        </w:rPr>
        <w:t>Institute corporate tax for health</w:t>
      </w:r>
      <w:r w:rsidR="005B2BB3">
        <w:rPr>
          <w:bCs/>
        </w:rPr>
        <w:t>.</w:t>
      </w:r>
    </w:p>
    <w:p w:rsidR="00A51753" w:rsidRPr="008568ED" w:rsidRDefault="00A51753" w:rsidP="00564161">
      <w:pPr>
        <w:numPr>
          <w:ilvl w:val="1"/>
          <w:numId w:val="22"/>
        </w:numPr>
        <w:spacing w:after="120"/>
        <w:jc w:val="both"/>
      </w:pPr>
      <w:r>
        <w:rPr>
          <w:bCs/>
        </w:rPr>
        <w:t>Institute telecommunication airtime levy</w:t>
      </w:r>
    </w:p>
    <w:p w:rsidR="00C71F68" w:rsidRPr="00FC1B77" w:rsidRDefault="00C71F68" w:rsidP="00564161">
      <w:pPr>
        <w:numPr>
          <w:ilvl w:val="1"/>
          <w:numId w:val="22"/>
        </w:numPr>
        <w:spacing w:after="120"/>
        <w:jc w:val="both"/>
      </w:pPr>
      <w:r w:rsidRPr="00FC1B77">
        <w:t>Increase private sector investments in health</w:t>
      </w:r>
      <w:r w:rsidR="005B2BB3">
        <w:t>.</w:t>
      </w:r>
    </w:p>
    <w:p w:rsidR="008C09DC" w:rsidRPr="00FC1B77" w:rsidRDefault="00E92AC2" w:rsidP="00564161">
      <w:pPr>
        <w:numPr>
          <w:ilvl w:val="1"/>
          <w:numId w:val="22"/>
        </w:numPr>
        <w:spacing w:after="120"/>
        <w:jc w:val="both"/>
      </w:pPr>
      <w:r w:rsidRPr="00FC1B77">
        <w:lastRenderedPageBreak/>
        <w:t>Lobby with Ministry of Finance to meet Abuja target of 15% allocation to the health sector as a share of total government expenditure</w:t>
      </w:r>
      <w:r w:rsidR="005B2BB3">
        <w:t>.</w:t>
      </w:r>
    </w:p>
    <w:p w:rsidR="00C71F68" w:rsidRPr="00D57B20" w:rsidRDefault="00C71F68" w:rsidP="00146927">
      <w:pPr>
        <w:pStyle w:val="BodyText1"/>
      </w:pPr>
      <w:r w:rsidRPr="00D57B20">
        <w:t>Objective 2: Improve efficiency in how financial resources are allocated, managed and liquidated</w:t>
      </w:r>
    </w:p>
    <w:p w:rsidR="00E92AC2" w:rsidRPr="00452EC1" w:rsidRDefault="002E76BE" w:rsidP="00564161">
      <w:pPr>
        <w:numPr>
          <w:ilvl w:val="0"/>
          <w:numId w:val="23"/>
        </w:numPr>
        <w:tabs>
          <w:tab w:val="num" w:pos="720"/>
        </w:tabs>
        <w:spacing w:after="120"/>
        <w:jc w:val="both"/>
      </w:pPr>
      <w:r>
        <w:rPr>
          <w:bCs/>
        </w:rPr>
        <w:t>Align</w:t>
      </w:r>
      <w:r w:rsidR="00E92AC2" w:rsidRPr="00C11D59">
        <w:t xml:space="preserve"> more donor </w:t>
      </w:r>
      <w:r w:rsidR="00E92AC2" w:rsidRPr="00C11D59">
        <w:rPr>
          <w:bCs/>
        </w:rPr>
        <w:t>resources</w:t>
      </w:r>
      <w:r w:rsidR="00E92AC2" w:rsidRPr="00C11D59">
        <w:t xml:space="preserve"> directly toward </w:t>
      </w:r>
      <w:r w:rsidR="00E92AC2" w:rsidRPr="00C11D59">
        <w:rPr>
          <w:bCs/>
        </w:rPr>
        <w:t>government plans (AIP, CHIP, ZIP, DIP)</w:t>
      </w:r>
      <w:r w:rsidR="005B2BB3">
        <w:rPr>
          <w:bCs/>
        </w:rPr>
        <w:t>.</w:t>
      </w:r>
    </w:p>
    <w:p w:rsidR="00E92AC2" w:rsidRPr="00452EC1" w:rsidRDefault="00A87B4E" w:rsidP="00564161">
      <w:pPr>
        <w:numPr>
          <w:ilvl w:val="0"/>
          <w:numId w:val="23"/>
        </w:numPr>
        <w:spacing w:after="120"/>
        <w:jc w:val="both"/>
        <w:rPr>
          <w:bCs/>
        </w:rPr>
      </w:pPr>
      <w:r>
        <w:rPr>
          <w:bCs/>
        </w:rPr>
        <w:t>A</w:t>
      </w:r>
      <w:r w:rsidR="00F66E9E" w:rsidRPr="00C11D59">
        <w:rPr>
          <w:bCs/>
        </w:rPr>
        <w:t xml:space="preserve">llocate </w:t>
      </w:r>
      <w:r>
        <w:rPr>
          <w:bCs/>
        </w:rPr>
        <w:t xml:space="preserve">effectively </w:t>
      </w:r>
      <w:r w:rsidR="00F66E9E" w:rsidRPr="00C11D59">
        <w:rPr>
          <w:bCs/>
        </w:rPr>
        <w:t>capacity-building and training resources to areas of greatest need</w:t>
      </w:r>
      <w:r w:rsidR="005B2BB3">
        <w:rPr>
          <w:bCs/>
        </w:rPr>
        <w:t>.</w:t>
      </w:r>
    </w:p>
    <w:p w:rsidR="00F66E9E" w:rsidRPr="00452EC1" w:rsidRDefault="002E76BE" w:rsidP="00564161">
      <w:pPr>
        <w:numPr>
          <w:ilvl w:val="0"/>
          <w:numId w:val="23"/>
        </w:numPr>
        <w:spacing w:after="120"/>
        <w:jc w:val="both"/>
      </w:pPr>
      <w:r>
        <w:t>Introduce</w:t>
      </w:r>
      <w:r w:rsidR="00F608D1">
        <w:t xml:space="preserve"> strategic</w:t>
      </w:r>
      <w:r>
        <w:t xml:space="preserve"> purchasing mechanisms in the public health sector such as case-based budgeting, progra</w:t>
      </w:r>
      <w:r w:rsidR="00232042">
        <w:t>mme</w:t>
      </w:r>
      <w:r w:rsidR="00B67667">
        <w:t xml:space="preserve"> based budgeting</w:t>
      </w:r>
      <w:r w:rsidR="0008232A">
        <w:t>, capitation and</w:t>
      </w:r>
      <w:r>
        <w:t xml:space="preserve"> </w:t>
      </w:r>
      <w:r w:rsidR="00F66E9E" w:rsidRPr="00452EC1">
        <w:t>performance-based financing</w:t>
      </w:r>
      <w:r w:rsidR="005B2BB3">
        <w:t>.</w:t>
      </w:r>
    </w:p>
    <w:p w:rsidR="00A65CCD" w:rsidRDefault="003A50D0" w:rsidP="00564161">
      <w:pPr>
        <w:numPr>
          <w:ilvl w:val="0"/>
          <w:numId w:val="23"/>
        </w:numPr>
        <w:spacing w:after="120"/>
        <w:jc w:val="both"/>
      </w:pPr>
      <w:r>
        <w:rPr>
          <w:bCs/>
          <w:lang w:val="en-CA"/>
        </w:rPr>
        <w:t>Separate districts and health centres budgets and p</w:t>
      </w:r>
      <w:r w:rsidR="00665CEA">
        <w:rPr>
          <w:bCs/>
          <w:lang w:val="en-CA"/>
        </w:rPr>
        <w:t>i</w:t>
      </w:r>
      <w:r w:rsidR="00A65CCD" w:rsidRPr="00C11D59">
        <w:t>lot establishment of health centers as cost centers</w:t>
      </w:r>
      <w:r w:rsidR="00333550">
        <w:t>.</w:t>
      </w:r>
    </w:p>
    <w:p w:rsidR="00A65CCD" w:rsidRPr="00452EC1" w:rsidRDefault="00A65CCD" w:rsidP="00564161">
      <w:pPr>
        <w:numPr>
          <w:ilvl w:val="0"/>
          <w:numId w:val="23"/>
        </w:numPr>
        <w:spacing w:after="120"/>
        <w:jc w:val="both"/>
      </w:pPr>
      <w:r w:rsidRPr="00C11D59">
        <w:t xml:space="preserve">Strengthen </w:t>
      </w:r>
      <w:r w:rsidR="00333550">
        <w:t>P</w:t>
      </w:r>
      <w:r w:rsidRPr="00C11D59">
        <w:t>ublic-</w:t>
      </w:r>
      <w:r w:rsidR="00333550">
        <w:t>P</w:t>
      </w:r>
      <w:r w:rsidRPr="00C11D59">
        <w:t xml:space="preserve">rivate </w:t>
      </w:r>
      <w:r w:rsidR="00333550">
        <w:t>P</w:t>
      </w:r>
      <w:r w:rsidRPr="00C11D59">
        <w:t>artnerships to make efficient use of resources</w:t>
      </w:r>
      <w:r w:rsidR="00333550">
        <w:t>.</w:t>
      </w:r>
    </w:p>
    <w:p w:rsidR="00C71F68" w:rsidRPr="00C11D59" w:rsidRDefault="00C71F68" w:rsidP="00564161">
      <w:pPr>
        <w:numPr>
          <w:ilvl w:val="0"/>
          <w:numId w:val="23"/>
        </w:numPr>
        <w:spacing w:after="120"/>
        <w:jc w:val="both"/>
      </w:pPr>
      <w:r w:rsidRPr="00452EC1">
        <w:rPr>
          <w:lang w:val="en-CA"/>
        </w:rPr>
        <w:t>Decongest central hospitals by raising bypass fees and rolling them out at all central hospitals</w:t>
      </w:r>
      <w:r w:rsidR="00333550">
        <w:rPr>
          <w:lang w:val="en-CA"/>
        </w:rPr>
        <w:t>.</w:t>
      </w:r>
    </w:p>
    <w:p w:rsidR="00A65CCD" w:rsidRPr="0057434A" w:rsidRDefault="00A07A29" w:rsidP="00564161">
      <w:pPr>
        <w:numPr>
          <w:ilvl w:val="0"/>
          <w:numId w:val="23"/>
        </w:numPr>
        <w:spacing w:after="120"/>
        <w:jc w:val="both"/>
      </w:pPr>
      <w:r>
        <w:rPr>
          <w:bCs/>
          <w:lang w:val="en-CA"/>
        </w:rPr>
        <w:t>I</w:t>
      </w:r>
      <w:r w:rsidR="00594436" w:rsidRPr="00452EC1">
        <w:t>mprove</w:t>
      </w:r>
      <w:r w:rsidR="00A65CCD" w:rsidRPr="00452EC1">
        <w:t xml:space="preserve"> efficiency through integration of</w:t>
      </w:r>
      <w:r w:rsidR="00A65CCD" w:rsidRPr="00C11D59">
        <w:t xml:space="preserve"> parallel supply chains</w:t>
      </w:r>
      <w:r w:rsidR="00333550">
        <w:t>.</w:t>
      </w:r>
      <w:r w:rsidR="00A65CCD" w:rsidRPr="00C11D59">
        <w:rPr>
          <w:bCs/>
        </w:rPr>
        <w:t xml:space="preserve"> </w:t>
      </w:r>
    </w:p>
    <w:p w:rsidR="00A65CCD" w:rsidRDefault="00A65CCD" w:rsidP="00564161">
      <w:pPr>
        <w:numPr>
          <w:ilvl w:val="0"/>
          <w:numId w:val="23"/>
        </w:numPr>
        <w:spacing w:after="120"/>
        <w:jc w:val="both"/>
        <w:rPr>
          <w:bCs/>
        </w:rPr>
      </w:pPr>
      <w:r w:rsidRPr="00C11D59">
        <w:rPr>
          <w:bCs/>
        </w:rPr>
        <w:t>Avoid use of middle-men in procurement</w:t>
      </w:r>
      <w:r w:rsidR="002E76BE">
        <w:rPr>
          <w:bCs/>
        </w:rPr>
        <w:t xml:space="preserve"> -</w:t>
      </w:r>
      <w:r w:rsidRPr="00C11D59">
        <w:rPr>
          <w:bCs/>
        </w:rPr>
        <w:t xml:space="preserve"> buying drugs directly from manufacturers</w:t>
      </w:r>
      <w:r w:rsidR="002E76BE">
        <w:rPr>
          <w:bCs/>
        </w:rPr>
        <w:t xml:space="preserve"> in order</w:t>
      </w:r>
      <w:r w:rsidRPr="00C11D59">
        <w:rPr>
          <w:bCs/>
        </w:rPr>
        <w:t xml:space="preserve"> to lower prices</w:t>
      </w:r>
      <w:r w:rsidR="00333550">
        <w:rPr>
          <w:bCs/>
        </w:rPr>
        <w:t>.</w:t>
      </w:r>
    </w:p>
    <w:p w:rsidR="007A3C9B" w:rsidRPr="00831C04" w:rsidRDefault="007A3C9B" w:rsidP="00564161">
      <w:pPr>
        <w:numPr>
          <w:ilvl w:val="0"/>
          <w:numId w:val="23"/>
        </w:numPr>
        <w:spacing w:after="120"/>
        <w:jc w:val="both"/>
      </w:pPr>
      <w:r w:rsidRPr="00452EC1">
        <w:rPr>
          <w:lang w:val="en-CA"/>
        </w:rPr>
        <w:t>Explore how to identify non-nationals in healthcare facilities and account for their costs</w:t>
      </w:r>
      <w:r w:rsidR="00333550">
        <w:rPr>
          <w:lang w:val="en-CA"/>
        </w:rPr>
        <w:t>.</w:t>
      </w:r>
    </w:p>
    <w:p w:rsidR="00B67667" w:rsidRPr="00BA435A" w:rsidRDefault="00A87B4E" w:rsidP="00564161">
      <w:pPr>
        <w:numPr>
          <w:ilvl w:val="0"/>
          <w:numId w:val="23"/>
        </w:numPr>
        <w:spacing w:line="240" w:lineRule="auto"/>
        <w:jc w:val="both"/>
      </w:pPr>
      <w:r>
        <w:rPr>
          <w:bCs/>
          <w:lang w:val="en-CA"/>
        </w:rPr>
        <w:t>Strengthen financial management capacity at all levels of the health system</w:t>
      </w:r>
      <w:r w:rsidR="00333550">
        <w:rPr>
          <w:bCs/>
          <w:lang w:val="en-CA"/>
        </w:rPr>
        <w:t>.</w:t>
      </w:r>
    </w:p>
    <w:p w:rsidR="00BA435A" w:rsidRPr="00BA435A" w:rsidRDefault="00BA435A" w:rsidP="00564161">
      <w:pPr>
        <w:pStyle w:val="CommentText"/>
        <w:numPr>
          <w:ilvl w:val="0"/>
          <w:numId w:val="23"/>
        </w:numPr>
        <w:spacing w:after="200"/>
        <w:rPr>
          <w:rFonts w:ascii="Gill Sans MT" w:hAnsi="Gill Sans MT"/>
          <w:sz w:val="22"/>
          <w:szCs w:val="22"/>
        </w:rPr>
      </w:pPr>
      <w:r w:rsidRPr="00551F32">
        <w:rPr>
          <w:rFonts w:ascii="Gill Sans MT" w:hAnsi="Gill Sans MT"/>
          <w:sz w:val="22"/>
          <w:szCs w:val="22"/>
        </w:rPr>
        <w:t xml:space="preserve">Making strategic investments -investing more in preventive and promotive health and influencing other sectors to increase investments in social determinants </w:t>
      </w:r>
      <w:r>
        <w:rPr>
          <w:rFonts w:ascii="Gill Sans MT" w:hAnsi="Gill Sans MT"/>
          <w:sz w:val="22"/>
          <w:szCs w:val="22"/>
        </w:rPr>
        <w:t>in</w:t>
      </w:r>
      <w:r w:rsidRPr="00551F32">
        <w:rPr>
          <w:rFonts w:ascii="Gill Sans MT" w:hAnsi="Gill Sans MT"/>
          <w:sz w:val="22"/>
          <w:szCs w:val="22"/>
        </w:rPr>
        <w:t xml:space="preserve"> health – e.g. education, agriculture, housing, environment, water, employment e</w:t>
      </w:r>
      <w:r>
        <w:rPr>
          <w:rFonts w:ascii="Gill Sans MT" w:hAnsi="Gill Sans MT"/>
          <w:sz w:val="22"/>
          <w:szCs w:val="22"/>
        </w:rPr>
        <w:t>t</w:t>
      </w:r>
      <w:r w:rsidRPr="00551F32">
        <w:rPr>
          <w:rFonts w:ascii="Gill Sans MT" w:hAnsi="Gill Sans MT"/>
          <w:sz w:val="22"/>
          <w:szCs w:val="22"/>
        </w:rPr>
        <w:t xml:space="preserve">c and review of their </w:t>
      </w:r>
      <w:r>
        <w:rPr>
          <w:rFonts w:ascii="Gill Sans MT" w:hAnsi="Gill Sans MT"/>
          <w:sz w:val="22"/>
          <w:szCs w:val="22"/>
        </w:rPr>
        <w:t xml:space="preserve">sector </w:t>
      </w:r>
      <w:r w:rsidRPr="00551F32">
        <w:rPr>
          <w:rFonts w:ascii="Gill Sans MT" w:hAnsi="Gill Sans MT"/>
          <w:sz w:val="22"/>
          <w:szCs w:val="22"/>
        </w:rPr>
        <w:t xml:space="preserve">policies </w:t>
      </w:r>
      <w:r>
        <w:rPr>
          <w:rFonts w:ascii="Gill Sans MT" w:hAnsi="Gill Sans MT"/>
          <w:sz w:val="22"/>
          <w:szCs w:val="22"/>
        </w:rPr>
        <w:t xml:space="preserve">so as to </w:t>
      </w:r>
      <w:r w:rsidRPr="00551F32">
        <w:rPr>
          <w:rFonts w:ascii="Gill Sans MT" w:hAnsi="Gill Sans MT"/>
          <w:sz w:val="22"/>
          <w:szCs w:val="22"/>
        </w:rPr>
        <w:t xml:space="preserve">take into account </w:t>
      </w:r>
      <w:r>
        <w:rPr>
          <w:rFonts w:ascii="Gill Sans MT" w:hAnsi="Gill Sans MT"/>
          <w:sz w:val="22"/>
          <w:szCs w:val="22"/>
        </w:rPr>
        <w:t xml:space="preserve">the </w:t>
      </w:r>
      <w:r w:rsidRPr="00551F32">
        <w:rPr>
          <w:rFonts w:ascii="Gill Sans MT" w:hAnsi="Gill Sans MT"/>
          <w:sz w:val="22"/>
          <w:szCs w:val="22"/>
        </w:rPr>
        <w:t>health of individuals and the population – health in all policies.</w:t>
      </w:r>
    </w:p>
    <w:p w:rsidR="00C71F68" w:rsidRPr="00D57B20" w:rsidRDefault="00C71F68" w:rsidP="00146927">
      <w:pPr>
        <w:pStyle w:val="BodyText1"/>
      </w:pPr>
      <w:r w:rsidRPr="00D57B20">
        <w:t>Objective 3: Generate evidence to develop health financing approaches based on actual needs and costs while also building health financing capacity at all levels of the health system</w:t>
      </w:r>
    </w:p>
    <w:p w:rsidR="00C71F68" w:rsidRPr="00452EC1" w:rsidRDefault="00C71F68" w:rsidP="00564161">
      <w:pPr>
        <w:numPr>
          <w:ilvl w:val="0"/>
          <w:numId w:val="24"/>
        </w:numPr>
        <w:tabs>
          <w:tab w:val="num" w:pos="720"/>
        </w:tabs>
        <w:spacing w:after="120"/>
        <w:jc w:val="both"/>
      </w:pPr>
      <w:r w:rsidRPr="00C11D59">
        <w:t xml:space="preserve">Engage </w:t>
      </w:r>
      <w:r w:rsidR="008A002F">
        <w:t>G</w:t>
      </w:r>
      <w:r w:rsidRPr="00C11D59">
        <w:t>ov</w:t>
      </w:r>
      <w:r w:rsidR="008A002F">
        <w:t>ernment</w:t>
      </w:r>
      <w:r w:rsidRPr="00C11D59">
        <w:t xml:space="preserve"> and partners </w:t>
      </w:r>
      <w:r w:rsidRPr="00452EC1">
        <w:t>in planning processes by holding national Health Financ</w:t>
      </w:r>
      <w:r w:rsidR="00E1541F">
        <w:t>ing Summit every year</w:t>
      </w:r>
      <w:r w:rsidRPr="00452EC1">
        <w:t xml:space="preserve"> to inform budgeting for MoH, districts, and NAC</w:t>
      </w:r>
      <w:r w:rsidR="00636A5A">
        <w:t>.</w:t>
      </w:r>
    </w:p>
    <w:p w:rsidR="00C71F68" w:rsidRPr="00452EC1" w:rsidRDefault="00C71F68" w:rsidP="00564161">
      <w:pPr>
        <w:numPr>
          <w:ilvl w:val="0"/>
          <w:numId w:val="24"/>
        </w:numPr>
        <w:spacing w:after="120"/>
        <w:jc w:val="both"/>
        <w:rPr>
          <w:bCs/>
        </w:rPr>
      </w:pPr>
      <w:r w:rsidRPr="00C11D59">
        <w:t>Use resource tracking mechanisms</w:t>
      </w:r>
      <w:r w:rsidR="007306D5">
        <w:t xml:space="preserve"> –</w:t>
      </w:r>
      <w:r w:rsidR="00232042">
        <w:t xml:space="preserve"> </w:t>
      </w:r>
      <w:r w:rsidR="007306D5">
        <w:t>National Health Accounts</w:t>
      </w:r>
      <w:r w:rsidR="008D084B">
        <w:t xml:space="preserve"> (NHA)</w:t>
      </w:r>
      <w:r w:rsidR="007306D5">
        <w:t xml:space="preserve">, Resource Mapping, </w:t>
      </w:r>
      <w:r w:rsidR="00B67667">
        <w:t xml:space="preserve">Public Expenditure Reviews, </w:t>
      </w:r>
      <w:r w:rsidR="007306D5">
        <w:t>Public Expenditure Tracking Systems</w:t>
      </w:r>
      <w:r w:rsidR="008D084B">
        <w:t xml:space="preserve"> (PETS)</w:t>
      </w:r>
      <w:r w:rsidR="007306D5">
        <w:t xml:space="preserve">, </w:t>
      </w:r>
      <w:r w:rsidR="00B67667">
        <w:t>and Service</w:t>
      </w:r>
      <w:r w:rsidR="007306D5">
        <w:t xml:space="preserve"> Provision Surveys etc</w:t>
      </w:r>
      <w:r w:rsidR="00B67667">
        <w:t>.</w:t>
      </w:r>
      <w:r w:rsidRPr="00C11D59">
        <w:t xml:space="preserve"> to identify resource gaps as well as areas of surplus and build analytical capacity</w:t>
      </w:r>
      <w:r w:rsidR="00636A5A">
        <w:t>.</w:t>
      </w:r>
    </w:p>
    <w:p w:rsidR="00665CEA" w:rsidRDefault="00C71F68" w:rsidP="00564161">
      <w:pPr>
        <w:numPr>
          <w:ilvl w:val="0"/>
          <w:numId w:val="24"/>
        </w:numPr>
        <w:spacing w:after="120"/>
        <w:jc w:val="both"/>
      </w:pPr>
      <w:r w:rsidRPr="001A33B9">
        <w:t>Re-cost the HSSP so it can be used in budgeting and planning, to ensure cost-effective use of resources</w:t>
      </w:r>
      <w:r w:rsidR="00636A5A">
        <w:t>.</w:t>
      </w:r>
    </w:p>
    <w:p w:rsidR="00093323" w:rsidRDefault="003A3414" w:rsidP="00564161">
      <w:pPr>
        <w:numPr>
          <w:ilvl w:val="0"/>
          <w:numId w:val="24"/>
        </w:numPr>
        <w:spacing w:after="120"/>
        <w:jc w:val="both"/>
      </w:pPr>
      <w:r>
        <w:rPr>
          <w:bCs/>
        </w:rPr>
        <w:t xml:space="preserve">Analyze </w:t>
      </w:r>
      <w:r w:rsidR="007306D5">
        <w:rPr>
          <w:bCs/>
        </w:rPr>
        <w:t xml:space="preserve">burden of disease and </w:t>
      </w:r>
      <w:r>
        <w:rPr>
          <w:bCs/>
        </w:rPr>
        <w:t>cost-effectiveness of interventions</w:t>
      </w:r>
      <w:r w:rsidR="00636A5A">
        <w:rPr>
          <w:bCs/>
        </w:rPr>
        <w:t>.</w:t>
      </w:r>
    </w:p>
    <w:p w:rsidR="00C71F68" w:rsidRPr="00BD4A85" w:rsidRDefault="009322F2" w:rsidP="00AA5468">
      <w:pPr>
        <w:pStyle w:val="HeadingO"/>
      </w:pPr>
      <w:bookmarkStart w:id="24" w:name="_Toc363225859"/>
      <w:bookmarkStart w:id="25" w:name="_Toc384911945"/>
      <w:bookmarkEnd w:id="13"/>
      <w:r w:rsidRPr="00BD4A85">
        <w:lastRenderedPageBreak/>
        <w:t>1.0</w:t>
      </w:r>
      <w:r>
        <w:tab/>
      </w:r>
      <w:r w:rsidR="00FB6B5B">
        <w:tab/>
      </w:r>
      <w:r w:rsidRPr="00BD4A85">
        <w:t>BACKGROUND</w:t>
      </w:r>
      <w:bookmarkEnd w:id="24"/>
      <w:bookmarkEnd w:id="25"/>
    </w:p>
    <w:p w:rsidR="00C71F68" w:rsidRPr="00BD4A85" w:rsidRDefault="00FB6B5B" w:rsidP="001C7880">
      <w:pPr>
        <w:pStyle w:val="Heading2"/>
      </w:pPr>
      <w:bookmarkStart w:id="26" w:name="_Toc363225860"/>
      <w:bookmarkStart w:id="27" w:name="_Toc384911946"/>
      <w:r>
        <w:t>1.1</w:t>
      </w:r>
      <w:r>
        <w:tab/>
      </w:r>
      <w:r w:rsidR="009322F2" w:rsidRPr="00BD4A85">
        <w:t>INTRODUCTION</w:t>
      </w:r>
      <w:bookmarkEnd w:id="26"/>
      <w:bookmarkEnd w:id="27"/>
    </w:p>
    <w:p w:rsidR="00C71F68" w:rsidRPr="00BD4A85" w:rsidRDefault="004D598F" w:rsidP="00C71F68">
      <w:pPr>
        <w:jc w:val="both"/>
        <w:rPr>
          <w:lang w:val="en-GB" w:eastAsia="en-GB"/>
        </w:rPr>
      </w:pPr>
      <w:r>
        <w:rPr>
          <w:rFonts w:cs="Calibri"/>
        </w:rPr>
        <w:pict>
          <v:rect id="_x0000_i1025" style="width:0;height:1.5pt" o:hralign="center" o:hrstd="t" o:hr="t" fillcolor="#a0a0a0" stroked="f"/>
        </w:pict>
      </w:r>
    </w:p>
    <w:p w:rsidR="00C71F68" w:rsidRPr="00BD4A85" w:rsidRDefault="00C71F68" w:rsidP="00135363">
      <w:pPr>
        <w:autoSpaceDE w:val="0"/>
        <w:autoSpaceDN w:val="0"/>
        <w:adjustRightInd w:val="0"/>
        <w:spacing w:after="120"/>
        <w:jc w:val="both"/>
        <w:rPr>
          <w:rFonts w:cs="FootlightMTLight"/>
        </w:rPr>
      </w:pPr>
      <w:r w:rsidRPr="00BD4A85">
        <w:rPr>
          <w:rFonts w:cs="FootlightMTLight"/>
        </w:rPr>
        <w:t xml:space="preserve">This </w:t>
      </w:r>
      <w:r w:rsidR="00A87B4E">
        <w:rPr>
          <w:rFonts w:cs="FootlightMTLight"/>
        </w:rPr>
        <w:t>section</w:t>
      </w:r>
      <w:r w:rsidR="00A87B4E" w:rsidRPr="00BD4A85">
        <w:rPr>
          <w:rFonts w:cs="FootlightMTLight"/>
        </w:rPr>
        <w:t xml:space="preserve"> </w:t>
      </w:r>
      <w:r w:rsidRPr="00BD4A85">
        <w:rPr>
          <w:rFonts w:cs="FootlightMTLight"/>
        </w:rPr>
        <w:t>provides a Strategic Framework for the development of health financing during the years 201</w:t>
      </w:r>
      <w:r w:rsidR="007306D5">
        <w:rPr>
          <w:rFonts w:cs="FootlightMTLight"/>
        </w:rPr>
        <w:t>4</w:t>
      </w:r>
      <w:r w:rsidRPr="00BD4A85">
        <w:rPr>
          <w:rFonts w:cs="FootlightMTLight"/>
        </w:rPr>
        <w:t xml:space="preserve"> –201</w:t>
      </w:r>
      <w:r w:rsidR="008A002F">
        <w:rPr>
          <w:rFonts w:cs="FootlightMTLight"/>
        </w:rPr>
        <w:t>6</w:t>
      </w:r>
      <w:r w:rsidRPr="00BD4A85">
        <w:rPr>
          <w:rFonts w:cs="FootlightMTLight"/>
        </w:rPr>
        <w:t>. Health financing deals with the mechanisms for providing the funding required for the delivery of health services to the population, both in terms of sources of funding for the delivery of health care (input) and the way in which these funds are spent (output).</w:t>
      </w:r>
    </w:p>
    <w:p w:rsidR="00C71F68" w:rsidRPr="00BD4A85" w:rsidRDefault="00C71F68" w:rsidP="007A19D6">
      <w:pPr>
        <w:autoSpaceDE w:val="0"/>
        <w:autoSpaceDN w:val="0"/>
        <w:adjustRightInd w:val="0"/>
        <w:spacing w:after="0" w:line="240" w:lineRule="auto"/>
        <w:contextualSpacing/>
        <w:jc w:val="both"/>
        <w:rPr>
          <w:rFonts w:cs="FootlightMTLight"/>
        </w:rPr>
      </w:pPr>
    </w:p>
    <w:p w:rsidR="00C71F68" w:rsidRPr="00BD4A85" w:rsidRDefault="00C71F68" w:rsidP="00135363">
      <w:pPr>
        <w:autoSpaceDE w:val="0"/>
        <w:autoSpaceDN w:val="0"/>
        <w:adjustRightInd w:val="0"/>
        <w:spacing w:after="120"/>
        <w:jc w:val="both"/>
        <w:rPr>
          <w:rFonts w:cs="FootlightMTLight"/>
        </w:rPr>
      </w:pPr>
      <w:r w:rsidRPr="00BD4A85">
        <w:rPr>
          <w:rFonts w:cs="FootlightMTLight"/>
        </w:rPr>
        <w:t xml:space="preserve">The purpose of </w:t>
      </w:r>
      <w:r w:rsidR="00C77388">
        <w:rPr>
          <w:rFonts w:cs="FootlightMTLight"/>
        </w:rPr>
        <w:t>Health Financing Strategy</w:t>
      </w:r>
      <w:r w:rsidRPr="00BD4A85">
        <w:rPr>
          <w:rFonts w:cs="FootlightMTLight"/>
        </w:rPr>
        <w:t xml:space="preserve"> 201</w:t>
      </w:r>
      <w:r w:rsidR="007306D5">
        <w:rPr>
          <w:rFonts w:cs="FootlightMTLight"/>
        </w:rPr>
        <w:t>4</w:t>
      </w:r>
      <w:r w:rsidRPr="00BD4A85">
        <w:rPr>
          <w:rFonts w:cs="FootlightMTLight"/>
        </w:rPr>
        <w:t>-201</w:t>
      </w:r>
      <w:r w:rsidR="00A07A29">
        <w:rPr>
          <w:rFonts w:cs="FootlightMTLight"/>
        </w:rPr>
        <w:t>6</w:t>
      </w:r>
      <w:r w:rsidRPr="00BD4A85">
        <w:rPr>
          <w:rFonts w:cs="FootlightMTLight"/>
        </w:rPr>
        <w:t xml:space="preserve"> is to put the various existing forms of health financing in Malawi under a single coherent plan</w:t>
      </w:r>
      <w:r w:rsidR="00A07A29">
        <w:rPr>
          <w:rFonts w:cs="FootlightMTLight"/>
        </w:rPr>
        <w:t xml:space="preserve"> and explore new domestic sources of revenue</w:t>
      </w:r>
      <w:r w:rsidRPr="00BD4A85">
        <w:rPr>
          <w:rFonts w:cs="FootlightMTLight"/>
        </w:rPr>
        <w:t xml:space="preserve">. The Strategic Framework builds on past achievements in the health sector and supports current planning activities. </w:t>
      </w:r>
      <w:r>
        <w:rPr>
          <w:rFonts w:cs="FootlightMTLight"/>
        </w:rPr>
        <w:t xml:space="preserve">The </w:t>
      </w:r>
      <w:r w:rsidR="00C77388">
        <w:rPr>
          <w:rFonts w:cs="FootlightMTLight"/>
        </w:rPr>
        <w:t>Health Financing Strategy</w:t>
      </w:r>
      <w:r>
        <w:rPr>
          <w:rFonts w:cs="FootlightMTLight"/>
        </w:rPr>
        <w:t xml:space="preserve"> has been developed to align with strategies and plans such as</w:t>
      </w:r>
      <w:r w:rsidRPr="00BD4A85">
        <w:rPr>
          <w:rFonts w:cs="FootlightMTLight"/>
        </w:rPr>
        <w:t xml:space="preserve">: </w:t>
      </w:r>
    </w:p>
    <w:p w:rsidR="00C71F68" w:rsidRPr="00BD4A85" w:rsidRDefault="00C71F68" w:rsidP="007A19D6">
      <w:pPr>
        <w:autoSpaceDE w:val="0"/>
        <w:autoSpaceDN w:val="0"/>
        <w:adjustRightInd w:val="0"/>
        <w:spacing w:after="0" w:line="240" w:lineRule="auto"/>
        <w:contextualSpacing/>
        <w:jc w:val="both"/>
        <w:rPr>
          <w:rFonts w:cs="FootlightMTLight"/>
        </w:rPr>
      </w:pPr>
    </w:p>
    <w:p w:rsidR="008A002F" w:rsidRPr="00BD4A85" w:rsidRDefault="008A002F" w:rsidP="00564161">
      <w:pPr>
        <w:pStyle w:val="ListParagraph"/>
        <w:numPr>
          <w:ilvl w:val="0"/>
          <w:numId w:val="21"/>
        </w:numPr>
        <w:spacing w:after="120"/>
        <w:jc w:val="both"/>
      </w:pPr>
      <w:r w:rsidRPr="00BD4A85">
        <w:rPr>
          <w:rFonts w:cs="Arial"/>
        </w:rPr>
        <w:t xml:space="preserve">Health </w:t>
      </w:r>
      <w:r w:rsidR="00504416">
        <w:rPr>
          <w:rFonts w:cs="Arial"/>
        </w:rPr>
        <w:t>S</w:t>
      </w:r>
      <w:r w:rsidRPr="00BD4A85">
        <w:rPr>
          <w:rFonts w:cs="Arial"/>
        </w:rPr>
        <w:t xml:space="preserve">ector </w:t>
      </w:r>
      <w:r w:rsidR="00504416">
        <w:rPr>
          <w:rFonts w:cs="Arial"/>
        </w:rPr>
        <w:t>S</w:t>
      </w:r>
      <w:r w:rsidRPr="00BD4A85">
        <w:rPr>
          <w:rFonts w:cs="Arial"/>
        </w:rPr>
        <w:t xml:space="preserve">trategic </w:t>
      </w:r>
      <w:r w:rsidR="00504416">
        <w:rPr>
          <w:rFonts w:cs="Arial"/>
        </w:rPr>
        <w:t>P</w:t>
      </w:r>
      <w:r w:rsidRPr="00BD4A85">
        <w:rPr>
          <w:rFonts w:cs="Arial"/>
        </w:rPr>
        <w:t>lan 2011-2016</w:t>
      </w:r>
    </w:p>
    <w:p w:rsidR="008A002F" w:rsidRPr="008A002F" w:rsidRDefault="008A002F" w:rsidP="00564161">
      <w:pPr>
        <w:pStyle w:val="ListParagraph"/>
        <w:numPr>
          <w:ilvl w:val="0"/>
          <w:numId w:val="21"/>
        </w:numPr>
        <w:autoSpaceDE w:val="0"/>
        <w:autoSpaceDN w:val="0"/>
        <w:adjustRightInd w:val="0"/>
        <w:spacing w:after="120"/>
        <w:jc w:val="both"/>
        <w:rPr>
          <w:rFonts w:cs="Arial"/>
        </w:rPr>
      </w:pPr>
      <w:r w:rsidRPr="00BD4A85">
        <w:rPr>
          <w:rFonts w:cs="Arial"/>
        </w:rPr>
        <w:t>Malawi Growth and Development Strategy</w:t>
      </w:r>
      <w:r w:rsidR="00831C04">
        <w:rPr>
          <w:rFonts w:cs="Arial"/>
        </w:rPr>
        <w:t xml:space="preserve"> II 2011-2016</w:t>
      </w:r>
    </w:p>
    <w:p w:rsidR="00C71F68" w:rsidRPr="00BD4A85" w:rsidRDefault="00C71F68" w:rsidP="00564161">
      <w:pPr>
        <w:pStyle w:val="ListParagraph"/>
        <w:numPr>
          <w:ilvl w:val="0"/>
          <w:numId w:val="21"/>
        </w:numPr>
        <w:spacing w:after="120"/>
        <w:jc w:val="both"/>
      </w:pPr>
      <w:r w:rsidRPr="00BD4A85">
        <w:t>Emergency Human Resource Plan (EHRP)</w:t>
      </w:r>
      <w:r w:rsidR="00831C04">
        <w:t>2004-</w:t>
      </w:r>
      <w:r w:rsidR="00CD0969">
        <w:t>20</w:t>
      </w:r>
      <w:r w:rsidR="00831C04">
        <w:t>10</w:t>
      </w:r>
    </w:p>
    <w:p w:rsidR="00C71F68" w:rsidRPr="00BD4A85" w:rsidRDefault="00C71F68" w:rsidP="00564161">
      <w:pPr>
        <w:pStyle w:val="ListParagraph"/>
        <w:numPr>
          <w:ilvl w:val="0"/>
          <w:numId w:val="21"/>
        </w:numPr>
        <w:spacing w:after="120"/>
        <w:jc w:val="both"/>
        <w:rPr>
          <w:rFonts w:cs="Arial"/>
        </w:rPr>
      </w:pPr>
      <w:bookmarkStart w:id="28" w:name="_Toc277315494"/>
      <w:bookmarkStart w:id="29" w:name="_Toc278969199"/>
      <w:bookmarkStart w:id="30" w:name="_Toc278982305"/>
      <w:bookmarkStart w:id="31" w:name="_Toc278982500"/>
      <w:bookmarkStart w:id="32" w:name="_Toc279955590"/>
      <w:bookmarkStart w:id="33" w:name="_Toc280835500"/>
      <w:bookmarkStart w:id="34" w:name="_Toc280836416"/>
      <w:bookmarkStart w:id="35" w:name="_Toc280837007"/>
      <w:r w:rsidRPr="00BD4A85">
        <w:rPr>
          <w:rFonts w:cs="Arial"/>
        </w:rPr>
        <w:t>National Health Policy, other health policies and standards and guidelines for delivery of the EHP</w:t>
      </w:r>
    </w:p>
    <w:p w:rsidR="00C71F68" w:rsidRPr="00BD4A85" w:rsidRDefault="00C71F68" w:rsidP="00564161">
      <w:pPr>
        <w:pStyle w:val="ListParagraph"/>
        <w:numPr>
          <w:ilvl w:val="0"/>
          <w:numId w:val="21"/>
        </w:numPr>
        <w:spacing w:after="120"/>
        <w:jc w:val="both"/>
        <w:rPr>
          <w:rFonts w:cs="Arial"/>
        </w:rPr>
      </w:pPr>
      <w:r>
        <w:rPr>
          <w:rFonts w:cs="Arial"/>
        </w:rPr>
        <w:t xml:space="preserve">National </w:t>
      </w:r>
      <w:r w:rsidRPr="00BD4A85">
        <w:rPr>
          <w:rFonts w:cs="Arial"/>
        </w:rPr>
        <w:t xml:space="preserve">Decentralization </w:t>
      </w:r>
      <w:r>
        <w:rPr>
          <w:rFonts w:cs="Arial"/>
        </w:rPr>
        <w:t>Policy</w:t>
      </w:r>
      <w:r w:rsidR="00831C04">
        <w:rPr>
          <w:rFonts w:cs="Arial"/>
        </w:rPr>
        <w:t xml:space="preserve"> of 1998</w:t>
      </w:r>
    </w:p>
    <w:bookmarkEnd w:id="28"/>
    <w:bookmarkEnd w:id="29"/>
    <w:bookmarkEnd w:id="30"/>
    <w:bookmarkEnd w:id="31"/>
    <w:bookmarkEnd w:id="32"/>
    <w:bookmarkEnd w:id="33"/>
    <w:bookmarkEnd w:id="34"/>
    <w:bookmarkEnd w:id="35"/>
    <w:p w:rsidR="00093323" w:rsidRPr="00BF2060" w:rsidRDefault="00093323" w:rsidP="00564161">
      <w:pPr>
        <w:pStyle w:val="ListParagraph"/>
        <w:numPr>
          <w:ilvl w:val="0"/>
          <w:numId w:val="21"/>
        </w:numPr>
        <w:spacing w:after="120"/>
        <w:jc w:val="both"/>
        <w:rPr>
          <w:rFonts w:cs="Arial"/>
        </w:rPr>
      </w:pPr>
      <w:r w:rsidRPr="00A13E06">
        <w:rPr>
          <w:lang w:val="en-GB"/>
        </w:rPr>
        <w:t xml:space="preserve">Joint Strategy for Supply Chain Integration in Malawi </w:t>
      </w:r>
      <w:r w:rsidRPr="00655F9F">
        <w:rPr>
          <w:rFonts w:eastAsia="SymbolMT" w:cs="Arial"/>
        </w:rPr>
        <w:t>2012</w:t>
      </w:r>
    </w:p>
    <w:p w:rsidR="00C71F68" w:rsidRDefault="00C71F68" w:rsidP="00564161">
      <w:pPr>
        <w:pStyle w:val="ListParagraph"/>
        <w:numPr>
          <w:ilvl w:val="0"/>
          <w:numId w:val="21"/>
        </w:numPr>
        <w:autoSpaceDE w:val="0"/>
        <w:autoSpaceDN w:val="0"/>
        <w:adjustRightInd w:val="0"/>
        <w:spacing w:after="120"/>
        <w:jc w:val="both"/>
        <w:rPr>
          <w:rFonts w:cs="Arial"/>
        </w:rPr>
      </w:pPr>
      <w:r w:rsidRPr="00BD4A85">
        <w:rPr>
          <w:rFonts w:cs="Arial"/>
        </w:rPr>
        <w:t>Millennium Development Goal</w:t>
      </w:r>
      <w:r w:rsidR="007306D5">
        <w:rPr>
          <w:rFonts w:cs="Arial"/>
        </w:rPr>
        <w:t>s</w:t>
      </w:r>
      <w:r w:rsidR="00831C04">
        <w:rPr>
          <w:rFonts w:cs="Arial"/>
        </w:rPr>
        <w:t xml:space="preserve"> 2015</w:t>
      </w:r>
    </w:p>
    <w:p w:rsidR="00BA3B9B" w:rsidRPr="00BD4A85" w:rsidRDefault="00BA3B9B" w:rsidP="00BA3B9B">
      <w:pPr>
        <w:pStyle w:val="ListParagraph"/>
        <w:autoSpaceDE w:val="0"/>
        <w:autoSpaceDN w:val="0"/>
        <w:adjustRightInd w:val="0"/>
        <w:spacing w:after="0" w:line="240" w:lineRule="auto"/>
        <w:jc w:val="both"/>
        <w:rPr>
          <w:rFonts w:cs="Arial"/>
        </w:rPr>
      </w:pPr>
    </w:p>
    <w:p w:rsidR="00C71F68" w:rsidRPr="00BD4A85" w:rsidRDefault="00AA5468" w:rsidP="001C7880">
      <w:pPr>
        <w:pStyle w:val="Heading2"/>
        <w:rPr>
          <w:rFonts w:eastAsia="Calibri" w:cs="FootlightMTLight"/>
          <w:szCs w:val="24"/>
        </w:rPr>
      </w:pPr>
      <w:bookmarkStart w:id="36" w:name="_Toc363225861"/>
      <w:bookmarkStart w:id="37" w:name="_Toc384911947"/>
      <w:r w:rsidRPr="00BD4A85">
        <w:t>1.2</w:t>
      </w:r>
      <w:r w:rsidRPr="00BD4A85">
        <w:tab/>
        <w:t xml:space="preserve"> FINANCING OF HEALTH SERVICES IN MALAWI</w:t>
      </w:r>
      <w:bookmarkEnd w:id="36"/>
      <w:bookmarkEnd w:id="37"/>
    </w:p>
    <w:p w:rsidR="00C71F68" w:rsidRPr="00BD4A85" w:rsidRDefault="004D598F" w:rsidP="00C71F68">
      <w:pPr>
        <w:rPr>
          <w:lang w:val="en-GB" w:eastAsia="en-GB"/>
        </w:rPr>
      </w:pPr>
      <w:r>
        <w:rPr>
          <w:rFonts w:cs="Calibri"/>
        </w:rPr>
        <w:pict>
          <v:rect id="_x0000_i1026" style="width:0;height:1.5pt" o:hralign="center" o:hrstd="t" o:hr="t" fillcolor="#a0a0a0" stroked="f"/>
        </w:pict>
      </w:r>
    </w:p>
    <w:p w:rsidR="001C6408" w:rsidRDefault="00C71F68" w:rsidP="00C71F68">
      <w:pPr>
        <w:jc w:val="both"/>
      </w:pPr>
      <w:r w:rsidRPr="00BD4A85">
        <w:t xml:space="preserve">Malawi’s financial resources for health are supplied by </w:t>
      </w:r>
      <w:r w:rsidR="007306D5">
        <w:t>four</w:t>
      </w:r>
      <w:r w:rsidR="00703E62">
        <w:t xml:space="preserve"> </w:t>
      </w:r>
      <w:r w:rsidRPr="00BD4A85">
        <w:t xml:space="preserve">sources: external sources (donors), government revenues, </w:t>
      </w:r>
      <w:r w:rsidR="00703E62">
        <w:t xml:space="preserve">as well as </w:t>
      </w:r>
      <w:r w:rsidRPr="00BD4A85">
        <w:t xml:space="preserve">private </w:t>
      </w:r>
      <w:r>
        <w:t>institutions and household</w:t>
      </w:r>
      <w:r w:rsidR="00703E62">
        <w:t>s</w:t>
      </w:r>
      <w:r w:rsidRPr="00BD4A85">
        <w:t>. Since 200</w:t>
      </w:r>
      <w:r w:rsidR="001F0FE9">
        <w:t>1</w:t>
      </w:r>
      <w:r w:rsidRPr="00BD4A85">
        <w:t>, health sector resources have increased significantly. However, the proportion of these resources coming from private and public sources ha</w:t>
      </w:r>
      <w:r w:rsidR="000B7004">
        <w:t>s</w:t>
      </w:r>
      <w:r w:rsidRPr="00BD4A85">
        <w:t xml:space="preserve"> steadily decreased, while the proportion of resources from donor contributions has increased</w:t>
      </w:r>
      <w:r w:rsidR="00504416">
        <w:t xml:space="preserve"> (See Figure 1)</w:t>
      </w:r>
      <w:r w:rsidRPr="00BD4A85">
        <w:t xml:space="preserve">.  </w:t>
      </w:r>
    </w:p>
    <w:p w:rsidR="00BB6C41" w:rsidRDefault="00BB6C41" w:rsidP="00C71F68">
      <w:pPr>
        <w:jc w:val="both"/>
      </w:pPr>
    </w:p>
    <w:p w:rsidR="00BB6C41" w:rsidRDefault="00BB6C41" w:rsidP="00C71F68">
      <w:pPr>
        <w:jc w:val="both"/>
      </w:pPr>
    </w:p>
    <w:p w:rsidR="00BB6C41" w:rsidRDefault="00BB6C41" w:rsidP="00C71F68">
      <w:pPr>
        <w:jc w:val="both"/>
      </w:pPr>
    </w:p>
    <w:p w:rsidR="00BB6C41" w:rsidRDefault="00BB6C41" w:rsidP="00C71F68">
      <w:pPr>
        <w:jc w:val="both"/>
      </w:pPr>
    </w:p>
    <w:p w:rsidR="00BB6C41" w:rsidRDefault="00BB6C41" w:rsidP="00C71F68">
      <w:pPr>
        <w:jc w:val="both"/>
      </w:pPr>
    </w:p>
    <w:p w:rsidR="00BB6C41" w:rsidRPr="00BD4A85" w:rsidRDefault="00BB6C41" w:rsidP="00C71F68">
      <w:pPr>
        <w:jc w:val="both"/>
      </w:pPr>
    </w:p>
    <w:p w:rsidR="00C71F68" w:rsidRPr="004709C6" w:rsidRDefault="004709C6" w:rsidP="004709C6">
      <w:pPr>
        <w:pStyle w:val="Caption"/>
        <w:rPr>
          <w:rFonts w:cs="Calibri"/>
          <w:bCs w:val="0"/>
          <w:sz w:val="22"/>
          <w:szCs w:val="22"/>
        </w:rPr>
      </w:pPr>
      <w:bookmarkStart w:id="38" w:name="_Toc384908037"/>
      <w:r w:rsidRPr="004709C6">
        <w:rPr>
          <w:sz w:val="22"/>
          <w:szCs w:val="22"/>
        </w:rPr>
        <w:t xml:space="preserve">Figure </w:t>
      </w:r>
      <w:r w:rsidRPr="004709C6">
        <w:rPr>
          <w:sz w:val="22"/>
          <w:szCs w:val="22"/>
        </w:rPr>
        <w:fldChar w:fldCharType="begin"/>
      </w:r>
      <w:r w:rsidRPr="004709C6">
        <w:rPr>
          <w:sz w:val="22"/>
          <w:szCs w:val="22"/>
        </w:rPr>
        <w:instrText xml:space="preserve"> SEQ Figure \* ARABIC </w:instrText>
      </w:r>
      <w:r w:rsidRPr="004709C6">
        <w:rPr>
          <w:sz w:val="22"/>
          <w:szCs w:val="22"/>
        </w:rPr>
        <w:fldChar w:fldCharType="separate"/>
      </w:r>
      <w:r w:rsidR="00381BCB">
        <w:rPr>
          <w:noProof/>
          <w:sz w:val="22"/>
          <w:szCs w:val="22"/>
        </w:rPr>
        <w:t>1</w:t>
      </w:r>
      <w:r w:rsidRPr="004709C6">
        <w:rPr>
          <w:sz w:val="22"/>
          <w:szCs w:val="22"/>
        </w:rPr>
        <w:fldChar w:fldCharType="end"/>
      </w:r>
      <w:r w:rsidRPr="004709C6">
        <w:rPr>
          <w:sz w:val="22"/>
          <w:szCs w:val="22"/>
        </w:rPr>
        <w:t>: Funding sources for Malawi health expenditure, 2001-2012</w:t>
      </w:r>
      <w:bookmarkEnd w:id="38"/>
    </w:p>
    <w:p w:rsidR="00627DB3" w:rsidRPr="00BD4A85" w:rsidRDefault="00627DB3" w:rsidP="00C71F68">
      <w:pPr>
        <w:pStyle w:val="1-DocTextBold"/>
        <w:rPr>
          <w:rFonts w:ascii="Calibri" w:hAnsi="Calibri" w:cs="Calibri"/>
          <w:sz w:val="24"/>
          <w:szCs w:val="24"/>
        </w:rPr>
      </w:pPr>
      <w:r w:rsidRPr="00831C04">
        <w:rPr>
          <w:noProof/>
          <w:sz w:val="28"/>
          <w:szCs w:val="28"/>
          <w:highlight w:val="yellow"/>
          <w:lang w:val="en-US"/>
        </w:rPr>
        <w:drawing>
          <wp:inline distT="0" distB="0" distL="0" distR="0" wp14:anchorId="42E9753E" wp14:editId="11439DDF">
            <wp:extent cx="5943600" cy="2587625"/>
            <wp:effectExtent l="0" t="0" r="19050" b="222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71F68" w:rsidRDefault="00C71F68" w:rsidP="00C71F68">
      <w:pPr>
        <w:tabs>
          <w:tab w:val="left" w:pos="2700"/>
        </w:tabs>
        <w:spacing w:before="120" w:after="120"/>
        <w:jc w:val="both"/>
        <w:rPr>
          <w:rFonts w:cs="Calibri"/>
          <w:sz w:val="18"/>
          <w:szCs w:val="18"/>
        </w:rPr>
      </w:pPr>
      <w:r w:rsidRPr="00F608D1">
        <w:rPr>
          <w:rFonts w:cs="Calibri"/>
          <w:sz w:val="18"/>
          <w:szCs w:val="18"/>
        </w:rPr>
        <w:t xml:space="preserve">Sources: </w:t>
      </w:r>
      <w:r w:rsidR="001F0FE9" w:rsidRPr="00F608D1">
        <w:rPr>
          <w:rFonts w:cs="Calibri"/>
          <w:sz w:val="18"/>
          <w:szCs w:val="18"/>
        </w:rPr>
        <w:t>Malawi Government</w:t>
      </w:r>
      <w:r w:rsidRPr="00F608D1">
        <w:rPr>
          <w:rFonts w:cs="Calibri"/>
          <w:sz w:val="18"/>
          <w:szCs w:val="18"/>
        </w:rPr>
        <w:t xml:space="preserve"> 2007, 2008</w:t>
      </w:r>
      <w:r w:rsidR="00627DB3" w:rsidRPr="00F608D1">
        <w:rPr>
          <w:rFonts w:cs="Calibri"/>
          <w:sz w:val="18"/>
          <w:szCs w:val="18"/>
        </w:rPr>
        <w:t>,</w:t>
      </w:r>
      <w:r w:rsidRPr="00F608D1">
        <w:rPr>
          <w:rFonts w:cs="Calibri"/>
          <w:sz w:val="18"/>
          <w:szCs w:val="18"/>
        </w:rPr>
        <w:t xml:space="preserve"> 2012</w:t>
      </w:r>
      <w:r w:rsidR="00232042">
        <w:rPr>
          <w:rFonts w:cs="Calibri"/>
          <w:sz w:val="18"/>
          <w:szCs w:val="18"/>
        </w:rPr>
        <w:t>, 2013</w:t>
      </w:r>
      <w:r w:rsidRPr="00F608D1">
        <w:rPr>
          <w:rFonts w:cs="Calibri"/>
          <w:sz w:val="18"/>
          <w:szCs w:val="18"/>
        </w:rPr>
        <w:t xml:space="preserve"> and the HSSP 2011-2016</w:t>
      </w:r>
    </w:p>
    <w:p w:rsidR="000B7004" w:rsidRPr="00F608D1" w:rsidRDefault="000B7004" w:rsidP="00C71F68">
      <w:pPr>
        <w:tabs>
          <w:tab w:val="left" w:pos="2700"/>
        </w:tabs>
        <w:spacing w:before="120" w:after="120"/>
        <w:jc w:val="both"/>
        <w:rPr>
          <w:rFonts w:cs="Calibri"/>
          <w:sz w:val="18"/>
          <w:szCs w:val="18"/>
        </w:rPr>
      </w:pPr>
    </w:p>
    <w:p w:rsidR="000B7004" w:rsidRPr="00BD4A85" w:rsidRDefault="001877A9" w:rsidP="000816D5">
      <w:pPr>
        <w:spacing w:after="120"/>
        <w:jc w:val="both"/>
      </w:pPr>
      <w:r>
        <w:t>From Figure 1, it can be seen that i</w:t>
      </w:r>
      <w:r w:rsidR="00C71F68" w:rsidRPr="00F608D1">
        <w:t xml:space="preserve">n 2001, donor contributions made up 36% of total health expenditures and that percentage has since increased to over </w:t>
      </w:r>
      <w:r w:rsidR="001F0FE9" w:rsidRPr="00F608D1">
        <w:t>69</w:t>
      </w:r>
      <w:r w:rsidR="00C71F68" w:rsidRPr="00F608D1">
        <w:t>%</w:t>
      </w:r>
      <w:r>
        <w:t xml:space="preserve"> of total health spending</w:t>
      </w:r>
      <w:r w:rsidR="00C71F68" w:rsidRPr="00F608D1">
        <w:t>.</w:t>
      </w:r>
      <w:bookmarkStart w:id="39" w:name="_Toc336005766"/>
      <w:bookmarkStart w:id="40" w:name="_Toc336005882"/>
      <w:bookmarkStart w:id="41" w:name="_Toc336005278"/>
      <w:bookmarkStart w:id="42" w:name="_Toc336005404"/>
      <w:bookmarkStart w:id="43" w:name="_Toc336005659"/>
      <w:bookmarkStart w:id="44" w:name="_Toc336005774"/>
      <w:bookmarkStart w:id="45" w:name="_Toc336005890"/>
      <w:bookmarkStart w:id="46" w:name="_Toc335163854"/>
      <w:bookmarkStart w:id="47" w:name="_Toc335163974"/>
      <w:bookmarkStart w:id="48" w:name="_Toc335164105"/>
      <w:bookmarkStart w:id="49" w:name="_Toc335164239"/>
      <w:bookmarkStart w:id="50" w:name="_Toc335164851"/>
      <w:bookmarkStart w:id="51" w:name="_Toc335165001"/>
      <w:bookmarkStart w:id="52" w:name="_Toc335165154"/>
      <w:bookmarkStart w:id="53" w:name="_Toc335165299"/>
      <w:bookmarkStart w:id="54" w:name="_Toc335165440"/>
      <w:bookmarkStart w:id="55" w:name="_Toc335165581"/>
      <w:bookmarkStart w:id="56" w:name="_Toc335165721"/>
      <w:bookmarkStart w:id="57" w:name="_Toc335165856"/>
      <w:bookmarkStart w:id="58" w:name="_Toc335165988"/>
      <w:bookmarkStart w:id="59" w:name="_Toc335166121"/>
      <w:bookmarkStart w:id="60" w:name="_Toc335166248"/>
      <w:bookmarkStart w:id="61" w:name="_Toc335213147"/>
      <w:bookmarkStart w:id="62" w:name="_Toc335214384"/>
      <w:bookmarkStart w:id="63" w:name="_Toc335214669"/>
      <w:bookmarkStart w:id="64" w:name="_Toc335225226"/>
      <w:bookmarkStart w:id="65" w:name="_Toc335225510"/>
      <w:bookmarkStart w:id="66" w:name="_Toc335225619"/>
      <w:bookmarkStart w:id="67" w:name="_Toc335225732"/>
      <w:bookmarkStart w:id="68" w:name="_Toc335289064"/>
      <w:bookmarkStart w:id="69" w:name="_Toc335384383"/>
      <w:bookmarkStart w:id="70" w:name="_Toc335384508"/>
      <w:bookmarkStart w:id="71" w:name="_Toc335652166"/>
      <w:bookmarkStart w:id="72" w:name="_Toc335652321"/>
      <w:bookmarkStart w:id="73" w:name="_Toc335161685"/>
      <w:bookmarkStart w:id="74" w:name="_Toc335161686"/>
      <w:bookmarkStart w:id="75" w:name="_Toc335161687"/>
      <w:bookmarkStart w:id="76" w:name="_Toc335161688"/>
      <w:bookmarkStart w:id="77" w:name="_Toc336005290"/>
      <w:bookmarkStart w:id="78" w:name="_Toc336005416"/>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C71F68" w:rsidRPr="00F608D1">
        <w:t xml:space="preserve"> The government, as the second major financing source for health in Malawi, </w:t>
      </w:r>
      <w:r w:rsidR="00504416">
        <w:t>its share in total health spending fell from over 40%</w:t>
      </w:r>
      <w:r w:rsidR="00127AFE">
        <w:t xml:space="preserve"> in 2002</w:t>
      </w:r>
      <w:r w:rsidR="00504416">
        <w:t xml:space="preserve"> to around 17% of total health spending </w:t>
      </w:r>
      <w:r>
        <w:t>in</w:t>
      </w:r>
      <w:r w:rsidR="00504416">
        <w:t xml:space="preserve"> 2012.</w:t>
      </w:r>
      <w:r w:rsidR="00113B0F">
        <w:t xml:space="preserve"> While private sources contribution in total health spending also fell from a high of 26% in 2001 to a low of 14% </w:t>
      </w:r>
      <w:r>
        <w:t>in</w:t>
      </w:r>
      <w:r w:rsidR="00113B0F">
        <w:t xml:space="preserve"> 2012.</w:t>
      </w:r>
      <w:r w:rsidR="001F0FE9" w:rsidRPr="00F608D1">
        <w:t xml:space="preserve"> </w:t>
      </w:r>
    </w:p>
    <w:p w:rsidR="00C71F68" w:rsidRDefault="00AA5468" w:rsidP="00A12622">
      <w:pPr>
        <w:pStyle w:val="Heading3"/>
      </w:pPr>
      <w:bookmarkStart w:id="79" w:name="_Toc363225862"/>
      <w:r w:rsidRPr="00AA5468">
        <w:t>1.2.1</w:t>
      </w:r>
      <w:r w:rsidRPr="00AA5468">
        <w:tab/>
        <w:t>DONOR RESOURCES FOR HEALTH</w:t>
      </w:r>
      <w:bookmarkEnd w:id="79"/>
    </w:p>
    <w:p w:rsidR="00C71F68" w:rsidRDefault="00C71F68" w:rsidP="00C71F68">
      <w:pPr>
        <w:spacing w:after="120"/>
        <w:jc w:val="both"/>
      </w:pPr>
      <w:r w:rsidRPr="00BD4A85">
        <w:t>The health financing landscape in Malawi has moved from a predominantly government funded health system to a largely donor fina</w:t>
      </w:r>
      <w:r w:rsidR="00093323">
        <w:t>nced health system. D</w:t>
      </w:r>
      <w:r w:rsidRPr="00BD4A85">
        <w:t xml:space="preserve">onors </w:t>
      </w:r>
      <w:r w:rsidR="00093323">
        <w:t xml:space="preserve">on average </w:t>
      </w:r>
      <w:r w:rsidRPr="00BD4A85">
        <w:t xml:space="preserve">are contributing over </w:t>
      </w:r>
      <w:r w:rsidR="00BF3CF1">
        <w:t>64</w:t>
      </w:r>
      <w:r w:rsidRPr="00BD4A85">
        <w:t xml:space="preserve">% of the total </w:t>
      </w:r>
      <w:r w:rsidR="00BF3CF1">
        <w:t>health expenditure in the entire</w:t>
      </w:r>
      <w:r w:rsidRPr="00BD4A85">
        <w:t xml:space="preserve"> health system</w:t>
      </w:r>
      <w:r w:rsidR="00BF3CF1">
        <w:t>.</w:t>
      </w:r>
      <w:r w:rsidRPr="00BD4A85">
        <w:t xml:space="preserve">  This leaves important programs at risk if donor funding</w:t>
      </w:r>
      <w:r w:rsidR="00BF3CF1">
        <w:t xml:space="preserve"> priority</w:t>
      </w:r>
      <w:r w:rsidRPr="00BD4A85">
        <w:t xml:space="preserve"> shifts, and limits the long term sustainability of the health system unless </w:t>
      </w:r>
      <w:r>
        <w:t xml:space="preserve">domestic </w:t>
      </w:r>
      <w:r w:rsidRPr="00BD4A85">
        <w:t>financing systems are strengthened.</w:t>
      </w:r>
    </w:p>
    <w:p w:rsidR="00C71F68" w:rsidRDefault="00AA5468" w:rsidP="00A12622">
      <w:pPr>
        <w:pStyle w:val="Heading3"/>
      </w:pPr>
      <w:bookmarkStart w:id="80" w:name="_Toc363225863"/>
      <w:r w:rsidRPr="00BD4A85">
        <w:t>1.2.2</w:t>
      </w:r>
      <w:r w:rsidRPr="00BD4A85">
        <w:tab/>
        <w:t>GOVERNMENT RESOURCES FOR HEALTH</w:t>
      </w:r>
      <w:bookmarkEnd w:id="80"/>
    </w:p>
    <w:p w:rsidR="00C71F68" w:rsidRPr="00BD4A85" w:rsidRDefault="003616FA" w:rsidP="006650A0">
      <w:pPr>
        <w:pStyle w:val="ListParagraph"/>
        <w:ind w:left="0"/>
        <w:jc w:val="both"/>
      </w:pPr>
      <w:r w:rsidRPr="00135363">
        <w:rPr>
          <w:rFonts w:asciiTheme="minorHAnsi" w:hAnsiTheme="minorHAnsi"/>
        </w:rPr>
        <w:t>Government resources mainly come</w:t>
      </w:r>
      <w:r w:rsidR="00F52A99" w:rsidRPr="00135363">
        <w:rPr>
          <w:rFonts w:asciiTheme="minorHAnsi" w:hAnsiTheme="minorHAnsi"/>
        </w:rPr>
        <w:t xml:space="preserve"> </w:t>
      </w:r>
      <w:r w:rsidR="003A64EC" w:rsidRPr="00135363">
        <w:rPr>
          <w:rFonts w:asciiTheme="minorHAnsi" w:hAnsiTheme="minorHAnsi"/>
        </w:rPr>
        <w:t xml:space="preserve">from general revenue taxes. </w:t>
      </w:r>
      <w:r w:rsidR="00C71F68" w:rsidRPr="00135363">
        <w:rPr>
          <w:rFonts w:asciiTheme="minorHAnsi" w:hAnsiTheme="minorHAnsi"/>
        </w:rPr>
        <w:t>Malawi’s government contribution</w:t>
      </w:r>
      <w:r w:rsidR="007250C2" w:rsidRPr="00135363">
        <w:rPr>
          <w:rFonts w:asciiTheme="minorHAnsi" w:hAnsiTheme="minorHAnsi"/>
        </w:rPr>
        <w:t xml:space="preserve"> to health expenditure (excluding pool donors) per capita was </w:t>
      </w:r>
      <w:r w:rsidR="00504416">
        <w:rPr>
          <w:rFonts w:asciiTheme="minorHAnsi" w:hAnsiTheme="minorHAnsi"/>
        </w:rPr>
        <w:t>US</w:t>
      </w:r>
      <w:r w:rsidR="007250C2" w:rsidRPr="00135363">
        <w:rPr>
          <w:rFonts w:asciiTheme="minorHAnsi" w:hAnsiTheme="minorHAnsi"/>
        </w:rPr>
        <w:t>$6.8</w:t>
      </w:r>
      <w:r w:rsidR="00504416">
        <w:rPr>
          <w:rFonts w:asciiTheme="minorHAnsi" w:hAnsiTheme="minorHAnsi"/>
        </w:rPr>
        <w:t xml:space="preserve"> in 2012</w:t>
      </w:r>
      <w:r w:rsidR="007250C2" w:rsidRPr="00135363">
        <w:rPr>
          <w:rFonts w:asciiTheme="minorHAnsi" w:hAnsiTheme="minorHAnsi"/>
        </w:rPr>
        <w:t>. This was the lowest and</w:t>
      </w:r>
      <w:r w:rsidR="001F5B5D" w:rsidRPr="00135363">
        <w:rPr>
          <w:rFonts w:asciiTheme="minorHAnsi" w:hAnsiTheme="minorHAnsi"/>
        </w:rPr>
        <w:t xml:space="preserve"> far below the </w:t>
      </w:r>
      <w:r w:rsidR="007250C2" w:rsidRPr="00135363">
        <w:rPr>
          <w:rFonts w:asciiTheme="minorHAnsi" w:hAnsiTheme="minorHAnsi"/>
        </w:rPr>
        <w:t>SADC Government</w:t>
      </w:r>
      <w:r w:rsidR="001F5B5D" w:rsidRPr="00135363">
        <w:rPr>
          <w:rFonts w:asciiTheme="minorHAnsi" w:hAnsiTheme="minorHAnsi"/>
        </w:rPr>
        <w:t xml:space="preserve"> Expenditure on Health </w:t>
      </w:r>
      <w:r w:rsidR="007250C2" w:rsidRPr="00135363">
        <w:rPr>
          <w:rFonts w:asciiTheme="minorHAnsi" w:hAnsiTheme="minorHAnsi"/>
        </w:rPr>
        <w:t>per capita averag</w:t>
      </w:r>
      <w:r w:rsidR="00127AFE">
        <w:rPr>
          <w:rFonts w:asciiTheme="minorHAnsi" w:hAnsiTheme="minorHAnsi"/>
        </w:rPr>
        <w:t>ing</w:t>
      </w:r>
      <w:r w:rsidR="007250C2" w:rsidRPr="00135363">
        <w:rPr>
          <w:rFonts w:asciiTheme="minorHAnsi" w:hAnsiTheme="minorHAnsi"/>
        </w:rPr>
        <w:t xml:space="preserve"> US$141. As a percentage of total government expenditure, the government health expenditure</w:t>
      </w:r>
      <w:r w:rsidR="00127AFE">
        <w:rPr>
          <w:rFonts w:asciiTheme="minorHAnsi" w:hAnsiTheme="minorHAnsi"/>
        </w:rPr>
        <w:t xml:space="preserve"> (excluding pool donors)</w:t>
      </w:r>
      <w:r w:rsidR="007250C2" w:rsidRPr="00135363">
        <w:rPr>
          <w:rFonts w:asciiTheme="minorHAnsi" w:hAnsiTheme="minorHAnsi"/>
        </w:rPr>
        <w:t xml:space="preserve"> was only 6.7%</w:t>
      </w:r>
      <w:r w:rsidR="006650A0" w:rsidRPr="00135363">
        <w:rPr>
          <w:rStyle w:val="FootnoteReference"/>
          <w:rFonts w:asciiTheme="minorHAnsi" w:hAnsiTheme="minorHAnsi"/>
        </w:rPr>
        <w:footnoteReference w:id="3"/>
      </w:r>
      <w:r w:rsidR="006650A0" w:rsidRPr="00135363">
        <w:rPr>
          <w:rFonts w:asciiTheme="minorHAnsi" w:hAnsiTheme="minorHAnsi"/>
        </w:rPr>
        <w:t xml:space="preserve">. </w:t>
      </w:r>
      <w:r w:rsidR="00F52A99" w:rsidRPr="00135363">
        <w:rPr>
          <w:rFonts w:asciiTheme="minorHAnsi" w:hAnsiTheme="minorHAnsi"/>
        </w:rPr>
        <w:t xml:space="preserve">If pool donor contributions are </w:t>
      </w:r>
      <w:r w:rsidR="001317C1" w:rsidRPr="00135363">
        <w:rPr>
          <w:rFonts w:asciiTheme="minorHAnsi" w:hAnsiTheme="minorHAnsi"/>
        </w:rPr>
        <w:t>added</w:t>
      </w:r>
      <w:r w:rsidR="00F52A99" w:rsidRPr="00135363">
        <w:rPr>
          <w:rFonts w:asciiTheme="minorHAnsi" w:hAnsiTheme="minorHAnsi"/>
        </w:rPr>
        <w:t xml:space="preserve">, the expenditure on health as percentage of total </w:t>
      </w:r>
      <w:r w:rsidR="00F52A99" w:rsidRPr="00135363">
        <w:rPr>
          <w:rFonts w:asciiTheme="minorHAnsi" w:hAnsiTheme="minorHAnsi"/>
        </w:rPr>
        <w:lastRenderedPageBreak/>
        <w:t xml:space="preserve">government expenditure </w:t>
      </w:r>
      <w:r w:rsidR="001317C1" w:rsidRPr="00135363">
        <w:rPr>
          <w:rFonts w:asciiTheme="minorHAnsi" w:hAnsiTheme="minorHAnsi"/>
        </w:rPr>
        <w:t xml:space="preserve">only </w:t>
      </w:r>
      <w:r w:rsidR="00F52A99" w:rsidRPr="00135363">
        <w:rPr>
          <w:rFonts w:asciiTheme="minorHAnsi" w:hAnsiTheme="minorHAnsi"/>
        </w:rPr>
        <w:t xml:space="preserve">reaches 12%. </w:t>
      </w:r>
      <w:r w:rsidR="001317C1" w:rsidRPr="00135363">
        <w:rPr>
          <w:rFonts w:asciiTheme="minorHAnsi" w:hAnsiTheme="minorHAnsi"/>
        </w:rPr>
        <w:t xml:space="preserve">Malawi has </w:t>
      </w:r>
      <w:r w:rsidR="001317C1" w:rsidRPr="00135363">
        <w:rPr>
          <w:rFonts w:asciiTheme="minorHAnsi" w:hAnsiTheme="minorHAnsi"/>
          <w:bCs/>
        </w:rPr>
        <w:t>consistently not been me</w:t>
      </w:r>
      <w:r w:rsidR="000816D5">
        <w:rPr>
          <w:rFonts w:asciiTheme="minorHAnsi" w:hAnsiTheme="minorHAnsi"/>
          <w:bCs/>
        </w:rPr>
        <w:t>e</w:t>
      </w:r>
      <w:r w:rsidR="001317C1" w:rsidRPr="00135363">
        <w:rPr>
          <w:rFonts w:asciiTheme="minorHAnsi" w:hAnsiTheme="minorHAnsi"/>
          <w:bCs/>
        </w:rPr>
        <w:t>t</w:t>
      </w:r>
      <w:r w:rsidR="000816D5">
        <w:rPr>
          <w:rFonts w:asciiTheme="minorHAnsi" w:hAnsiTheme="minorHAnsi"/>
          <w:bCs/>
        </w:rPr>
        <w:t>ing the</w:t>
      </w:r>
      <w:r w:rsidR="001317C1" w:rsidRPr="00135363">
        <w:rPr>
          <w:rFonts w:asciiTheme="minorHAnsi" w:hAnsiTheme="minorHAnsi"/>
        </w:rPr>
        <w:t xml:space="preserve"> </w:t>
      </w:r>
      <w:r w:rsidR="00F52A99" w:rsidRPr="00135363">
        <w:rPr>
          <w:rFonts w:asciiTheme="minorHAnsi" w:hAnsiTheme="minorHAnsi"/>
        </w:rPr>
        <w:t>Abuja Declaration target</w:t>
      </w:r>
      <w:r w:rsidR="00F52A99" w:rsidRPr="00135363">
        <w:rPr>
          <w:rFonts w:asciiTheme="minorHAnsi" w:hAnsiTheme="minorHAnsi"/>
          <w:bCs/>
        </w:rPr>
        <w:t>.</w:t>
      </w:r>
      <w:r w:rsidR="00F52A99" w:rsidRPr="00135363">
        <w:rPr>
          <w:rFonts w:asciiTheme="minorHAnsi" w:hAnsiTheme="minorHAnsi"/>
        </w:rPr>
        <w:t xml:space="preserve"> </w:t>
      </w:r>
      <w:r w:rsidR="006650A0" w:rsidRPr="00135363">
        <w:rPr>
          <w:rFonts w:asciiTheme="minorHAnsi" w:hAnsiTheme="minorHAnsi"/>
        </w:rPr>
        <w:t>However, the</w:t>
      </w:r>
      <w:r w:rsidR="00C71F68" w:rsidRPr="00135363">
        <w:rPr>
          <w:rFonts w:asciiTheme="minorHAnsi" w:hAnsiTheme="minorHAnsi"/>
        </w:rPr>
        <w:t xml:space="preserve"> </w:t>
      </w:r>
      <w:r w:rsidR="00C71F68" w:rsidRPr="00135363">
        <w:rPr>
          <w:rFonts w:asciiTheme="minorHAnsi" w:hAnsiTheme="minorHAnsi"/>
          <w:bCs/>
        </w:rPr>
        <w:t>Malawi’s</w:t>
      </w:r>
      <w:r w:rsidR="00C71F68" w:rsidRPr="00BD4A85">
        <w:rPr>
          <w:bCs/>
        </w:rPr>
        <w:t xml:space="preserve"> HSSP 2011-16 indicates </w:t>
      </w:r>
      <w:r w:rsidR="006650A0">
        <w:rPr>
          <w:bCs/>
        </w:rPr>
        <w:t xml:space="preserve">the intention of </w:t>
      </w:r>
      <w:r w:rsidR="006650A0" w:rsidRPr="00BD4A85">
        <w:rPr>
          <w:bCs/>
        </w:rPr>
        <w:t>government</w:t>
      </w:r>
      <w:r w:rsidR="00C71F68" w:rsidRPr="00BD4A85">
        <w:rPr>
          <w:bCs/>
        </w:rPr>
        <w:t xml:space="preserve"> to achieve the Abuja Declaration (2001) target of 15% of government budget to be spent on health</w:t>
      </w:r>
      <w:r w:rsidR="00232042">
        <w:rPr>
          <w:bCs/>
        </w:rPr>
        <w:t>.</w:t>
      </w:r>
    </w:p>
    <w:p w:rsidR="00C71F68" w:rsidRPr="00BD4A85" w:rsidRDefault="00D34CD1" w:rsidP="00C71F68">
      <w:pPr>
        <w:tabs>
          <w:tab w:val="left" w:pos="2700"/>
        </w:tabs>
        <w:spacing w:after="120"/>
        <w:jc w:val="both"/>
      </w:pPr>
      <w:r>
        <w:t>O</w:t>
      </w:r>
      <w:r w:rsidR="006650A0">
        <w:t xml:space="preserve">n the side of fiscal pace, </w:t>
      </w:r>
      <w:r w:rsidR="00C71F68" w:rsidRPr="00BD4A85">
        <w:t xml:space="preserve">Malawi’s tax rates are some of the highest in the SADC region, making it difficult to raise additional revenues through instituting higher </w:t>
      </w:r>
      <w:r w:rsidR="00127AFE">
        <w:t>taxes</w:t>
      </w:r>
      <w:r w:rsidR="00C71F68" w:rsidRPr="00BD4A85">
        <w:t xml:space="preserve">. In 2010, domestic revenues reached 24.5% of GDP. This is also among one of the highest collection rates for tax and non-tax revenues in low-income countries. </w:t>
      </w:r>
    </w:p>
    <w:p w:rsidR="00C71F68" w:rsidRDefault="00AA5468" w:rsidP="00A12622">
      <w:pPr>
        <w:pStyle w:val="Heading3"/>
      </w:pPr>
      <w:bookmarkStart w:id="81" w:name="_Toc363225864"/>
      <w:r w:rsidRPr="00BD4A85">
        <w:t>1.2.3</w:t>
      </w:r>
      <w:r w:rsidRPr="00BD4A85">
        <w:tab/>
        <w:t>PRIVATE RESOURCES FOR HEALTH</w:t>
      </w:r>
      <w:bookmarkEnd w:id="81"/>
    </w:p>
    <w:p w:rsidR="00C97987" w:rsidRDefault="00A52C0C" w:rsidP="004A3E20">
      <w:pPr>
        <w:spacing w:after="120"/>
        <w:jc w:val="both"/>
      </w:pPr>
      <w:r>
        <w:t>Private resources for health mainly come from households through direct out-of-pocket payments and health insurance contributions</w:t>
      </w:r>
      <w:r w:rsidR="00232042">
        <w:t>,</w:t>
      </w:r>
      <w:r>
        <w:t xml:space="preserve"> and firms/corporations through health insurance contributions</w:t>
      </w:r>
      <w:r w:rsidR="0008232A">
        <w:t xml:space="preserve"> for employees</w:t>
      </w:r>
      <w:r>
        <w:t xml:space="preserve">, reimbursements to </w:t>
      </w:r>
      <w:r w:rsidR="00385997">
        <w:t>employees’</w:t>
      </w:r>
      <w:r>
        <w:t xml:space="preserve"> </w:t>
      </w:r>
      <w:r w:rsidR="0008232A">
        <w:t xml:space="preserve">medical </w:t>
      </w:r>
      <w:r>
        <w:t xml:space="preserve">expenses and own funded health facilities and health programmes. </w:t>
      </w:r>
      <w:r w:rsidR="00C71F68" w:rsidRPr="00BD4A85">
        <w:t>Malawi has excelled in maintaining low out-of-pocket (OOP) spending, which made up approximately 1</w:t>
      </w:r>
      <w:r w:rsidR="00E42794">
        <w:t>0</w:t>
      </w:r>
      <w:r w:rsidR="00C71F68" w:rsidRPr="00BD4A85">
        <w:t xml:space="preserve">% of total health </w:t>
      </w:r>
      <w:r w:rsidR="00232042">
        <w:t>expenditure</w:t>
      </w:r>
      <w:r w:rsidR="00C71F68" w:rsidRPr="00BD4A85">
        <w:t xml:space="preserve"> between 2001 and 201</w:t>
      </w:r>
      <w:r w:rsidR="00E42794">
        <w:t>2</w:t>
      </w:r>
      <w:r w:rsidR="00C71F68" w:rsidRPr="00BD4A85">
        <w:t xml:space="preserve">. This represents one of the lowest household OOP contributions to total health spending in the WHO Africa region, indicating that households are less likely to incur catastrophic expenditures. However, in </w:t>
      </w:r>
      <w:r w:rsidR="00C71F68" w:rsidRPr="00BD4A85">
        <w:rPr>
          <w:bCs/>
        </w:rPr>
        <w:t>absolute terms, household out-</w:t>
      </w:r>
      <w:r w:rsidR="00443495">
        <w:rPr>
          <w:bCs/>
        </w:rPr>
        <w:t>of-</w:t>
      </w:r>
      <w:r w:rsidR="00C71F68" w:rsidRPr="00BD4A85">
        <w:rPr>
          <w:bCs/>
        </w:rPr>
        <w:t>pocket payments increased substantially and rapidly, rising by 29.7% between 2007/2008 and 2008/2009 (M</w:t>
      </w:r>
      <w:r w:rsidR="00443495" w:rsidRPr="00BD4A85">
        <w:rPr>
          <w:bCs/>
        </w:rPr>
        <w:t>o</w:t>
      </w:r>
      <w:r w:rsidR="00C71F68" w:rsidRPr="00BD4A85">
        <w:rPr>
          <w:bCs/>
        </w:rPr>
        <w:t xml:space="preserve">H 2012). In a country where donor funding is quite large, public health care is predominantly free, and a majority of the population is impoverished, the rapid growth in household spending should be a cause for concern. Furthermore, </w:t>
      </w:r>
      <w:r w:rsidR="00C71F68" w:rsidRPr="00BD4A85">
        <w:t>evidence is slowly emerging that poorer individuals bear the burden of OOP expenditure and that the bulk of these funds are being spent in public health facilities where the majority of health services should be free of charge. In total, government health facilities (health centers, district hospitals, and central hospitals) received 4</w:t>
      </w:r>
      <w:r w:rsidR="00C71F68">
        <w:t>7</w:t>
      </w:r>
      <w:r w:rsidR="00C71F68" w:rsidRPr="00BD4A85">
        <w:t>% of total OOP payments</w:t>
      </w:r>
      <w:r>
        <w:t>.</w:t>
      </w:r>
      <w:r w:rsidR="00C71F68" w:rsidRPr="00BD4A85">
        <w:t xml:space="preserve"> </w:t>
      </w:r>
    </w:p>
    <w:p w:rsidR="00C71F68" w:rsidRPr="00BD4A85" w:rsidRDefault="00C71F68" w:rsidP="004A3E20">
      <w:pPr>
        <w:spacing w:after="120"/>
        <w:jc w:val="both"/>
        <w:rPr>
          <w:rFonts w:cs="Calibri"/>
        </w:rPr>
      </w:pPr>
      <w:r w:rsidRPr="00BD4A85">
        <w:t>Malawi’s total health expenditure originating from all privates sources is also low; 1</w:t>
      </w:r>
      <w:r w:rsidR="008F12B3">
        <w:t>7</w:t>
      </w:r>
      <w:r w:rsidRPr="00BD4A85">
        <w:t xml:space="preserve">% of Malawi’s total health expenditure compared to the 47.8% average across the WHO Africa Region (WHO 2010). </w:t>
      </w:r>
      <w:bookmarkStart w:id="82" w:name="_Toc335164243"/>
      <w:bookmarkStart w:id="83" w:name="_Toc335164855"/>
      <w:bookmarkStart w:id="84" w:name="_Toc335165005"/>
      <w:bookmarkStart w:id="85" w:name="_Toc335165158"/>
      <w:bookmarkStart w:id="86" w:name="_Toc335165303"/>
      <w:bookmarkStart w:id="87" w:name="_Toc335165444"/>
      <w:bookmarkStart w:id="88" w:name="_Toc335165585"/>
      <w:bookmarkStart w:id="89" w:name="_Toc335165725"/>
      <w:bookmarkStart w:id="90" w:name="_Toc335165860"/>
      <w:bookmarkStart w:id="91" w:name="_Toc335165992"/>
      <w:bookmarkStart w:id="92" w:name="_Toc335166125"/>
      <w:bookmarkStart w:id="93" w:name="_Toc335166252"/>
      <w:bookmarkStart w:id="94" w:name="_Toc335213151"/>
      <w:bookmarkStart w:id="95" w:name="_Toc335214388"/>
      <w:bookmarkStart w:id="96" w:name="_Toc335214673"/>
      <w:bookmarkStart w:id="97" w:name="_Toc335225230"/>
      <w:bookmarkStart w:id="98" w:name="_Toc335225514"/>
      <w:bookmarkStart w:id="99" w:name="_Toc335225623"/>
      <w:bookmarkStart w:id="100" w:name="_Toc335225736"/>
      <w:bookmarkStart w:id="101" w:name="_Toc335289068"/>
      <w:bookmarkStart w:id="102" w:name="_Toc335384387"/>
      <w:bookmarkStart w:id="103" w:name="_Toc335384512"/>
      <w:bookmarkStart w:id="104" w:name="_Toc335652170"/>
      <w:bookmarkStart w:id="105" w:name="_Toc335652325"/>
      <w:bookmarkStart w:id="106" w:name="_Toc336005779"/>
      <w:bookmarkStart w:id="107" w:name="_Toc336005895"/>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Pr="00BD4A85">
        <w:rPr>
          <w:rFonts w:cs="Calibri"/>
        </w:rPr>
        <w:t xml:space="preserve">While </w:t>
      </w:r>
      <w:r w:rsidR="00A52C0C">
        <w:rPr>
          <w:rFonts w:cs="Calibri"/>
        </w:rPr>
        <w:t xml:space="preserve">private financing for health through </w:t>
      </w:r>
      <w:r w:rsidRPr="00BD4A85">
        <w:rPr>
          <w:rFonts w:cs="Calibri"/>
        </w:rPr>
        <w:t xml:space="preserve">private insurance companies like Medical Aid Society of Malawi (MASM), Momentum, and Horizon Health do exist, Malawi currently provides the majority of health care services free of charge, limiting the </w:t>
      </w:r>
      <w:r w:rsidR="00C97987">
        <w:rPr>
          <w:rFonts w:cs="Calibri"/>
        </w:rPr>
        <w:t>incentive for joining health</w:t>
      </w:r>
      <w:r w:rsidRPr="00BD4A85">
        <w:rPr>
          <w:rFonts w:cs="Calibri"/>
        </w:rPr>
        <w:t xml:space="preserve"> insurance schemes. </w:t>
      </w:r>
    </w:p>
    <w:p w:rsidR="00443495" w:rsidRDefault="00443495" w:rsidP="00443495">
      <w:pPr>
        <w:spacing w:after="0" w:line="240" w:lineRule="auto"/>
        <w:contextualSpacing/>
        <w:jc w:val="both"/>
        <w:rPr>
          <w:rFonts w:cs="Calibri"/>
        </w:rPr>
      </w:pPr>
    </w:p>
    <w:p w:rsidR="00C71F68" w:rsidRDefault="00C71F68" w:rsidP="004A3E20">
      <w:pPr>
        <w:spacing w:after="120"/>
        <w:jc w:val="both"/>
        <w:rPr>
          <w:rFonts w:cs="Calibri"/>
        </w:rPr>
      </w:pPr>
      <w:r w:rsidRPr="00BD4A85">
        <w:rPr>
          <w:rFonts w:cs="Calibri"/>
        </w:rPr>
        <w:t>While private insurance is relatively infrequent, major employers, such as those in the tobacco industry, sometimes offer free health services such as free ARVs, lab tests, and basic medical treatment for injuries and a variety of illnesses. To assist companies in providing treatment, a variety of partnerships have been established with organizations such as the Malawi Business Coalition Against HIV/AIDS (MBCA) – an umbrella organization primarily funded by NAC that advocates for HIV/AIDS treatment and awareness. In return for membership, private companies receive ARVs from the MBCA/NAC for a reduce</w:t>
      </w:r>
      <w:r w:rsidR="00B150FB">
        <w:rPr>
          <w:rFonts w:cs="Calibri"/>
        </w:rPr>
        <w:t>d</w:t>
      </w:r>
      <w:r w:rsidRPr="00BD4A85">
        <w:rPr>
          <w:rFonts w:cs="Calibri"/>
        </w:rPr>
        <w:t xml:space="preserve"> price of only </w:t>
      </w:r>
      <w:r w:rsidR="00B150FB">
        <w:rPr>
          <w:rFonts w:cs="Calibri"/>
        </w:rPr>
        <w:t>MK</w:t>
      </w:r>
      <w:r w:rsidRPr="00BD4A85">
        <w:rPr>
          <w:rFonts w:cs="Calibri"/>
        </w:rPr>
        <w:t>500</w:t>
      </w:r>
      <w:r w:rsidR="00B150FB">
        <w:rPr>
          <w:rFonts w:cs="Calibri"/>
        </w:rPr>
        <w:t>.00</w:t>
      </w:r>
      <w:r w:rsidRPr="00BD4A85">
        <w:rPr>
          <w:rFonts w:cs="Calibri"/>
        </w:rPr>
        <w:t xml:space="preserve"> per month per individual. </w:t>
      </w:r>
    </w:p>
    <w:p w:rsidR="00C97987" w:rsidRDefault="00C97987" w:rsidP="004A3E20">
      <w:pPr>
        <w:spacing w:after="120"/>
        <w:jc w:val="both"/>
        <w:rPr>
          <w:rFonts w:cs="Calibri"/>
        </w:rPr>
      </w:pPr>
    </w:p>
    <w:p w:rsidR="00F00F7F" w:rsidRDefault="00F00F7F" w:rsidP="004A3E20">
      <w:pPr>
        <w:spacing w:after="120"/>
        <w:jc w:val="both"/>
        <w:rPr>
          <w:rFonts w:cs="Calibri"/>
        </w:rPr>
      </w:pPr>
    </w:p>
    <w:p w:rsidR="00C97987" w:rsidRPr="00BD4A85" w:rsidRDefault="00C97987" w:rsidP="004A3E20">
      <w:pPr>
        <w:spacing w:after="120"/>
        <w:jc w:val="both"/>
        <w:rPr>
          <w:rFonts w:cs="Calibri"/>
        </w:rPr>
      </w:pPr>
    </w:p>
    <w:p w:rsidR="00C71F68" w:rsidRPr="009F4261" w:rsidRDefault="00AA5468" w:rsidP="001C7880">
      <w:pPr>
        <w:pStyle w:val="Heading2"/>
      </w:pPr>
      <w:bookmarkStart w:id="108" w:name="_Toc363225865"/>
      <w:bookmarkStart w:id="109" w:name="_Toc384911948"/>
      <w:r w:rsidRPr="00BD4A85">
        <w:t>1.3</w:t>
      </w:r>
      <w:r w:rsidRPr="00BD4A85">
        <w:tab/>
      </w:r>
      <w:bookmarkStart w:id="110" w:name="_Toc336005971"/>
      <w:r w:rsidRPr="00BD4A85">
        <w:t>KEY ISSUES AND CHALLENGES FOR HEALTH FINANCING IN MALAWI</w:t>
      </w:r>
      <w:bookmarkEnd w:id="108"/>
      <w:bookmarkEnd w:id="109"/>
      <w:bookmarkEnd w:id="110"/>
    </w:p>
    <w:p w:rsidR="00F00F7F" w:rsidRDefault="00F00F7F" w:rsidP="00C71F68">
      <w:pPr>
        <w:spacing w:after="120"/>
        <w:jc w:val="both"/>
      </w:pPr>
    </w:p>
    <w:p w:rsidR="008F12B3" w:rsidRDefault="00C71F68" w:rsidP="00C71F68">
      <w:pPr>
        <w:spacing w:after="120"/>
        <w:jc w:val="both"/>
      </w:pPr>
      <w:r w:rsidRPr="00BD4A85">
        <w:t xml:space="preserve">Malawi has limited financial resources for health. While economic prospects may be slowly improving, Malawi currently has a low revenue base and a small formal sector. In 2008, only 9% of individuals of working age were employed in the formal sector. The remaining portion of the labor force is engaged in the non-formal sector, which includes self-employment in small-scale agriculture, casual labor, and vending. This low revenue generation potential has led to a significant reliance on donor support in order to provide essential health care services to the population. </w:t>
      </w:r>
    </w:p>
    <w:p w:rsidR="00443495" w:rsidRDefault="00443495" w:rsidP="00443495">
      <w:pPr>
        <w:spacing w:after="0" w:line="240" w:lineRule="auto"/>
        <w:contextualSpacing/>
        <w:jc w:val="both"/>
      </w:pPr>
    </w:p>
    <w:p w:rsidR="00C71F68" w:rsidRDefault="00C71F68" w:rsidP="00C71F68">
      <w:pPr>
        <w:spacing w:after="120"/>
        <w:jc w:val="both"/>
      </w:pPr>
      <w:r w:rsidRPr="00BD4A85">
        <w:t xml:space="preserve">This volatile financial situation is compounded by a growing population and a high burden of communicable </w:t>
      </w:r>
      <w:r w:rsidR="003538FC">
        <w:t xml:space="preserve">and non-communicable </w:t>
      </w:r>
      <w:r w:rsidRPr="00BD4A85">
        <w:t xml:space="preserve">diseases. These challenges underscore the importance of developing a robust </w:t>
      </w:r>
      <w:r w:rsidR="00C77388">
        <w:t>Health Financing Strategy</w:t>
      </w:r>
      <w:r w:rsidRPr="00BD4A85">
        <w:t xml:space="preserve"> so that additional resources </w:t>
      </w:r>
      <w:r w:rsidR="008F12B3">
        <w:t xml:space="preserve">can </w:t>
      </w:r>
      <w:r w:rsidRPr="00BD4A85">
        <w:t>be generated and efficiencies realized.</w:t>
      </w:r>
      <w:bookmarkStart w:id="111" w:name="_Toc335161657"/>
      <w:bookmarkStart w:id="112" w:name="_Toc335162436"/>
      <w:bookmarkStart w:id="113" w:name="_Toc335162563"/>
      <w:bookmarkStart w:id="114" w:name="_Toc335162689"/>
      <w:bookmarkStart w:id="115" w:name="_Toc335162816"/>
      <w:bookmarkStart w:id="116" w:name="_Toc335162948"/>
      <w:bookmarkStart w:id="117" w:name="_Toc335163079"/>
      <w:bookmarkStart w:id="118" w:name="_Toc335163212"/>
      <w:bookmarkStart w:id="119" w:name="_Toc335163333"/>
      <w:bookmarkStart w:id="120" w:name="_Toc335163454"/>
      <w:bookmarkStart w:id="121" w:name="_Toc335163577"/>
      <w:bookmarkStart w:id="122" w:name="_Toc335163699"/>
      <w:bookmarkStart w:id="123" w:name="_Toc335163827"/>
      <w:bookmarkStart w:id="124" w:name="_Toc335163947"/>
      <w:bookmarkStart w:id="125" w:name="_Toc335164078"/>
      <w:bookmarkStart w:id="126" w:name="_Toc335164212"/>
      <w:bookmarkStart w:id="127" w:name="_Toc335164824"/>
      <w:bookmarkStart w:id="128" w:name="_Toc335164974"/>
      <w:bookmarkStart w:id="129" w:name="_Toc335165127"/>
      <w:bookmarkStart w:id="130" w:name="_Toc335165272"/>
      <w:bookmarkStart w:id="131" w:name="_Toc335165413"/>
      <w:bookmarkStart w:id="132" w:name="_Toc335165554"/>
      <w:bookmarkStart w:id="133" w:name="_Toc335165694"/>
      <w:bookmarkStart w:id="134" w:name="_Toc335165829"/>
      <w:bookmarkStart w:id="135" w:name="_Toc335165961"/>
      <w:bookmarkStart w:id="136" w:name="_Toc335166094"/>
      <w:bookmarkStart w:id="137" w:name="_Toc335166221"/>
      <w:bookmarkStart w:id="138" w:name="_Toc335213120"/>
      <w:bookmarkStart w:id="139" w:name="_Toc335214357"/>
      <w:bookmarkStart w:id="140" w:name="_Toc335214642"/>
      <w:bookmarkStart w:id="141" w:name="_Toc335225199"/>
      <w:bookmarkStart w:id="142" w:name="_Toc335225483"/>
      <w:bookmarkStart w:id="143" w:name="_Toc335225592"/>
      <w:bookmarkStart w:id="144" w:name="_Toc335225705"/>
      <w:bookmarkStart w:id="145" w:name="_Toc335289037"/>
      <w:bookmarkStart w:id="146" w:name="_Toc335384356"/>
      <w:bookmarkStart w:id="147" w:name="_Toc335384481"/>
      <w:bookmarkStart w:id="148" w:name="_Toc335652139"/>
      <w:bookmarkStart w:id="149" w:name="_Toc335652294"/>
      <w:bookmarkStart w:id="150" w:name="_Toc335161658"/>
      <w:bookmarkStart w:id="151" w:name="_Toc335162437"/>
      <w:bookmarkStart w:id="152" w:name="_Toc335162564"/>
      <w:bookmarkStart w:id="153" w:name="_Toc335162690"/>
      <w:bookmarkStart w:id="154" w:name="_Toc335162817"/>
      <w:bookmarkStart w:id="155" w:name="_Toc335162949"/>
      <w:bookmarkStart w:id="156" w:name="_Toc335163080"/>
      <w:bookmarkStart w:id="157" w:name="_Toc335163213"/>
      <w:bookmarkStart w:id="158" w:name="_Toc335163334"/>
      <w:bookmarkStart w:id="159" w:name="_Toc335163455"/>
      <w:bookmarkStart w:id="160" w:name="_Toc335163578"/>
      <w:bookmarkStart w:id="161" w:name="_Toc335163700"/>
      <w:bookmarkStart w:id="162" w:name="_Toc335163828"/>
      <w:bookmarkStart w:id="163" w:name="_Toc335163948"/>
      <w:bookmarkStart w:id="164" w:name="_Toc335164079"/>
      <w:bookmarkStart w:id="165" w:name="_Toc335164213"/>
      <w:bookmarkStart w:id="166" w:name="_Toc335164825"/>
      <w:bookmarkStart w:id="167" w:name="_Toc335164975"/>
      <w:bookmarkStart w:id="168" w:name="_Toc335165128"/>
      <w:bookmarkStart w:id="169" w:name="_Toc335165273"/>
      <w:bookmarkStart w:id="170" w:name="_Toc335165414"/>
      <w:bookmarkStart w:id="171" w:name="_Toc335165555"/>
      <w:bookmarkStart w:id="172" w:name="_Toc335165695"/>
      <w:bookmarkStart w:id="173" w:name="_Toc335165830"/>
      <w:bookmarkStart w:id="174" w:name="_Toc335165962"/>
      <w:bookmarkStart w:id="175" w:name="_Toc335166095"/>
      <w:bookmarkStart w:id="176" w:name="_Toc335166222"/>
      <w:bookmarkStart w:id="177" w:name="_Toc335213121"/>
      <w:bookmarkStart w:id="178" w:name="_Toc335214358"/>
      <w:bookmarkStart w:id="179" w:name="_Toc335214643"/>
      <w:bookmarkStart w:id="180" w:name="_Toc335225200"/>
      <w:bookmarkStart w:id="181" w:name="_Toc335225484"/>
      <w:bookmarkStart w:id="182" w:name="_Toc335225593"/>
      <w:bookmarkStart w:id="183" w:name="_Toc335225706"/>
      <w:bookmarkStart w:id="184" w:name="_Toc335289038"/>
      <w:bookmarkStart w:id="185" w:name="_Toc335384357"/>
      <w:bookmarkStart w:id="186" w:name="_Toc335384482"/>
      <w:bookmarkStart w:id="187" w:name="_Toc335652140"/>
      <w:bookmarkStart w:id="188" w:name="_Toc335652295"/>
      <w:bookmarkStart w:id="189" w:name="_Toc335161659"/>
      <w:bookmarkStart w:id="190" w:name="_Toc335162438"/>
      <w:bookmarkStart w:id="191" w:name="_Toc335162565"/>
      <w:bookmarkStart w:id="192" w:name="_Toc335162691"/>
      <w:bookmarkStart w:id="193" w:name="_Toc335162818"/>
      <w:bookmarkStart w:id="194" w:name="_Toc335162950"/>
      <w:bookmarkStart w:id="195" w:name="_Toc335163081"/>
      <w:bookmarkStart w:id="196" w:name="_Toc335163214"/>
      <w:bookmarkStart w:id="197" w:name="_Toc335163335"/>
      <w:bookmarkStart w:id="198" w:name="_Toc335163456"/>
      <w:bookmarkStart w:id="199" w:name="_Toc335163579"/>
      <w:bookmarkStart w:id="200" w:name="_Toc335163701"/>
      <w:bookmarkStart w:id="201" w:name="_Toc335163829"/>
      <w:bookmarkStart w:id="202" w:name="_Toc335163949"/>
      <w:bookmarkStart w:id="203" w:name="_Toc335164080"/>
      <w:bookmarkStart w:id="204" w:name="_Toc335164214"/>
      <w:bookmarkStart w:id="205" w:name="_Toc335164826"/>
      <w:bookmarkStart w:id="206" w:name="_Toc335164976"/>
      <w:bookmarkStart w:id="207" w:name="_Toc335165129"/>
      <w:bookmarkStart w:id="208" w:name="_Toc335165274"/>
      <w:bookmarkStart w:id="209" w:name="_Toc335165415"/>
      <w:bookmarkStart w:id="210" w:name="_Toc335165556"/>
      <w:bookmarkStart w:id="211" w:name="_Toc335165696"/>
      <w:bookmarkStart w:id="212" w:name="_Toc335165831"/>
      <w:bookmarkStart w:id="213" w:name="_Toc335165963"/>
      <w:bookmarkStart w:id="214" w:name="_Toc335166096"/>
      <w:bookmarkStart w:id="215" w:name="_Toc335166223"/>
      <w:bookmarkStart w:id="216" w:name="_Toc335213122"/>
      <w:bookmarkStart w:id="217" w:name="_Toc335214359"/>
      <w:bookmarkStart w:id="218" w:name="_Toc335214644"/>
      <w:bookmarkStart w:id="219" w:name="_Toc335225201"/>
      <w:bookmarkStart w:id="220" w:name="_Toc335225485"/>
      <w:bookmarkStart w:id="221" w:name="_Toc335225594"/>
      <w:bookmarkStart w:id="222" w:name="_Toc335225707"/>
      <w:bookmarkStart w:id="223" w:name="_Toc335289039"/>
      <w:bookmarkStart w:id="224" w:name="_Toc335384358"/>
      <w:bookmarkStart w:id="225" w:name="_Toc335384483"/>
      <w:bookmarkStart w:id="226" w:name="_Toc335652141"/>
      <w:bookmarkStart w:id="227" w:name="_Toc335652296"/>
      <w:bookmarkStart w:id="228" w:name="_Toc335161660"/>
      <w:bookmarkStart w:id="229" w:name="_Toc335162439"/>
      <w:bookmarkStart w:id="230" w:name="_Toc335162566"/>
      <w:bookmarkStart w:id="231" w:name="_Toc335162692"/>
      <w:bookmarkStart w:id="232" w:name="_Toc335162819"/>
      <w:bookmarkStart w:id="233" w:name="_Toc335162951"/>
      <w:bookmarkStart w:id="234" w:name="_Toc335163082"/>
      <w:bookmarkStart w:id="235" w:name="_Toc335163215"/>
      <w:bookmarkStart w:id="236" w:name="_Toc335163336"/>
      <w:bookmarkStart w:id="237" w:name="_Toc335163457"/>
      <w:bookmarkStart w:id="238" w:name="_Toc335163580"/>
      <w:bookmarkStart w:id="239" w:name="_Toc335163702"/>
      <w:bookmarkStart w:id="240" w:name="_Toc335163830"/>
      <w:bookmarkStart w:id="241" w:name="_Toc335163950"/>
      <w:bookmarkStart w:id="242" w:name="_Toc335164081"/>
      <w:bookmarkStart w:id="243" w:name="_Toc335164215"/>
      <w:bookmarkStart w:id="244" w:name="_Toc335164827"/>
      <w:bookmarkStart w:id="245" w:name="_Toc335164977"/>
      <w:bookmarkStart w:id="246" w:name="_Toc335165130"/>
      <w:bookmarkStart w:id="247" w:name="_Toc335165275"/>
      <w:bookmarkStart w:id="248" w:name="_Toc335165416"/>
      <w:bookmarkStart w:id="249" w:name="_Toc335165557"/>
      <w:bookmarkStart w:id="250" w:name="_Toc335165697"/>
      <w:bookmarkStart w:id="251" w:name="_Toc335165832"/>
      <w:bookmarkStart w:id="252" w:name="_Toc335165964"/>
      <w:bookmarkStart w:id="253" w:name="_Toc335166097"/>
      <w:bookmarkStart w:id="254" w:name="_Toc335166224"/>
      <w:bookmarkStart w:id="255" w:name="_Toc335213123"/>
      <w:bookmarkStart w:id="256" w:name="_Toc335214360"/>
      <w:bookmarkStart w:id="257" w:name="_Toc335214645"/>
      <w:bookmarkStart w:id="258" w:name="_Toc335225202"/>
      <w:bookmarkStart w:id="259" w:name="_Toc335225486"/>
      <w:bookmarkStart w:id="260" w:name="_Toc335225595"/>
      <w:bookmarkStart w:id="261" w:name="_Toc335225708"/>
      <w:bookmarkStart w:id="262" w:name="_Toc335289040"/>
      <w:bookmarkStart w:id="263" w:name="_Toc335384359"/>
      <w:bookmarkStart w:id="264" w:name="_Toc335384484"/>
      <w:bookmarkStart w:id="265" w:name="_Toc335652142"/>
      <w:bookmarkStart w:id="266" w:name="_Toc335652297"/>
      <w:bookmarkStart w:id="267" w:name="_Toc335161661"/>
      <w:bookmarkStart w:id="268" w:name="_Toc335162440"/>
      <w:bookmarkStart w:id="269" w:name="_Toc335162567"/>
      <w:bookmarkStart w:id="270" w:name="_Toc335162693"/>
      <w:bookmarkStart w:id="271" w:name="_Toc335162820"/>
      <w:bookmarkStart w:id="272" w:name="_Toc335162952"/>
      <w:bookmarkStart w:id="273" w:name="_Toc335163083"/>
      <w:bookmarkStart w:id="274" w:name="_Toc335163216"/>
      <w:bookmarkStart w:id="275" w:name="_Toc335163337"/>
      <w:bookmarkStart w:id="276" w:name="_Toc335163458"/>
      <w:bookmarkStart w:id="277" w:name="_Toc335163581"/>
      <w:bookmarkStart w:id="278" w:name="_Toc335163703"/>
      <w:bookmarkStart w:id="279" w:name="_Toc335163831"/>
      <w:bookmarkStart w:id="280" w:name="_Toc335163951"/>
      <w:bookmarkStart w:id="281" w:name="_Toc335164082"/>
      <w:bookmarkStart w:id="282" w:name="_Toc335164216"/>
      <w:bookmarkStart w:id="283" w:name="_Toc335164828"/>
      <w:bookmarkStart w:id="284" w:name="_Toc335164978"/>
      <w:bookmarkStart w:id="285" w:name="_Toc335165131"/>
      <w:bookmarkStart w:id="286" w:name="_Toc335165276"/>
      <w:bookmarkStart w:id="287" w:name="_Toc335165417"/>
      <w:bookmarkStart w:id="288" w:name="_Toc335165558"/>
      <w:bookmarkStart w:id="289" w:name="_Toc335165698"/>
      <w:bookmarkStart w:id="290" w:name="_Toc335165833"/>
      <w:bookmarkStart w:id="291" w:name="_Toc335165965"/>
      <w:bookmarkStart w:id="292" w:name="_Toc335166098"/>
      <w:bookmarkStart w:id="293" w:name="_Toc335166225"/>
      <w:bookmarkStart w:id="294" w:name="_Toc335213124"/>
      <w:bookmarkStart w:id="295" w:name="_Toc335214361"/>
      <w:bookmarkStart w:id="296" w:name="_Toc335214646"/>
      <w:bookmarkStart w:id="297" w:name="_Toc335225203"/>
      <w:bookmarkStart w:id="298" w:name="_Toc335225487"/>
      <w:bookmarkStart w:id="299" w:name="_Toc335225596"/>
      <w:bookmarkStart w:id="300" w:name="_Toc335225709"/>
      <w:bookmarkStart w:id="301" w:name="_Toc335289041"/>
      <w:bookmarkStart w:id="302" w:name="_Toc335384360"/>
      <w:bookmarkStart w:id="303" w:name="_Toc335384485"/>
      <w:bookmarkStart w:id="304" w:name="_Toc335652143"/>
      <w:bookmarkStart w:id="305" w:name="_Toc335652298"/>
      <w:bookmarkStart w:id="306" w:name="_Toc335161662"/>
      <w:bookmarkStart w:id="307" w:name="_Toc335162441"/>
      <w:bookmarkStart w:id="308" w:name="_Toc335162568"/>
      <w:bookmarkStart w:id="309" w:name="_Toc335162694"/>
      <w:bookmarkStart w:id="310" w:name="_Toc335162821"/>
      <w:bookmarkStart w:id="311" w:name="_Toc335162953"/>
      <w:bookmarkStart w:id="312" w:name="_Toc335163084"/>
      <w:bookmarkStart w:id="313" w:name="_Toc335163217"/>
      <w:bookmarkStart w:id="314" w:name="_Toc335163338"/>
      <w:bookmarkStart w:id="315" w:name="_Toc335163459"/>
      <w:bookmarkStart w:id="316" w:name="_Toc335163582"/>
      <w:bookmarkStart w:id="317" w:name="_Toc335163704"/>
      <w:bookmarkStart w:id="318" w:name="_Toc335163832"/>
      <w:bookmarkStart w:id="319" w:name="_Toc335163952"/>
      <w:bookmarkStart w:id="320" w:name="_Toc335164083"/>
      <w:bookmarkStart w:id="321" w:name="_Toc335164217"/>
      <w:bookmarkStart w:id="322" w:name="_Toc335164829"/>
      <w:bookmarkStart w:id="323" w:name="_Toc335164979"/>
      <w:bookmarkStart w:id="324" w:name="_Toc335165132"/>
      <w:bookmarkStart w:id="325" w:name="_Toc335165277"/>
      <w:bookmarkStart w:id="326" w:name="_Toc335165418"/>
      <w:bookmarkStart w:id="327" w:name="_Toc335165559"/>
      <w:bookmarkStart w:id="328" w:name="_Toc335165699"/>
      <w:bookmarkStart w:id="329" w:name="_Toc335165834"/>
      <w:bookmarkStart w:id="330" w:name="_Toc335165966"/>
      <w:bookmarkStart w:id="331" w:name="_Toc335166099"/>
      <w:bookmarkStart w:id="332" w:name="_Toc335166226"/>
      <w:bookmarkStart w:id="333" w:name="_Toc335213125"/>
      <w:bookmarkStart w:id="334" w:name="_Toc335214362"/>
      <w:bookmarkStart w:id="335" w:name="_Toc335214647"/>
      <w:bookmarkStart w:id="336" w:name="_Toc335225204"/>
      <w:bookmarkStart w:id="337" w:name="_Toc335225488"/>
      <w:bookmarkStart w:id="338" w:name="_Toc335225597"/>
      <w:bookmarkStart w:id="339" w:name="_Toc335225710"/>
      <w:bookmarkStart w:id="340" w:name="_Toc335289042"/>
      <w:bookmarkStart w:id="341" w:name="_Toc335384361"/>
      <w:bookmarkStart w:id="342" w:name="_Toc335384486"/>
      <w:bookmarkStart w:id="343" w:name="_Toc335652144"/>
      <w:bookmarkStart w:id="344" w:name="_Toc335652299"/>
      <w:bookmarkStart w:id="345" w:name="_Toc335161663"/>
      <w:bookmarkStart w:id="346" w:name="_Toc335162442"/>
      <w:bookmarkStart w:id="347" w:name="_Toc335162569"/>
      <w:bookmarkStart w:id="348" w:name="_Toc335162695"/>
      <w:bookmarkStart w:id="349" w:name="_Toc335162822"/>
      <w:bookmarkStart w:id="350" w:name="_Toc335162954"/>
      <w:bookmarkStart w:id="351" w:name="_Toc335163085"/>
      <w:bookmarkStart w:id="352" w:name="_Toc335163218"/>
      <w:bookmarkStart w:id="353" w:name="_Toc335163339"/>
      <w:bookmarkStart w:id="354" w:name="_Toc335163460"/>
      <w:bookmarkStart w:id="355" w:name="_Toc335163583"/>
      <w:bookmarkStart w:id="356" w:name="_Toc335163705"/>
      <w:bookmarkStart w:id="357" w:name="_Toc335163833"/>
      <w:bookmarkStart w:id="358" w:name="_Toc335163953"/>
      <w:bookmarkStart w:id="359" w:name="_Toc335164084"/>
      <w:bookmarkStart w:id="360" w:name="_Toc335164218"/>
      <w:bookmarkStart w:id="361" w:name="_Toc335164830"/>
      <w:bookmarkStart w:id="362" w:name="_Toc335164980"/>
      <w:bookmarkStart w:id="363" w:name="_Toc335165133"/>
      <w:bookmarkStart w:id="364" w:name="_Toc335165278"/>
      <w:bookmarkStart w:id="365" w:name="_Toc335165419"/>
      <w:bookmarkStart w:id="366" w:name="_Toc335165560"/>
      <w:bookmarkStart w:id="367" w:name="_Toc335165700"/>
      <w:bookmarkStart w:id="368" w:name="_Toc335165835"/>
      <w:bookmarkStart w:id="369" w:name="_Toc335165967"/>
      <w:bookmarkStart w:id="370" w:name="_Toc335166100"/>
      <w:bookmarkStart w:id="371" w:name="_Toc335166227"/>
      <w:bookmarkStart w:id="372" w:name="_Toc335213126"/>
      <w:bookmarkStart w:id="373" w:name="_Toc335214363"/>
      <w:bookmarkStart w:id="374" w:name="_Toc335214648"/>
      <w:bookmarkStart w:id="375" w:name="_Toc335225205"/>
      <w:bookmarkStart w:id="376" w:name="_Toc335225489"/>
      <w:bookmarkStart w:id="377" w:name="_Toc335225598"/>
      <w:bookmarkStart w:id="378" w:name="_Toc335225711"/>
      <w:bookmarkStart w:id="379" w:name="_Toc335289043"/>
      <w:bookmarkStart w:id="380" w:name="_Toc335384362"/>
      <w:bookmarkStart w:id="381" w:name="_Toc335384487"/>
      <w:bookmarkStart w:id="382" w:name="_Toc335652145"/>
      <w:bookmarkStart w:id="383" w:name="_Toc335652300"/>
      <w:bookmarkStart w:id="384" w:name="_Toc335161664"/>
      <w:bookmarkStart w:id="385" w:name="_Toc335162443"/>
      <w:bookmarkStart w:id="386" w:name="_Toc335162570"/>
      <w:bookmarkStart w:id="387" w:name="_Toc335162696"/>
      <w:bookmarkStart w:id="388" w:name="_Toc335162823"/>
      <w:bookmarkStart w:id="389" w:name="_Toc335162955"/>
      <w:bookmarkStart w:id="390" w:name="_Toc335163086"/>
      <w:bookmarkStart w:id="391" w:name="_Toc335163219"/>
      <w:bookmarkStart w:id="392" w:name="_Toc335163340"/>
      <w:bookmarkStart w:id="393" w:name="_Toc335163461"/>
      <w:bookmarkStart w:id="394" w:name="_Toc335163584"/>
      <w:bookmarkStart w:id="395" w:name="_Toc335163706"/>
      <w:bookmarkStart w:id="396" w:name="_Toc335163834"/>
      <w:bookmarkStart w:id="397" w:name="_Toc335163954"/>
      <w:bookmarkStart w:id="398" w:name="_Toc335164085"/>
      <w:bookmarkStart w:id="399" w:name="_Toc335164219"/>
      <w:bookmarkStart w:id="400" w:name="_Toc335164831"/>
      <w:bookmarkStart w:id="401" w:name="_Toc335164981"/>
      <w:bookmarkStart w:id="402" w:name="_Toc335165134"/>
      <w:bookmarkStart w:id="403" w:name="_Toc335165279"/>
      <w:bookmarkStart w:id="404" w:name="_Toc335165420"/>
      <w:bookmarkStart w:id="405" w:name="_Toc335165561"/>
      <w:bookmarkStart w:id="406" w:name="_Toc335165701"/>
      <w:bookmarkStart w:id="407" w:name="_Toc335165836"/>
      <w:bookmarkStart w:id="408" w:name="_Toc335165968"/>
      <w:bookmarkStart w:id="409" w:name="_Toc335166101"/>
      <w:bookmarkStart w:id="410" w:name="_Toc335166228"/>
      <w:bookmarkStart w:id="411" w:name="_Toc335213127"/>
      <w:bookmarkStart w:id="412" w:name="_Toc335214364"/>
      <w:bookmarkStart w:id="413" w:name="_Toc335214649"/>
      <w:bookmarkStart w:id="414" w:name="_Toc335225206"/>
      <w:bookmarkStart w:id="415" w:name="_Toc335225490"/>
      <w:bookmarkStart w:id="416" w:name="_Toc335225599"/>
      <w:bookmarkStart w:id="417" w:name="_Toc335225712"/>
      <w:bookmarkStart w:id="418" w:name="_Toc335289044"/>
      <w:bookmarkStart w:id="419" w:name="_Toc335384363"/>
      <w:bookmarkStart w:id="420" w:name="_Toc335384488"/>
      <w:bookmarkStart w:id="421" w:name="_Toc335652146"/>
      <w:bookmarkStart w:id="422" w:name="_Toc335652301"/>
      <w:bookmarkStart w:id="423" w:name="_Toc335161665"/>
      <w:bookmarkStart w:id="424" w:name="_Toc335162444"/>
      <w:bookmarkStart w:id="425" w:name="_Toc335162571"/>
      <w:bookmarkStart w:id="426" w:name="_Toc335162697"/>
      <w:bookmarkStart w:id="427" w:name="_Toc335162824"/>
      <w:bookmarkStart w:id="428" w:name="_Toc335162956"/>
      <w:bookmarkStart w:id="429" w:name="_Toc335163087"/>
      <w:bookmarkStart w:id="430" w:name="_Toc335163220"/>
      <w:bookmarkStart w:id="431" w:name="_Toc335163341"/>
      <w:bookmarkStart w:id="432" w:name="_Toc335163462"/>
      <w:bookmarkStart w:id="433" w:name="_Toc335163585"/>
      <w:bookmarkStart w:id="434" w:name="_Toc335163707"/>
      <w:bookmarkStart w:id="435" w:name="_Toc335163835"/>
      <w:bookmarkStart w:id="436" w:name="_Toc335163955"/>
      <w:bookmarkStart w:id="437" w:name="_Toc335164086"/>
      <w:bookmarkStart w:id="438" w:name="_Toc335164220"/>
      <w:bookmarkStart w:id="439" w:name="_Toc335164832"/>
      <w:bookmarkStart w:id="440" w:name="_Toc335164982"/>
      <w:bookmarkStart w:id="441" w:name="_Toc335165135"/>
      <w:bookmarkStart w:id="442" w:name="_Toc335165280"/>
      <w:bookmarkStart w:id="443" w:name="_Toc335165421"/>
      <w:bookmarkStart w:id="444" w:name="_Toc335165562"/>
      <w:bookmarkStart w:id="445" w:name="_Toc335165702"/>
      <w:bookmarkStart w:id="446" w:name="_Toc335165837"/>
      <w:bookmarkStart w:id="447" w:name="_Toc335165969"/>
      <w:bookmarkStart w:id="448" w:name="_Toc335166102"/>
      <w:bookmarkStart w:id="449" w:name="_Toc335166229"/>
      <w:bookmarkStart w:id="450" w:name="_Toc335213128"/>
      <w:bookmarkStart w:id="451" w:name="_Toc335214365"/>
      <w:bookmarkStart w:id="452" w:name="_Toc335214650"/>
      <w:bookmarkStart w:id="453" w:name="_Toc335225207"/>
      <w:bookmarkStart w:id="454" w:name="_Toc335225491"/>
      <w:bookmarkStart w:id="455" w:name="_Toc335225600"/>
      <w:bookmarkStart w:id="456" w:name="_Toc335225713"/>
      <w:bookmarkStart w:id="457" w:name="_Toc335289045"/>
      <w:bookmarkStart w:id="458" w:name="_Toc335384364"/>
      <w:bookmarkStart w:id="459" w:name="_Toc335384489"/>
      <w:bookmarkStart w:id="460" w:name="_Toc335652147"/>
      <w:bookmarkStart w:id="461" w:name="_Toc335652302"/>
      <w:bookmarkStart w:id="462" w:name="_Toc335161666"/>
      <w:bookmarkStart w:id="463" w:name="_Toc335162445"/>
      <w:bookmarkStart w:id="464" w:name="_Toc335162572"/>
      <w:bookmarkStart w:id="465" w:name="_Toc335162698"/>
      <w:bookmarkStart w:id="466" w:name="_Toc335162825"/>
      <w:bookmarkStart w:id="467" w:name="_Toc335162957"/>
      <w:bookmarkStart w:id="468" w:name="_Toc335163088"/>
      <w:bookmarkStart w:id="469" w:name="_Toc335163221"/>
      <w:bookmarkStart w:id="470" w:name="_Toc335163342"/>
      <w:bookmarkStart w:id="471" w:name="_Toc335163463"/>
      <w:bookmarkStart w:id="472" w:name="_Toc335163586"/>
      <w:bookmarkStart w:id="473" w:name="_Toc335163708"/>
      <w:bookmarkStart w:id="474" w:name="_Toc335163836"/>
      <w:bookmarkStart w:id="475" w:name="_Toc335163956"/>
      <w:bookmarkStart w:id="476" w:name="_Toc335164087"/>
      <w:bookmarkStart w:id="477" w:name="_Toc335164221"/>
      <w:bookmarkStart w:id="478" w:name="_Toc335164833"/>
      <w:bookmarkStart w:id="479" w:name="_Toc335164983"/>
      <w:bookmarkStart w:id="480" w:name="_Toc335165136"/>
      <w:bookmarkStart w:id="481" w:name="_Toc335165281"/>
      <w:bookmarkStart w:id="482" w:name="_Toc335165422"/>
      <w:bookmarkStart w:id="483" w:name="_Toc335165563"/>
      <w:bookmarkStart w:id="484" w:name="_Toc335165703"/>
      <w:bookmarkStart w:id="485" w:name="_Toc335165838"/>
      <w:bookmarkStart w:id="486" w:name="_Toc335165970"/>
      <w:bookmarkStart w:id="487" w:name="_Toc335166103"/>
      <w:bookmarkStart w:id="488" w:name="_Toc335166230"/>
      <w:bookmarkStart w:id="489" w:name="_Toc335213129"/>
      <w:bookmarkStart w:id="490" w:name="_Toc335214366"/>
      <w:bookmarkStart w:id="491" w:name="_Toc335214651"/>
      <w:bookmarkStart w:id="492" w:name="_Toc335225208"/>
      <w:bookmarkStart w:id="493" w:name="_Toc335225492"/>
      <w:bookmarkStart w:id="494" w:name="_Toc335225601"/>
      <w:bookmarkStart w:id="495" w:name="_Toc335225714"/>
      <w:bookmarkStart w:id="496" w:name="_Toc335289046"/>
      <w:bookmarkStart w:id="497" w:name="_Toc335384365"/>
      <w:bookmarkStart w:id="498" w:name="_Toc335384490"/>
      <w:bookmarkStart w:id="499" w:name="_Toc335652148"/>
      <w:bookmarkStart w:id="500" w:name="_Toc335652303"/>
      <w:bookmarkStart w:id="501" w:name="_Toc335161667"/>
      <w:bookmarkStart w:id="502" w:name="_Toc335162446"/>
      <w:bookmarkStart w:id="503" w:name="_Toc335162573"/>
      <w:bookmarkStart w:id="504" w:name="_Toc335162699"/>
      <w:bookmarkStart w:id="505" w:name="_Toc335162826"/>
      <w:bookmarkStart w:id="506" w:name="_Toc335162958"/>
      <w:bookmarkStart w:id="507" w:name="_Toc335163089"/>
      <w:bookmarkStart w:id="508" w:name="_Toc335163222"/>
      <w:bookmarkStart w:id="509" w:name="_Toc335163343"/>
      <w:bookmarkStart w:id="510" w:name="_Toc335163464"/>
      <w:bookmarkStart w:id="511" w:name="_Toc335163587"/>
      <w:bookmarkStart w:id="512" w:name="_Toc335163709"/>
      <w:bookmarkStart w:id="513" w:name="_Toc335163837"/>
      <w:bookmarkStart w:id="514" w:name="_Toc335163957"/>
      <w:bookmarkStart w:id="515" w:name="_Toc335164088"/>
      <w:bookmarkStart w:id="516" w:name="_Toc335164222"/>
      <w:bookmarkStart w:id="517" w:name="_Toc335164834"/>
      <w:bookmarkStart w:id="518" w:name="_Toc335164984"/>
      <w:bookmarkStart w:id="519" w:name="_Toc335165137"/>
      <w:bookmarkStart w:id="520" w:name="_Toc335165282"/>
      <w:bookmarkStart w:id="521" w:name="_Toc335165423"/>
      <w:bookmarkStart w:id="522" w:name="_Toc335165564"/>
      <w:bookmarkStart w:id="523" w:name="_Toc335165704"/>
      <w:bookmarkStart w:id="524" w:name="_Toc335165839"/>
      <w:bookmarkStart w:id="525" w:name="_Toc335165971"/>
      <w:bookmarkStart w:id="526" w:name="_Toc335166104"/>
      <w:bookmarkStart w:id="527" w:name="_Toc335166231"/>
      <w:bookmarkStart w:id="528" w:name="_Toc335213130"/>
      <w:bookmarkStart w:id="529" w:name="_Toc335214367"/>
      <w:bookmarkStart w:id="530" w:name="_Toc335214652"/>
      <w:bookmarkStart w:id="531" w:name="_Toc335225209"/>
      <w:bookmarkStart w:id="532" w:name="_Toc335225493"/>
      <w:bookmarkStart w:id="533" w:name="_Toc335225602"/>
      <w:bookmarkStart w:id="534" w:name="_Toc335225715"/>
      <w:bookmarkStart w:id="535" w:name="_Toc335289047"/>
      <w:bookmarkStart w:id="536" w:name="_Toc335384366"/>
      <w:bookmarkStart w:id="537" w:name="_Toc335384491"/>
      <w:bookmarkStart w:id="538" w:name="_Toc335652149"/>
      <w:bookmarkStart w:id="539" w:name="_Toc335652304"/>
      <w:bookmarkStart w:id="540" w:name="_Toc335161668"/>
      <w:bookmarkStart w:id="541" w:name="_Toc335162447"/>
      <w:bookmarkStart w:id="542" w:name="_Toc335162574"/>
      <w:bookmarkStart w:id="543" w:name="_Toc335162700"/>
      <w:bookmarkStart w:id="544" w:name="_Toc335162827"/>
      <w:bookmarkStart w:id="545" w:name="_Toc335162959"/>
      <w:bookmarkStart w:id="546" w:name="_Toc335163090"/>
      <w:bookmarkStart w:id="547" w:name="_Toc335163223"/>
      <w:bookmarkStart w:id="548" w:name="_Toc335163344"/>
      <w:bookmarkStart w:id="549" w:name="_Toc335163465"/>
      <w:bookmarkStart w:id="550" w:name="_Toc335163588"/>
      <w:bookmarkStart w:id="551" w:name="_Toc335163710"/>
      <w:bookmarkStart w:id="552" w:name="_Toc335163838"/>
      <w:bookmarkStart w:id="553" w:name="_Toc335163958"/>
      <w:bookmarkStart w:id="554" w:name="_Toc335164089"/>
      <w:bookmarkStart w:id="555" w:name="_Toc335164223"/>
      <w:bookmarkStart w:id="556" w:name="_Toc335164835"/>
      <w:bookmarkStart w:id="557" w:name="_Toc335164985"/>
      <w:bookmarkStart w:id="558" w:name="_Toc335165138"/>
      <w:bookmarkStart w:id="559" w:name="_Toc335165283"/>
      <w:bookmarkStart w:id="560" w:name="_Toc335165424"/>
      <w:bookmarkStart w:id="561" w:name="_Toc335165565"/>
      <w:bookmarkStart w:id="562" w:name="_Toc335165705"/>
      <w:bookmarkStart w:id="563" w:name="_Toc335165840"/>
      <w:bookmarkStart w:id="564" w:name="_Toc335165972"/>
      <w:bookmarkStart w:id="565" w:name="_Toc335166105"/>
      <w:bookmarkStart w:id="566" w:name="_Toc335166232"/>
      <w:bookmarkStart w:id="567" w:name="_Toc335213131"/>
      <w:bookmarkStart w:id="568" w:name="_Toc335214368"/>
      <w:bookmarkStart w:id="569" w:name="_Toc335214653"/>
      <w:bookmarkStart w:id="570" w:name="_Toc335225210"/>
      <w:bookmarkStart w:id="571" w:name="_Toc335225494"/>
      <w:bookmarkStart w:id="572" w:name="_Toc335225603"/>
      <w:bookmarkStart w:id="573" w:name="_Toc335225716"/>
      <w:bookmarkStart w:id="574" w:name="_Toc335289048"/>
      <w:bookmarkStart w:id="575" w:name="_Toc335384367"/>
      <w:bookmarkStart w:id="576" w:name="_Toc335384492"/>
      <w:bookmarkStart w:id="577" w:name="_Toc335652150"/>
      <w:bookmarkStart w:id="578" w:name="_Toc335652305"/>
      <w:bookmarkStart w:id="579" w:name="_Toc335161669"/>
      <w:bookmarkStart w:id="580" w:name="_Toc335162448"/>
      <w:bookmarkStart w:id="581" w:name="_Toc335162575"/>
      <w:bookmarkStart w:id="582" w:name="_Toc335162701"/>
      <w:bookmarkStart w:id="583" w:name="_Toc335162828"/>
      <w:bookmarkStart w:id="584" w:name="_Toc335162960"/>
      <w:bookmarkStart w:id="585" w:name="_Toc335163091"/>
      <w:bookmarkStart w:id="586" w:name="_Toc335163224"/>
      <w:bookmarkStart w:id="587" w:name="_Toc335163345"/>
      <w:bookmarkStart w:id="588" w:name="_Toc335163466"/>
      <w:bookmarkStart w:id="589" w:name="_Toc335163589"/>
      <w:bookmarkStart w:id="590" w:name="_Toc335163711"/>
      <w:bookmarkStart w:id="591" w:name="_Toc335163839"/>
      <w:bookmarkStart w:id="592" w:name="_Toc335163959"/>
      <w:bookmarkStart w:id="593" w:name="_Toc335164090"/>
      <w:bookmarkStart w:id="594" w:name="_Toc335164224"/>
      <w:bookmarkStart w:id="595" w:name="_Toc335164836"/>
      <w:bookmarkStart w:id="596" w:name="_Toc335164986"/>
      <w:bookmarkStart w:id="597" w:name="_Toc335165139"/>
      <w:bookmarkStart w:id="598" w:name="_Toc335165284"/>
      <w:bookmarkStart w:id="599" w:name="_Toc335165425"/>
      <w:bookmarkStart w:id="600" w:name="_Toc335165566"/>
      <w:bookmarkStart w:id="601" w:name="_Toc335165706"/>
      <w:bookmarkStart w:id="602" w:name="_Toc335165841"/>
      <w:bookmarkStart w:id="603" w:name="_Toc335165973"/>
      <w:bookmarkStart w:id="604" w:name="_Toc335166106"/>
      <w:bookmarkStart w:id="605" w:name="_Toc335166233"/>
      <w:bookmarkStart w:id="606" w:name="_Toc335213132"/>
      <w:bookmarkStart w:id="607" w:name="_Toc335214369"/>
      <w:bookmarkStart w:id="608" w:name="_Toc335214654"/>
      <w:bookmarkStart w:id="609" w:name="_Toc335225211"/>
      <w:bookmarkStart w:id="610" w:name="_Toc335225495"/>
      <w:bookmarkStart w:id="611" w:name="_Toc335225604"/>
      <w:bookmarkStart w:id="612" w:name="_Toc335225717"/>
      <w:bookmarkStart w:id="613" w:name="_Toc335289049"/>
      <w:bookmarkStart w:id="614" w:name="_Toc335384368"/>
      <w:bookmarkStart w:id="615" w:name="_Toc335384493"/>
      <w:bookmarkStart w:id="616" w:name="_Toc335652151"/>
      <w:bookmarkStart w:id="617" w:name="_Toc335652306"/>
      <w:bookmarkStart w:id="618" w:name="_Toc335161670"/>
      <w:bookmarkStart w:id="619" w:name="_Toc335162449"/>
      <w:bookmarkStart w:id="620" w:name="_Toc335162576"/>
      <w:bookmarkStart w:id="621" w:name="_Toc335162702"/>
      <w:bookmarkStart w:id="622" w:name="_Toc335162829"/>
      <w:bookmarkStart w:id="623" w:name="_Toc335162961"/>
      <w:bookmarkStart w:id="624" w:name="_Toc335163092"/>
      <w:bookmarkStart w:id="625" w:name="_Toc335163225"/>
      <w:bookmarkStart w:id="626" w:name="_Toc335163346"/>
      <w:bookmarkStart w:id="627" w:name="_Toc335163467"/>
      <w:bookmarkStart w:id="628" w:name="_Toc335163590"/>
      <w:bookmarkStart w:id="629" w:name="_Toc335163712"/>
      <w:bookmarkStart w:id="630" w:name="_Toc335163840"/>
      <w:bookmarkStart w:id="631" w:name="_Toc335163960"/>
      <w:bookmarkStart w:id="632" w:name="_Toc335164091"/>
      <w:bookmarkStart w:id="633" w:name="_Toc335164225"/>
      <w:bookmarkStart w:id="634" w:name="_Toc335164837"/>
      <w:bookmarkStart w:id="635" w:name="_Toc335164987"/>
      <w:bookmarkStart w:id="636" w:name="_Toc335165140"/>
      <w:bookmarkStart w:id="637" w:name="_Toc335165285"/>
      <w:bookmarkStart w:id="638" w:name="_Toc335165426"/>
      <w:bookmarkStart w:id="639" w:name="_Toc335165567"/>
      <w:bookmarkStart w:id="640" w:name="_Toc335165707"/>
      <w:bookmarkStart w:id="641" w:name="_Toc335165842"/>
      <w:bookmarkStart w:id="642" w:name="_Toc335165974"/>
      <w:bookmarkStart w:id="643" w:name="_Toc335166107"/>
      <w:bookmarkStart w:id="644" w:name="_Toc335166234"/>
      <w:bookmarkStart w:id="645" w:name="_Toc335213133"/>
      <w:bookmarkStart w:id="646" w:name="_Toc335214370"/>
      <w:bookmarkStart w:id="647" w:name="_Toc335214655"/>
      <w:bookmarkStart w:id="648" w:name="_Toc335225212"/>
      <w:bookmarkStart w:id="649" w:name="_Toc335225496"/>
      <w:bookmarkStart w:id="650" w:name="_Toc335225605"/>
      <w:bookmarkStart w:id="651" w:name="_Toc335225718"/>
      <w:bookmarkStart w:id="652" w:name="_Toc335289050"/>
      <w:bookmarkStart w:id="653" w:name="_Toc335384369"/>
      <w:bookmarkStart w:id="654" w:name="_Toc335384494"/>
      <w:bookmarkStart w:id="655" w:name="_Toc335652152"/>
      <w:bookmarkStart w:id="656" w:name="_Toc335652307"/>
      <w:bookmarkStart w:id="657" w:name="_Toc335161671"/>
      <w:bookmarkStart w:id="658" w:name="_Toc335162450"/>
      <w:bookmarkStart w:id="659" w:name="_Toc335162577"/>
      <w:bookmarkStart w:id="660" w:name="_Toc335162703"/>
      <w:bookmarkStart w:id="661" w:name="_Toc335162830"/>
      <w:bookmarkStart w:id="662" w:name="_Toc335162962"/>
      <w:bookmarkStart w:id="663" w:name="_Toc335163093"/>
      <w:bookmarkStart w:id="664" w:name="_Toc335163226"/>
      <w:bookmarkStart w:id="665" w:name="_Toc335163347"/>
      <w:bookmarkStart w:id="666" w:name="_Toc335163468"/>
      <w:bookmarkStart w:id="667" w:name="_Toc335163591"/>
      <w:bookmarkStart w:id="668" w:name="_Toc335163713"/>
      <w:bookmarkStart w:id="669" w:name="_Toc335163841"/>
      <w:bookmarkStart w:id="670" w:name="_Toc335163961"/>
      <w:bookmarkStart w:id="671" w:name="_Toc335164092"/>
      <w:bookmarkStart w:id="672" w:name="_Toc335164226"/>
      <w:bookmarkStart w:id="673" w:name="_Toc335164838"/>
      <w:bookmarkStart w:id="674" w:name="_Toc335164988"/>
      <w:bookmarkStart w:id="675" w:name="_Toc335165141"/>
      <w:bookmarkStart w:id="676" w:name="_Toc335165286"/>
      <w:bookmarkStart w:id="677" w:name="_Toc335165427"/>
      <w:bookmarkStart w:id="678" w:name="_Toc335165568"/>
      <w:bookmarkStart w:id="679" w:name="_Toc335165708"/>
      <w:bookmarkStart w:id="680" w:name="_Toc335165843"/>
      <w:bookmarkStart w:id="681" w:name="_Toc335165975"/>
      <w:bookmarkStart w:id="682" w:name="_Toc335166108"/>
      <w:bookmarkStart w:id="683" w:name="_Toc335166235"/>
      <w:bookmarkStart w:id="684" w:name="_Toc335213134"/>
      <w:bookmarkStart w:id="685" w:name="_Toc335214371"/>
      <w:bookmarkStart w:id="686" w:name="_Toc335214656"/>
      <w:bookmarkStart w:id="687" w:name="_Toc335225213"/>
      <w:bookmarkStart w:id="688" w:name="_Toc335225497"/>
      <w:bookmarkStart w:id="689" w:name="_Toc335225606"/>
      <w:bookmarkStart w:id="690" w:name="_Toc335225719"/>
      <w:bookmarkStart w:id="691" w:name="_Toc335289051"/>
      <w:bookmarkStart w:id="692" w:name="_Toc335384370"/>
      <w:bookmarkStart w:id="693" w:name="_Toc335384495"/>
      <w:bookmarkStart w:id="694" w:name="_Toc335652153"/>
      <w:bookmarkStart w:id="695" w:name="_Toc335652308"/>
      <w:bookmarkStart w:id="696" w:name="_Toc335161672"/>
      <w:bookmarkStart w:id="697" w:name="_Toc335162451"/>
      <w:bookmarkStart w:id="698" w:name="_Toc335162578"/>
      <w:bookmarkStart w:id="699" w:name="_Toc335162704"/>
      <w:bookmarkStart w:id="700" w:name="_Toc335162831"/>
      <w:bookmarkStart w:id="701" w:name="_Toc335162963"/>
      <w:bookmarkStart w:id="702" w:name="_Toc335163094"/>
      <w:bookmarkStart w:id="703" w:name="_Toc335163227"/>
      <w:bookmarkStart w:id="704" w:name="_Toc335163348"/>
      <w:bookmarkStart w:id="705" w:name="_Toc335163469"/>
      <w:bookmarkStart w:id="706" w:name="_Toc335163592"/>
      <w:bookmarkStart w:id="707" w:name="_Toc335163714"/>
      <w:bookmarkStart w:id="708" w:name="_Toc335163842"/>
      <w:bookmarkStart w:id="709" w:name="_Toc335163962"/>
      <w:bookmarkStart w:id="710" w:name="_Toc335164093"/>
      <w:bookmarkStart w:id="711" w:name="_Toc335164227"/>
      <w:bookmarkStart w:id="712" w:name="_Toc335164839"/>
      <w:bookmarkStart w:id="713" w:name="_Toc335164989"/>
      <w:bookmarkStart w:id="714" w:name="_Toc335165142"/>
      <w:bookmarkStart w:id="715" w:name="_Toc335165287"/>
      <w:bookmarkStart w:id="716" w:name="_Toc335165428"/>
      <w:bookmarkStart w:id="717" w:name="_Toc335165569"/>
      <w:bookmarkStart w:id="718" w:name="_Toc335165709"/>
      <w:bookmarkStart w:id="719" w:name="_Toc335165844"/>
      <w:bookmarkStart w:id="720" w:name="_Toc335165976"/>
      <w:bookmarkStart w:id="721" w:name="_Toc335166109"/>
      <w:bookmarkStart w:id="722" w:name="_Toc335166236"/>
      <w:bookmarkStart w:id="723" w:name="_Toc335213135"/>
      <w:bookmarkStart w:id="724" w:name="_Toc335214372"/>
      <w:bookmarkStart w:id="725" w:name="_Toc335214657"/>
      <w:bookmarkStart w:id="726" w:name="_Toc335225214"/>
      <w:bookmarkStart w:id="727" w:name="_Toc335225498"/>
      <w:bookmarkStart w:id="728" w:name="_Toc335225607"/>
      <w:bookmarkStart w:id="729" w:name="_Toc335225720"/>
      <w:bookmarkStart w:id="730" w:name="_Toc335289052"/>
      <w:bookmarkStart w:id="731" w:name="_Toc335384371"/>
      <w:bookmarkStart w:id="732" w:name="_Toc335384496"/>
      <w:bookmarkStart w:id="733" w:name="_Toc335652154"/>
      <w:bookmarkStart w:id="734" w:name="_Toc335652309"/>
      <w:bookmarkStart w:id="735" w:name="_Toc335161673"/>
      <w:bookmarkStart w:id="736" w:name="_Toc335162452"/>
      <w:bookmarkStart w:id="737" w:name="_Toc335162579"/>
      <w:bookmarkStart w:id="738" w:name="_Toc335162705"/>
      <w:bookmarkStart w:id="739" w:name="_Toc335162832"/>
      <w:bookmarkStart w:id="740" w:name="_Toc335162964"/>
      <w:bookmarkStart w:id="741" w:name="_Toc335163095"/>
      <w:bookmarkStart w:id="742" w:name="_Toc335163228"/>
      <w:bookmarkStart w:id="743" w:name="_Toc335163349"/>
      <w:bookmarkStart w:id="744" w:name="_Toc335163470"/>
      <w:bookmarkStart w:id="745" w:name="_Toc335163593"/>
      <w:bookmarkStart w:id="746" w:name="_Toc335163715"/>
      <w:bookmarkStart w:id="747" w:name="_Toc335163843"/>
      <w:bookmarkStart w:id="748" w:name="_Toc335163963"/>
      <w:bookmarkStart w:id="749" w:name="_Toc335164094"/>
      <w:bookmarkStart w:id="750" w:name="_Toc335164228"/>
      <w:bookmarkStart w:id="751" w:name="_Toc335164840"/>
      <w:bookmarkStart w:id="752" w:name="_Toc335164990"/>
      <w:bookmarkStart w:id="753" w:name="_Toc335165143"/>
      <w:bookmarkStart w:id="754" w:name="_Toc335165288"/>
      <w:bookmarkStart w:id="755" w:name="_Toc335165429"/>
      <w:bookmarkStart w:id="756" w:name="_Toc335165570"/>
      <w:bookmarkStart w:id="757" w:name="_Toc335165710"/>
      <w:bookmarkStart w:id="758" w:name="_Toc335165845"/>
      <w:bookmarkStart w:id="759" w:name="_Toc335165977"/>
      <w:bookmarkStart w:id="760" w:name="_Toc335166110"/>
      <w:bookmarkStart w:id="761" w:name="_Toc335166237"/>
      <w:bookmarkStart w:id="762" w:name="_Toc335213136"/>
      <w:bookmarkStart w:id="763" w:name="_Toc335214373"/>
      <w:bookmarkStart w:id="764" w:name="_Toc335214658"/>
      <w:bookmarkStart w:id="765" w:name="_Toc335225215"/>
      <w:bookmarkStart w:id="766" w:name="_Toc335225499"/>
      <w:bookmarkStart w:id="767" w:name="_Toc335225608"/>
      <w:bookmarkStart w:id="768" w:name="_Toc335225721"/>
      <w:bookmarkStart w:id="769" w:name="_Toc335289053"/>
      <w:bookmarkStart w:id="770" w:name="_Toc335384372"/>
      <w:bookmarkStart w:id="771" w:name="_Toc335384497"/>
      <w:bookmarkStart w:id="772" w:name="_Toc335652155"/>
      <w:bookmarkStart w:id="773" w:name="_Toc335652310"/>
      <w:bookmarkStart w:id="774" w:name="_Toc335161674"/>
      <w:bookmarkStart w:id="775" w:name="_Toc335162453"/>
      <w:bookmarkStart w:id="776" w:name="_Toc335162580"/>
      <w:bookmarkStart w:id="777" w:name="_Toc335162706"/>
      <w:bookmarkStart w:id="778" w:name="_Toc335162833"/>
      <w:bookmarkStart w:id="779" w:name="_Toc335162965"/>
      <w:bookmarkStart w:id="780" w:name="_Toc335163096"/>
      <w:bookmarkStart w:id="781" w:name="_Toc335163229"/>
      <w:bookmarkStart w:id="782" w:name="_Toc335163350"/>
      <w:bookmarkStart w:id="783" w:name="_Toc335163471"/>
      <w:bookmarkStart w:id="784" w:name="_Toc335163594"/>
      <w:bookmarkStart w:id="785" w:name="_Toc335163716"/>
      <w:bookmarkStart w:id="786" w:name="_Toc335163844"/>
      <w:bookmarkStart w:id="787" w:name="_Toc335163964"/>
      <w:bookmarkStart w:id="788" w:name="_Toc335164095"/>
      <w:bookmarkStart w:id="789" w:name="_Toc335164229"/>
      <w:bookmarkStart w:id="790" w:name="_Toc335164841"/>
      <w:bookmarkStart w:id="791" w:name="_Toc335164991"/>
      <w:bookmarkStart w:id="792" w:name="_Toc335165144"/>
      <w:bookmarkStart w:id="793" w:name="_Toc335165289"/>
      <w:bookmarkStart w:id="794" w:name="_Toc335165430"/>
      <w:bookmarkStart w:id="795" w:name="_Toc335165571"/>
      <w:bookmarkStart w:id="796" w:name="_Toc335165711"/>
      <w:bookmarkStart w:id="797" w:name="_Toc335165846"/>
      <w:bookmarkStart w:id="798" w:name="_Toc335165978"/>
      <w:bookmarkStart w:id="799" w:name="_Toc335166111"/>
      <w:bookmarkStart w:id="800" w:name="_Toc335166238"/>
      <w:bookmarkStart w:id="801" w:name="_Toc335213137"/>
      <w:bookmarkStart w:id="802" w:name="_Toc335214374"/>
      <w:bookmarkStart w:id="803" w:name="_Toc335214659"/>
      <w:bookmarkStart w:id="804" w:name="_Toc335225216"/>
      <w:bookmarkStart w:id="805" w:name="_Toc335225500"/>
      <w:bookmarkStart w:id="806" w:name="_Toc335225609"/>
      <w:bookmarkStart w:id="807" w:name="_Toc335225722"/>
      <w:bookmarkStart w:id="808" w:name="_Toc335289054"/>
      <w:bookmarkStart w:id="809" w:name="_Toc335384373"/>
      <w:bookmarkStart w:id="810" w:name="_Toc335384498"/>
      <w:bookmarkStart w:id="811" w:name="_Toc335652156"/>
      <w:bookmarkStart w:id="812" w:name="_Toc335652311"/>
      <w:bookmarkStart w:id="813" w:name="_Toc335161675"/>
      <w:bookmarkStart w:id="814" w:name="_Toc335162454"/>
      <w:bookmarkStart w:id="815" w:name="_Toc335162581"/>
      <w:bookmarkStart w:id="816" w:name="_Toc335162707"/>
      <w:bookmarkStart w:id="817" w:name="_Toc335162834"/>
      <w:bookmarkStart w:id="818" w:name="_Toc335162966"/>
      <w:bookmarkStart w:id="819" w:name="_Toc335163097"/>
      <w:bookmarkStart w:id="820" w:name="_Toc335163230"/>
      <w:bookmarkStart w:id="821" w:name="_Toc335163351"/>
      <w:bookmarkStart w:id="822" w:name="_Toc335163472"/>
      <w:bookmarkStart w:id="823" w:name="_Toc335163595"/>
      <w:bookmarkStart w:id="824" w:name="_Toc335163717"/>
      <w:bookmarkStart w:id="825" w:name="_Toc335163845"/>
      <w:bookmarkStart w:id="826" w:name="_Toc335163965"/>
      <w:bookmarkStart w:id="827" w:name="_Toc335164096"/>
      <w:bookmarkStart w:id="828" w:name="_Toc335164230"/>
      <w:bookmarkStart w:id="829" w:name="_Toc335164842"/>
      <w:bookmarkStart w:id="830" w:name="_Toc335164992"/>
      <w:bookmarkStart w:id="831" w:name="_Toc335165145"/>
      <w:bookmarkStart w:id="832" w:name="_Toc335165290"/>
      <w:bookmarkStart w:id="833" w:name="_Toc335165431"/>
      <w:bookmarkStart w:id="834" w:name="_Toc335165572"/>
      <w:bookmarkStart w:id="835" w:name="_Toc335165712"/>
      <w:bookmarkStart w:id="836" w:name="_Toc335165847"/>
      <w:bookmarkStart w:id="837" w:name="_Toc335165979"/>
      <w:bookmarkStart w:id="838" w:name="_Toc335166112"/>
      <w:bookmarkStart w:id="839" w:name="_Toc335166239"/>
      <w:bookmarkStart w:id="840" w:name="_Toc335213138"/>
      <w:bookmarkStart w:id="841" w:name="_Toc335214375"/>
      <w:bookmarkStart w:id="842" w:name="_Toc335214660"/>
      <w:bookmarkStart w:id="843" w:name="_Toc335225217"/>
      <w:bookmarkStart w:id="844" w:name="_Toc335225501"/>
      <w:bookmarkStart w:id="845" w:name="_Toc335225610"/>
      <w:bookmarkStart w:id="846" w:name="_Toc335225723"/>
      <w:bookmarkStart w:id="847" w:name="_Toc335289055"/>
      <w:bookmarkStart w:id="848" w:name="_Toc335384374"/>
      <w:bookmarkStart w:id="849" w:name="_Toc335384499"/>
      <w:bookmarkStart w:id="850" w:name="_Toc335652157"/>
      <w:bookmarkStart w:id="851" w:name="_Toc335652312"/>
      <w:bookmarkStart w:id="852" w:name="_Toc335161676"/>
      <w:bookmarkStart w:id="853" w:name="_Toc335162455"/>
      <w:bookmarkStart w:id="854" w:name="_Toc335162582"/>
      <w:bookmarkStart w:id="855" w:name="_Toc335162708"/>
      <w:bookmarkStart w:id="856" w:name="_Toc335162835"/>
      <w:bookmarkStart w:id="857" w:name="_Toc335162967"/>
      <w:bookmarkStart w:id="858" w:name="_Toc335163098"/>
      <w:bookmarkStart w:id="859" w:name="_Toc335163231"/>
      <w:bookmarkStart w:id="860" w:name="_Toc335163352"/>
      <w:bookmarkStart w:id="861" w:name="_Toc335163473"/>
      <w:bookmarkStart w:id="862" w:name="_Toc335163596"/>
      <w:bookmarkStart w:id="863" w:name="_Toc335163718"/>
      <w:bookmarkStart w:id="864" w:name="_Toc335163846"/>
      <w:bookmarkStart w:id="865" w:name="_Toc335163966"/>
      <w:bookmarkStart w:id="866" w:name="_Toc335164097"/>
      <w:bookmarkStart w:id="867" w:name="_Toc335164231"/>
      <w:bookmarkStart w:id="868" w:name="_Toc335164843"/>
      <w:bookmarkStart w:id="869" w:name="_Toc335164993"/>
      <w:bookmarkStart w:id="870" w:name="_Toc335165146"/>
      <w:bookmarkStart w:id="871" w:name="_Toc335165291"/>
      <w:bookmarkStart w:id="872" w:name="_Toc335165432"/>
      <w:bookmarkStart w:id="873" w:name="_Toc335165573"/>
      <w:bookmarkStart w:id="874" w:name="_Toc335165713"/>
      <w:bookmarkStart w:id="875" w:name="_Toc335165848"/>
      <w:bookmarkStart w:id="876" w:name="_Toc335165980"/>
      <w:bookmarkStart w:id="877" w:name="_Toc335166113"/>
      <w:bookmarkStart w:id="878" w:name="_Toc335166240"/>
      <w:bookmarkStart w:id="879" w:name="_Toc335213139"/>
      <w:bookmarkStart w:id="880" w:name="_Toc335214376"/>
      <w:bookmarkStart w:id="881" w:name="_Toc335214661"/>
      <w:bookmarkStart w:id="882" w:name="_Toc335225218"/>
      <w:bookmarkStart w:id="883" w:name="_Toc335225502"/>
      <w:bookmarkStart w:id="884" w:name="_Toc335225611"/>
      <w:bookmarkStart w:id="885" w:name="_Toc335225724"/>
      <w:bookmarkStart w:id="886" w:name="_Toc335289056"/>
      <w:bookmarkStart w:id="887" w:name="_Toc335384375"/>
      <w:bookmarkStart w:id="888" w:name="_Toc335384500"/>
      <w:bookmarkStart w:id="889" w:name="_Toc335652158"/>
      <w:bookmarkStart w:id="890" w:name="_Toc335652313"/>
      <w:bookmarkStart w:id="891" w:name="_Toc335161677"/>
      <w:bookmarkStart w:id="892" w:name="_Toc335162456"/>
      <w:bookmarkStart w:id="893" w:name="_Toc335162583"/>
      <w:bookmarkStart w:id="894" w:name="_Toc335162709"/>
      <w:bookmarkStart w:id="895" w:name="_Toc335162836"/>
      <w:bookmarkStart w:id="896" w:name="_Toc335162968"/>
      <w:bookmarkStart w:id="897" w:name="_Toc335163099"/>
      <w:bookmarkStart w:id="898" w:name="_Toc335163232"/>
      <w:bookmarkStart w:id="899" w:name="_Toc335163353"/>
      <w:bookmarkStart w:id="900" w:name="_Toc335163474"/>
      <w:bookmarkStart w:id="901" w:name="_Toc335163597"/>
      <w:bookmarkStart w:id="902" w:name="_Toc335163719"/>
      <w:bookmarkStart w:id="903" w:name="_Toc335163847"/>
      <w:bookmarkStart w:id="904" w:name="_Toc335163967"/>
      <w:bookmarkStart w:id="905" w:name="_Toc335164098"/>
      <w:bookmarkStart w:id="906" w:name="_Toc335164232"/>
      <w:bookmarkStart w:id="907" w:name="_Toc335164844"/>
      <w:bookmarkStart w:id="908" w:name="_Toc335164994"/>
      <w:bookmarkStart w:id="909" w:name="_Toc335165147"/>
      <w:bookmarkStart w:id="910" w:name="_Toc335165292"/>
      <w:bookmarkStart w:id="911" w:name="_Toc335165433"/>
      <w:bookmarkStart w:id="912" w:name="_Toc335165574"/>
      <w:bookmarkStart w:id="913" w:name="_Toc335165714"/>
      <w:bookmarkStart w:id="914" w:name="_Toc335165849"/>
      <w:bookmarkStart w:id="915" w:name="_Toc335165981"/>
      <w:bookmarkStart w:id="916" w:name="_Toc335166114"/>
      <w:bookmarkStart w:id="917" w:name="_Toc335166241"/>
      <w:bookmarkStart w:id="918" w:name="_Toc335213140"/>
      <w:bookmarkStart w:id="919" w:name="_Toc335214377"/>
      <w:bookmarkStart w:id="920" w:name="_Toc335214662"/>
      <w:bookmarkStart w:id="921" w:name="_Toc335225219"/>
      <w:bookmarkStart w:id="922" w:name="_Toc335225503"/>
      <w:bookmarkStart w:id="923" w:name="_Toc335225612"/>
      <w:bookmarkStart w:id="924" w:name="_Toc335225725"/>
      <w:bookmarkStart w:id="925" w:name="_Toc335289057"/>
      <w:bookmarkStart w:id="926" w:name="_Toc335384376"/>
      <w:bookmarkStart w:id="927" w:name="_Toc335384501"/>
      <w:bookmarkStart w:id="928" w:name="_Toc335652159"/>
      <w:bookmarkStart w:id="929" w:name="_Toc335652314"/>
      <w:bookmarkStart w:id="930" w:name="_Toc335161678"/>
      <w:bookmarkStart w:id="931" w:name="_Toc335162457"/>
      <w:bookmarkStart w:id="932" w:name="_Toc335162584"/>
      <w:bookmarkStart w:id="933" w:name="_Toc335162710"/>
      <w:bookmarkStart w:id="934" w:name="_Toc335162837"/>
      <w:bookmarkStart w:id="935" w:name="_Toc335162969"/>
      <w:bookmarkStart w:id="936" w:name="_Toc335163100"/>
      <w:bookmarkStart w:id="937" w:name="_Toc335163233"/>
      <w:bookmarkStart w:id="938" w:name="_Toc335163354"/>
      <w:bookmarkStart w:id="939" w:name="_Toc335163475"/>
      <w:bookmarkStart w:id="940" w:name="_Toc335163598"/>
      <w:bookmarkStart w:id="941" w:name="_Toc335163720"/>
      <w:bookmarkStart w:id="942" w:name="_Toc335163848"/>
      <w:bookmarkStart w:id="943" w:name="_Toc335163968"/>
      <w:bookmarkStart w:id="944" w:name="_Toc335164099"/>
      <w:bookmarkStart w:id="945" w:name="_Toc335164233"/>
      <w:bookmarkStart w:id="946" w:name="_Toc335164845"/>
      <w:bookmarkStart w:id="947" w:name="_Toc335164995"/>
      <w:bookmarkStart w:id="948" w:name="_Toc335165148"/>
      <w:bookmarkStart w:id="949" w:name="_Toc335165293"/>
      <w:bookmarkStart w:id="950" w:name="_Toc335165434"/>
      <w:bookmarkStart w:id="951" w:name="_Toc335165575"/>
      <w:bookmarkStart w:id="952" w:name="_Toc335165715"/>
      <w:bookmarkStart w:id="953" w:name="_Toc335165850"/>
      <w:bookmarkStart w:id="954" w:name="_Toc335165982"/>
      <w:bookmarkStart w:id="955" w:name="_Toc335166115"/>
      <w:bookmarkStart w:id="956" w:name="_Toc335166242"/>
      <w:bookmarkStart w:id="957" w:name="_Toc335213141"/>
      <w:bookmarkStart w:id="958" w:name="_Toc335214378"/>
      <w:bookmarkStart w:id="959" w:name="_Toc335214663"/>
      <w:bookmarkStart w:id="960" w:name="_Toc335225220"/>
      <w:bookmarkStart w:id="961" w:name="_Toc335225504"/>
      <w:bookmarkStart w:id="962" w:name="_Toc335225613"/>
      <w:bookmarkStart w:id="963" w:name="_Toc335225726"/>
      <w:bookmarkStart w:id="964" w:name="_Toc335289058"/>
      <w:bookmarkStart w:id="965" w:name="_Toc335384377"/>
      <w:bookmarkStart w:id="966" w:name="_Toc335384502"/>
      <w:bookmarkStart w:id="967" w:name="_Toc335652160"/>
      <w:bookmarkStart w:id="968" w:name="_Toc335652315"/>
      <w:bookmarkStart w:id="969" w:name="_Toc327297038"/>
      <w:bookmarkStart w:id="970" w:name="_Toc335122916"/>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p>
    <w:p w:rsidR="00443495" w:rsidRPr="00BD4A85" w:rsidRDefault="00443495" w:rsidP="00443495">
      <w:pPr>
        <w:spacing w:after="0" w:line="240" w:lineRule="auto"/>
        <w:contextualSpacing/>
        <w:jc w:val="both"/>
      </w:pPr>
    </w:p>
    <w:p w:rsidR="00C71F68" w:rsidRPr="00BD4A85" w:rsidRDefault="00C71F68" w:rsidP="00C71F68">
      <w:pPr>
        <w:spacing w:after="240"/>
        <w:jc w:val="both"/>
      </w:pPr>
      <w:r w:rsidRPr="00BD4A85">
        <w:t xml:space="preserve">The Malawi Health </w:t>
      </w:r>
      <w:r>
        <w:t>F</w:t>
      </w:r>
      <w:r w:rsidRPr="00BD4A85">
        <w:t>inancing Situational Analysis</w:t>
      </w:r>
      <w:r>
        <w:t xml:space="preserve"> (2012)</w:t>
      </w:r>
      <w:r w:rsidRPr="00BD4A85">
        <w:t xml:space="preserve"> identified three overarching health financing challenges:</w:t>
      </w:r>
    </w:p>
    <w:bookmarkEnd w:id="969"/>
    <w:bookmarkEnd w:id="970"/>
    <w:p w:rsidR="00C71F68" w:rsidRPr="00BD4A85" w:rsidRDefault="00C71F68" w:rsidP="00564161">
      <w:pPr>
        <w:numPr>
          <w:ilvl w:val="0"/>
          <w:numId w:val="3"/>
        </w:numPr>
        <w:spacing w:before="120" w:after="120"/>
        <w:jc w:val="both"/>
        <w:rPr>
          <w:b/>
        </w:rPr>
      </w:pPr>
      <w:r w:rsidRPr="00BD4A85">
        <w:rPr>
          <w:b/>
        </w:rPr>
        <w:t>Insufficient and Unpredictable Financial Resources</w:t>
      </w:r>
    </w:p>
    <w:p w:rsidR="00C71F68" w:rsidRPr="009F4261" w:rsidRDefault="00C71F68" w:rsidP="00443495">
      <w:pPr>
        <w:spacing w:before="120" w:after="120"/>
        <w:ind w:left="540"/>
        <w:jc w:val="both"/>
        <w:rPr>
          <w:rFonts w:asciiTheme="minorHAnsi" w:hAnsiTheme="minorHAnsi"/>
        </w:rPr>
      </w:pPr>
      <w:r w:rsidRPr="009F4261">
        <w:rPr>
          <w:rFonts w:asciiTheme="minorHAnsi" w:hAnsiTheme="minorHAnsi"/>
        </w:rPr>
        <w:t>The Malawian health system faces</w:t>
      </w:r>
      <w:r w:rsidR="003538FC" w:rsidRPr="009F4261">
        <w:rPr>
          <w:rFonts w:asciiTheme="minorHAnsi" w:hAnsiTheme="minorHAnsi"/>
        </w:rPr>
        <w:t xml:space="preserve"> serious absolute</w:t>
      </w:r>
      <w:r w:rsidRPr="009F4261">
        <w:rPr>
          <w:rFonts w:asciiTheme="minorHAnsi" w:hAnsiTheme="minorHAnsi"/>
        </w:rPr>
        <w:t xml:space="preserve"> inadequate financial resources to fund the Essential Health Package and broader health services. </w:t>
      </w:r>
      <w:r w:rsidR="00E42794" w:rsidRPr="009F4261">
        <w:rPr>
          <w:rFonts w:asciiTheme="minorHAnsi" w:hAnsiTheme="minorHAnsi"/>
        </w:rPr>
        <w:t xml:space="preserve">For instance, the total health </w:t>
      </w:r>
      <w:r w:rsidR="008F12B3" w:rsidRPr="009F4261">
        <w:rPr>
          <w:rFonts w:asciiTheme="minorHAnsi" w:hAnsiTheme="minorHAnsi"/>
        </w:rPr>
        <w:t>resources available only translate</w:t>
      </w:r>
      <w:r w:rsidR="00AB27F3">
        <w:rPr>
          <w:rFonts w:asciiTheme="minorHAnsi" w:hAnsiTheme="minorHAnsi"/>
        </w:rPr>
        <w:t>d</w:t>
      </w:r>
      <w:r w:rsidR="00E42794" w:rsidRPr="009F4261">
        <w:rPr>
          <w:rFonts w:asciiTheme="minorHAnsi" w:hAnsiTheme="minorHAnsi"/>
        </w:rPr>
        <w:t xml:space="preserve"> to $39.7 per capita</w:t>
      </w:r>
      <w:r w:rsidR="00AB27F3">
        <w:rPr>
          <w:rFonts w:asciiTheme="minorHAnsi" w:hAnsiTheme="minorHAnsi"/>
        </w:rPr>
        <w:t xml:space="preserve"> per annum</w:t>
      </w:r>
      <w:r w:rsidR="00E42794" w:rsidRPr="009F4261">
        <w:rPr>
          <w:rFonts w:asciiTheme="minorHAnsi" w:hAnsiTheme="minorHAnsi"/>
        </w:rPr>
        <w:t xml:space="preserve"> in 2011/12.  Th</w:t>
      </w:r>
      <w:r w:rsidR="003616FA" w:rsidRPr="009F4261">
        <w:rPr>
          <w:rFonts w:asciiTheme="minorHAnsi" w:hAnsiTheme="minorHAnsi"/>
        </w:rPr>
        <w:t>e resources are</w:t>
      </w:r>
      <w:r w:rsidR="00E42794" w:rsidRPr="009F4261">
        <w:rPr>
          <w:rFonts w:asciiTheme="minorHAnsi" w:hAnsiTheme="minorHAnsi"/>
        </w:rPr>
        <w:t xml:space="preserve"> </w:t>
      </w:r>
      <w:r w:rsidR="003616FA" w:rsidRPr="009F4261">
        <w:rPr>
          <w:rFonts w:asciiTheme="minorHAnsi" w:hAnsiTheme="minorHAnsi"/>
        </w:rPr>
        <w:t>inadequate to</w:t>
      </w:r>
      <w:r w:rsidR="00E42794" w:rsidRPr="009F4261">
        <w:rPr>
          <w:rFonts w:asciiTheme="minorHAnsi" w:hAnsiTheme="minorHAnsi"/>
        </w:rPr>
        <w:t xml:space="preserve"> fund the basic cost-effective interventions estimated at $54 per capita per annum (WHO World Health Report 2010) and also the Malawi Essential Health Package at $44.4 per capita per annum</w:t>
      </w:r>
      <w:r w:rsidRPr="009F4261">
        <w:rPr>
          <w:rFonts w:asciiTheme="minorHAnsi" w:hAnsiTheme="minorHAnsi"/>
        </w:rPr>
        <w:t xml:space="preserve">. </w:t>
      </w:r>
    </w:p>
    <w:p w:rsidR="003C3A8F" w:rsidRDefault="00AB27F3" w:rsidP="003C3A8F">
      <w:pPr>
        <w:spacing w:before="120" w:after="120"/>
        <w:ind w:left="540"/>
        <w:jc w:val="both"/>
      </w:pPr>
      <w:r>
        <w:t>The challenge</w:t>
      </w:r>
      <w:r w:rsidR="00A3016B">
        <w:t xml:space="preserve"> is constrained by Malawi’s macroeconomic environment.</w:t>
      </w:r>
      <w:r w:rsidR="00A3016B" w:rsidRPr="00A3016B">
        <w:t xml:space="preserve"> </w:t>
      </w:r>
      <w:r w:rsidR="00A3016B" w:rsidRPr="00BD4A85">
        <w:t xml:space="preserve">A limited tax base and a high reliance on donor aid leave funding streams at risk of shifting donor priorities and changing economic conditions. </w:t>
      </w:r>
      <w:r w:rsidR="00A3016B">
        <w:t xml:space="preserve">The lack of a formal sector (9% of individuals in the working age) </w:t>
      </w:r>
      <w:r w:rsidR="003538FC">
        <w:t xml:space="preserve">and poor economic prospects </w:t>
      </w:r>
      <w:r w:rsidR="009376BD">
        <w:t>inhibits revenue raising and thus keeps Malawi donor dependent. As such,</w:t>
      </w:r>
      <w:r w:rsidR="00A3016B" w:rsidRPr="00BD4A85">
        <w:t xml:space="preserve"> </w:t>
      </w:r>
      <w:r w:rsidR="009376BD">
        <w:t>s</w:t>
      </w:r>
      <w:r w:rsidR="00A3016B" w:rsidRPr="00BD4A85">
        <w:t>hortfalls in donor contributions, exacerbated by unstable internal revenue, have at times forced the Ministry of Finance to</w:t>
      </w:r>
      <w:r>
        <w:t xml:space="preserve"> provide delayed and lower the </w:t>
      </w:r>
      <w:r w:rsidR="00A3016B" w:rsidRPr="00BD4A85">
        <w:t xml:space="preserve">estimated disbursements to the public health sector. </w:t>
      </w:r>
      <w:r w:rsidR="003538FC">
        <w:t>This has also led to high domestic borrowing to bridge the resource gap.</w:t>
      </w:r>
      <w:r w:rsidR="00A3016B" w:rsidRPr="00BD4A85">
        <w:t xml:space="preserve"> </w:t>
      </w:r>
    </w:p>
    <w:p w:rsidR="003C3A8F" w:rsidRPr="00BD4A85" w:rsidRDefault="003C3A8F" w:rsidP="003C3A8F">
      <w:pPr>
        <w:spacing w:after="0" w:line="240" w:lineRule="auto"/>
        <w:ind w:left="547"/>
        <w:contextualSpacing/>
        <w:jc w:val="both"/>
      </w:pPr>
    </w:p>
    <w:p w:rsidR="00C71F68" w:rsidRPr="00BD4A85" w:rsidRDefault="00C71F68" w:rsidP="00564161">
      <w:pPr>
        <w:numPr>
          <w:ilvl w:val="0"/>
          <w:numId w:val="3"/>
        </w:numPr>
        <w:spacing w:before="120" w:after="120"/>
        <w:jc w:val="both"/>
        <w:rPr>
          <w:b/>
        </w:rPr>
      </w:pPr>
      <w:r w:rsidRPr="00BD4A85">
        <w:rPr>
          <w:b/>
        </w:rPr>
        <w:t>Inefficient Resource Allocation</w:t>
      </w:r>
    </w:p>
    <w:p w:rsidR="009376BD" w:rsidRDefault="009376BD" w:rsidP="00443495">
      <w:pPr>
        <w:tabs>
          <w:tab w:val="left" w:pos="540"/>
        </w:tabs>
        <w:spacing w:before="120" w:after="120"/>
        <w:ind w:left="540"/>
        <w:jc w:val="both"/>
      </w:pPr>
      <w:r>
        <w:t xml:space="preserve">In addition to limited financial resources, </w:t>
      </w:r>
      <w:r w:rsidR="00C71F68" w:rsidRPr="00BD4A85">
        <w:t xml:space="preserve">Malawi’s high reliance on donor aid has led to a fragmentation of health service programming. There are currently over 250 international organizations, local NGOs, religious organizations and government departments implementing health programs in the country. This fragmented health service provision creates challenges for </w:t>
      </w:r>
      <w:r w:rsidR="00C71F68" w:rsidRPr="00BD4A85">
        <w:lastRenderedPageBreak/>
        <w:t xml:space="preserve">coordination, leading to duplication of services, difficulty allocating resources according to need, and challenges in aligning resources to health sector strategic plans. </w:t>
      </w:r>
      <w:r>
        <w:t xml:space="preserve"> </w:t>
      </w:r>
    </w:p>
    <w:p w:rsidR="003538FC" w:rsidRDefault="0062561A" w:rsidP="00135363">
      <w:pPr>
        <w:pStyle w:val="1-DocText"/>
        <w:tabs>
          <w:tab w:val="left" w:pos="540"/>
        </w:tabs>
        <w:spacing w:after="120" w:line="276" w:lineRule="auto"/>
        <w:ind w:left="547"/>
      </w:pPr>
      <w:r w:rsidRPr="00385997">
        <w:rPr>
          <w:sz w:val="22"/>
        </w:rPr>
        <w:t xml:space="preserve">Furthermore, there appears to be inefficiencies, inequities and ineffectiveness in the allocation, utilization and management of public health finances in the Malawian health system. Despite the development of a district resource allocation formula, </w:t>
      </w:r>
      <w:r w:rsidR="0096672A">
        <w:rPr>
          <w:sz w:val="22"/>
        </w:rPr>
        <w:t xml:space="preserve">more </w:t>
      </w:r>
      <w:r w:rsidRPr="00385997">
        <w:rPr>
          <w:sz w:val="22"/>
        </w:rPr>
        <w:t>resources</w:t>
      </w:r>
      <w:r w:rsidR="00497F0A">
        <w:rPr>
          <w:sz w:val="22"/>
        </w:rPr>
        <w:t xml:space="preserve"> continue</w:t>
      </w:r>
      <w:r w:rsidRPr="00385997">
        <w:rPr>
          <w:sz w:val="22"/>
        </w:rPr>
        <w:t xml:space="preserve"> to be allocated</w:t>
      </w:r>
      <w:r>
        <w:rPr>
          <w:sz w:val="22"/>
        </w:rPr>
        <w:t xml:space="preserve"> </w:t>
      </w:r>
      <w:r w:rsidRPr="00385997">
        <w:rPr>
          <w:sz w:val="22"/>
        </w:rPr>
        <w:t>in</w:t>
      </w:r>
      <w:r>
        <w:rPr>
          <w:sz w:val="22"/>
        </w:rPr>
        <w:t xml:space="preserve"> favour of districts with better </w:t>
      </w:r>
      <w:r w:rsidRPr="00385997">
        <w:rPr>
          <w:sz w:val="22"/>
        </w:rPr>
        <w:t xml:space="preserve">health </w:t>
      </w:r>
      <w:r w:rsidR="006A26C6">
        <w:rPr>
          <w:sz w:val="22"/>
        </w:rPr>
        <w:t xml:space="preserve">and socio-economic </w:t>
      </w:r>
      <w:r>
        <w:rPr>
          <w:sz w:val="22"/>
        </w:rPr>
        <w:t>indicators</w:t>
      </w:r>
      <w:r w:rsidRPr="00385997">
        <w:rPr>
          <w:sz w:val="22"/>
        </w:rPr>
        <w:t>.</w:t>
      </w:r>
      <w:r w:rsidR="0084660B">
        <w:rPr>
          <w:sz w:val="22"/>
        </w:rPr>
        <w:t xml:space="preserve"> Furthermore, purchasing of health services continues to be using line items which are globally known to provide </w:t>
      </w:r>
      <w:r w:rsidR="00497F0A">
        <w:rPr>
          <w:sz w:val="22"/>
        </w:rPr>
        <w:t xml:space="preserve">little </w:t>
      </w:r>
      <w:r w:rsidR="0084660B">
        <w:rPr>
          <w:sz w:val="22"/>
        </w:rPr>
        <w:t>incentives to health providers to improve quantity and quality of health care services.</w:t>
      </w:r>
      <w:r w:rsidRPr="00385997">
        <w:rPr>
          <w:sz w:val="22"/>
        </w:rPr>
        <w:t xml:space="preserve"> Financial management </w:t>
      </w:r>
      <w:r w:rsidR="006A26C6">
        <w:rPr>
          <w:sz w:val="22"/>
        </w:rPr>
        <w:t xml:space="preserve">and procurement </w:t>
      </w:r>
      <w:r w:rsidRPr="00385997">
        <w:rPr>
          <w:sz w:val="22"/>
        </w:rPr>
        <w:t xml:space="preserve">systems are weak resulting in losses of the few available resources. </w:t>
      </w:r>
      <w:r w:rsidR="006A26C6">
        <w:rPr>
          <w:sz w:val="22"/>
        </w:rPr>
        <w:t>There are also serious leakages of drugs and medical supplies at health facilities thus denying the population access to and utilization of quality health care services.</w:t>
      </w:r>
    </w:p>
    <w:p w:rsidR="006A26C6" w:rsidRDefault="006A26C6" w:rsidP="00385997">
      <w:pPr>
        <w:pStyle w:val="1-DocText"/>
      </w:pPr>
    </w:p>
    <w:p w:rsidR="00C71F68" w:rsidRPr="00BD4A85" w:rsidRDefault="009376BD" w:rsidP="00564161">
      <w:pPr>
        <w:numPr>
          <w:ilvl w:val="0"/>
          <w:numId w:val="3"/>
        </w:numPr>
        <w:rPr>
          <w:b/>
        </w:rPr>
      </w:pPr>
      <w:r>
        <w:rPr>
          <w:b/>
        </w:rPr>
        <w:t>Inadequate</w:t>
      </w:r>
      <w:r w:rsidR="00C71F68" w:rsidRPr="00BD4A85">
        <w:rPr>
          <w:b/>
        </w:rPr>
        <w:t xml:space="preserve"> health financing capacity at national, central and district levels</w:t>
      </w:r>
    </w:p>
    <w:p w:rsidR="00C71F68" w:rsidRPr="00BD4A85" w:rsidRDefault="00C71F68" w:rsidP="00443495">
      <w:pPr>
        <w:spacing w:before="120" w:after="120"/>
        <w:ind w:left="540"/>
        <w:jc w:val="both"/>
      </w:pPr>
      <w:r w:rsidRPr="00BD4A85">
        <w:t>The national, central and district levels of Malawi’s health system have limited financial and information management expertise, monitoring and evaluation procedures, and strategic planning capacity, making it difficult to accurately track resources and plan strategically.  Specifically, lack of institutional health financing capacity creates difficulties in quantifying and matching available resources to health care needs. Lack of health financing capacity also impedes additional resources generation as well as absorptive capacity that would facilitate effective use of additional resources should they become available.</w:t>
      </w:r>
    </w:p>
    <w:p w:rsidR="00C71F68" w:rsidRPr="00BD4A85" w:rsidRDefault="00C71F68" w:rsidP="004A3E20">
      <w:pPr>
        <w:spacing w:after="0" w:line="240" w:lineRule="auto"/>
        <w:ind w:left="720"/>
        <w:contextualSpacing/>
        <w:jc w:val="both"/>
      </w:pPr>
    </w:p>
    <w:p w:rsidR="00C71F68" w:rsidRPr="00BD4A85" w:rsidRDefault="00AA5468" w:rsidP="00C71F68">
      <w:pPr>
        <w:jc w:val="both"/>
        <w:rPr>
          <w:rFonts w:cs="Arial"/>
        </w:rPr>
      </w:pPr>
      <w:bookmarkStart w:id="971" w:name="_Toc363225866"/>
      <w:bookmarkStart w:id="972" w:name="_Toc384911949"/>
      <w:r w:rsidRPr="00BD4A85">
        <w:rPr>
          <w:rStyle w:val="Heading2Char"/>
          <w:rFonts w:eastAsia="Calibri"/>
        </w:rPr>
        <w:t>1.4</w:t>
      </w:r>
      <w:r w:rsidRPr="00BD4A85">
        <w:rPr>
          <w:rStyle w:val="Heading2Char"/>
          <w:rFonts w:eastAsia="Calibri"/>
        </w:rPr>
        <w:tab/>
        <w:t>POLICY STATEMENTS</w:t>
      </w:r>
      <w:bookmarkEnd w:id="971"/>
      <w:bookmarkEnd w:id="972"/>
      <w:r w:rsidR="004D598F">
        <w:rPr>
          <w:rFonts w:cs="Calibri"/>
        </w:rPr>
        <w:pict>
          <v:rect id="_x0000_i1027" style="width:0;height:1.5pt" o:hralign="center" o:hrstd="t" o:hr="t" fillcolor="#a0a0a0" stroked="f"/>
        </w:pict>
      </w:r>
      <w:bookmarkStart w:id="973" w:name="_Toc335122768"/>
      <w:bookmarkStart w:id="974" w:name="_Toc335122913"/>
      <w:bookmarkStart w:id="975" w:name="_Toc335161653"/>
      <w:bookmarkStart w:id="976" w:name="_Toc335122769"/>
      <w:bookmarkStart w:id="977" w:name="_Toc335122914"/>
      <w:bookmarkStart w:id="978" w:name="_Toc335161654"/>
      <w:bookmarkStart w:id="979" w:name="_Toc335122770"/>
      <w:bookmarkStart w:id="980" w:name="_Toc335122915"/>
      <w:bookmarkStart w:id="981" w:name="_Toc335161655"/>
      <w:bookmarkEnd w:id="973"/>
      <w:bookmarkEnd w:id="974"/>
      <w:bookmarkEnd w:id="975"/>
      <w:bookmarkEnd w:id="976"/>
      <w:bookmarkEnd w:id="977"/>
      <w:bookmarkEnd w:id="978"/>
      <w:bookmarkEnd w:id="979"/>
      <w:bookmarkEnd w:id="980"/>
      <w:bookmarkEnd w:id="981"/>
    </w:p>
    <w:p w:rsidR="00C71F68" w:rsidRPr="00BD4A85" w:rsidRDefault="00C71F68" w:rsidP="00C71F68">
      <w:pPr>
        <w:jc w:val="both"/>
      </w:pPr>
      <w:r w:rsidRPr="00BD4A85">
        <w:t xml:space="preserve">In considering the overarching problems and their underlying causes, specific objectives have been developed that map to each of the core problems listed above. The specific objectives of the desired </w:t>
      </w:r>
      <w:r w:rsidR="00C77388">
        <w:t>Health Financing Strategy</w:t>
      </w:r>
      <w:r w:rsidRPr="00BD4A85">
        <w:t xml:space="preserve"> for Malawi are</w:t>
      </w:r>
      <w:r w:rsidR="00497F0A">
        <w:t xml:space="preserve"> to</w:t>
      </w:r>
      <w:r w:rsidRPr="00BD4A85">
        <w:t>:</w:t>
      </w:r>
    </w:p>
    <w:p w:rsidR="00C71F68" w:rsidRPr="00BD4A85" w:rsidRDefault="00B67667" w:rsidP="00564161">
      <w:pPr>
        <w:numPr>
          <w:ilvl w:val="0"/>
          <w:numId w:val="39"/>
        </w:numPr>
        <w:spacing w:after="120"/>
        <w:jc w:val="both"/>
      </w:pPr>
      <w:r>
        <w:t>d</w:t>
      </w:r>
      <w:r w:rsidR="00C71F68" w:rsidRPr="00BD4A85">
        <w:t xml:space="preserve">evelop sustainable and predictable sources of revenue to adequately address Malawi’s health sector needs;  </w:t>
      </w:r>
    </w:p>
    <w:p w:rsidR="00C71F68" w:rsidRPr="00BD4A85" w:rsidRDefault="00135363" w:rsidP="00564161">
      <w:pPr>
        <w:numPr>
          <w:ilvl w:val="0"/>
          <w:numId w:val="39"/>
        </w:numPr>
        <w:spacing w:after="120"/>
        <w:jc w:val="both"/>
      </w:pPr>
      <w:r>
        <w:t>i</w:t>
      </w:r>
      <w:r w:rsidR="00C71F68" w:rsidRPr="00BD4A85">
        <w:t xml:space="preserve">mprove efficiency in how financial resources are allocated, managed and liquidated; </w:t>
      </w:r>
      <w:r w:rsidR="00497F0A">
        <w:t>and</w:t>
      </w:r>
    </w:p>
    <w:p w:rsidR="00C71F68" w:rsidRDefault="00135363" w:rsidP="00564161">
      <w:pPr>
        <w:numPr>
          <w:ilvl w:val="0"/>
          <w:numId w:val="39"/>
        </w:numPr>
        <w:spacing w:after="120"/>
        <w:jc w:val="both"/>
      </w:pPr>
      <w:r>
        <w:t>g</w:t>
      </w:r>
      <w:r w:rsidR="00C71F68" w:rsidRPr="00BD4A85">
        <w:t xml:space="preserve">enerate evidence to develop health financing approaches based on actual needs and costs while also building health financing capacity at all levels of the health system.  </w:t>
      </w:r>
    </w:p>
    <w:p w:rsidR="004A3E20" w:rsidRPr="00BD4A85" w:rsidRDefault="004A3E20" w:rsidP="004A3E20">
      <w:pPr>
        <w:spacing w:after="0" w:line="240" w:lineRule="auto"/>
        <w:ind w:left="720"/>
        <w:contextualSpacing/>
        <w:jc w:val="both"/>
      </w:pPr>
    </w:p>
    <w:p w:rsidR="00C71F68" w:rsidRPr="00E40422" w:rsidRDefault="00C71F68" w:rsidP="00C11D59">
      <w:pPr>
        <w:spacing w:after="120"/>
        <w:jc w:val="both"/>
        <w:rPr>
          <w:b/>
          <w:bCs/>
        </w:rPr>
      </w:pPr>
      <w:r w:rsidRPr="00C71F68">
        <w:t xml:space="preserve">The strategy </w:t>
      </w:r>
      <w:r w:rsidR="00A07A29">
        <w:t xml:space="preserve">is </w:t>
      </w:r>
      <w:r w:rsidR="00A07A29" w:rsidRPr="00C71F68">
        <w:t>organized</w:t>
      </w:r>
      <w:r w:rsidRPr="00C71F68">
        <w:t xml:space="preserve"> in six chapters. Chapter 2 details the strategic framework. Chapter 3 provides detailed strategic objectives and interventions on Objective 1</w:t>
      </w:r>
      <w:r w:rsidR="004A3E20">
        <w:t>:</w:t>
      </w:r>
      <w:r w:rsidRPr="00C71F68">
        <w:t xml:space="preserve"> Develop sustainable and predictable sources of revenue to fund Malawi’s health sector needs. Chapter 4 deals with Objective 2</w:t>
      </w:r>
      <w:r w:rsidR="004A3E20">
        <w:t>:</w:t>
      </w:r>
      <w:r w:rsidRPr="00C71F68">
        <w:t xml:space="preserve"> Improve efficiency in how financial resources are allocated, managed, and liquidated. Chapter 5 addresses Objective 3</w:t>
      </w:r>
      <w:r w:rsidR="004A3E20">
        <w:t>:</w:t>
      </w:r>
      <w:r w:rsidRPr="00C71F68">
        <w:t xml:space="preserve"> Generate evidence to develop health financing approaches based on actual needs and costs whilst also building health financing capacity at all levels of the health system. Chapter 6 contains </w:t>
      </w:r>
      <w:r w:rsidRPr="00C71F68">
        <w:lastRenderedPageBreak/>
        <w:t>implementation, monitoring and evaluation. Chapter 7 is Addendum – other strategies not prioritized for the strategy but possible for the future.</w:t>
      </w:r>
    </w:p>
    <w:p w:rsidR="00693717" w:rsidRPr="00BD4A85" w:rsidRDefault="00AA5468" w:rsidP="00AA5468">
      <w:pPr>
        <w:pStyle w:val="HeadingO"/>
      </w:pPr>
      <w:bookmarkStart w:id="982" w:name="_Toc363225867"/>
      <w:bookmarkStart w:id="983" w:name="_Toc384911950"/>
      <w:r w:rsidRPr="00BD4A85">
        <w:t>2.0</w:t>
      </w:r>
      <w:r w:rsidRPr="00BD4A85">
        <w:tab/>
      </w:r>
      <w:r>
        <w:tab/>
      </w:r>
      <w:r w:rsidRPr="00BD4A85">
        <w:t>STRATEGIC FRAMEWORK</w:t>
      </w:r>
      <w:bookmarkEnd w:id="982"/>
      <w:bookmarkEnd w:id="983"/>
    </w:p>
    <w:p w:rsidR="000F1FD4" w:rsidRPr="00BD4A85" w:rsidRDefault="004D598F" w:rsidP="000F1FD4">
      <w:pPr>
        <w:rPr>
          <w:lang w:val="en-GB" w:eastAsia="en-GB"/>
        </w:rPr>
      </w:pPr>
      <w:r>
        <w:rPr>
          <w:rFonts w:cs="Calibri"/>
        </w:rPr>
        <w:pict>
          <v:rect id="_x0000_i1028" style="width:0;height:1.5pt" o:hralign="center" o:hrstd="t" o:hr="t" fillcolor="#a0a0a0" stroked="f"/>
        </w:pict>
      </w:r>
    </w:p>
    <w:p w:rsidR="0054257B" w:rsidRPr="00BD4A85" w:rsidRDefault="00AA5468" w:rsidP="001C7880">
      <w:pPr>
        <w:pStyle w:val="Heading2"/>
        <w:rPr>
          <w:rStyle w:val="Heading2Char"/>
          <w:b/>
        </w:rPr>
      </w:pPr>
      <w:bookmarkStart w:id="984" w:name="_Toc361047356"/>
      <w:bookmarkStart w:id="985" w:name="_Toc363225868"/>
      <w:bookmarkStart w:id="986" w:name="_Toc384911951"/>
      <w:r w:rsidRPr="00BD4A85">
        <w:t>2.1</w:t>
      </w:r>
      <w:r w:rsidRPr="00BD4A85">
        <w:tab/>
      </w:r>
      <w:r w:rsidRPr="00BD4A85">
        <w:rPr>
          <w:rStyle w:val="Heading2Char"/>
          <w:b/>
        </w:rPr>
        <w:t>VISION, MISSION, GUIDING PRINCIPLES AND OBJECTIVES</w:t>
      </w:r>
      <w:bookmarkEnd w:id="984"/>
      <w:bookmarkEnd w:id="985"/>
      <w:bookmarkEnd w:id="986"/>
      <w:r w:rsidRPr="00BD4A85">
        <w:rPr>
          <w:rStyle w:val="Heading2Char"/>
          <w:b/>
        </w:rPr>
        <w:t xml:space="preserve"> </w:t>
      </w:r>
    </w:p>
    <w:p w:rsidR="0054257B" w:rsidRDefault="00AA5468" w:rsidP="00A12622">
      <w:pPr>
        <w:pStyle w:val="Heading3"/>
      </w:pPr>
      <w:bookmarkStart w:id="987" w:name="_Toc361047357"/>
      <w:bookmarkStart w:id="988" w:name="_Toc363225869"/>
      <w:r>
        <w:t>2.1.1</w:t>
      </w:r>
      <w:r>
        <w:tab/>
        <w:t xml:space="preserve">VISION AND </w:t>
      </w:r>
      <w:r w:rsidRPr="00BD4A85">
        <w:t>MISSION</w:t>
      </w:r>
      <w:bookmarkEnd w:id="987"/>
      <w:bookmarkEnd w:id="988"/>
      <w:r w:rsidRPr="00BD4A85">
        <w:t xml:space="preserve"> </w:t>
      </w:r>
    </w:p>
    <w:p w:rsidR="0054257B" w:rsidRDefault="0054257B" w:rsidP="0054257B">
      <w:pPr>
        <w:autoSpaceDE w:val="0"/>
        <w:autoSpaceDN w:val="0"/>
        <w:adjustRightInd w:val="0"/>
        <w:spacing w:after="0" w:line="240" w:lineRule="auto"/>
        <w:rPr>
          <w:rFonts w:ascii="FootlightMTLight" w:hAnsi="FootlightMTLight" w:cs="FootlightMTLight"/>
          <w:sz w:val="24"/>
          <w:szCs w:val="24"/>
        </w:rPr>
      </w:pPr>
    </w:p>
    <w:p w:rsidR="0054257B" w:rsidRPr="00A238CC" w:rsidRDefault="00467E11" w:rsidP="00C11D59">
      <w:pPr>
        <w:jc w:val="both"/>
      </w:pPr>
      <w:r w:rsidRPr="00C11D59">
        <w:t>Th</w:t>
      </w:r>
      <w:r w:rsidR="008F12B3">
        <w:t>e</w:t>
      </w:r>
      <w:r w:rsidRPr="00C11D59">
        <w:t xml:space="preserve"> National </w:t>
      </w:r>
      <w:r w:rsidR="00C77388">
        <w:t>Health Financing Strategy</w:t>
      </w:r>
      <w:r w:rsidR="0054257B" w:rsidRPr="00C11D59">
        <w:t xml:space="preserve"> provides a broad analysis of the sources, allocation, use and management of funds in the Malawi health sector by responding to the situation of low and unpredictable government and donor resources respectively; and inefficient and inequitable allocation, use and management of the few available resources. It is built on initiatives to improve supply of and access to services and provides direction in the implementation of alternative mechanisms for raising additional revenues and improving efficiency and equity in the allocation, use and management of financial resources in the Malawian health system.</w:t>
      </w:r>
    </w:p>
    <w:p w:rsidR="00467E11" w:rsidRPr="00C11D59" w:rsidRDefault="0054257B" w:rsidP="00C11D59">
      <w:pPr>
        <w:jc w:val="both"/>
        <w:rPr>
          <w:b/>
        </w:rPr>
      </w:pPr>
      <w:r w:rsidRPr="00C11D59">
        <w:rPr>
          <w:b/>
        </w:rPr>
        <w:t xml:space="preserve">Vision:  </w:t>
      </w:r>
      <w:r w:rsidR="00467E11" w:rsidRPr="00C11D59">
        <w:rPr>
          <w:b/>
        </w:rPr>
        <w:t xml:space="preserve"> </w:t>
      </w:r>
    </w:p>
    <w:p w:rsidR="00467E11" w:rsidRPr="00C11D59" w:rsidRDefault="00467E11" w:rsidP="00C11D59">
      <w:pPr>
        <w:jc w:val="both"/>
      </w:pPr>
      <w:r w:rsidRPr="00C11D59">
        <w:t>By 20</w:t>
      </w:r>
      <w:r w:rsidR="0008232A">
        <w:t>16</w:t>
      </w:r>
      <w:r w:rsidR="00E40422" w:rsidRPr="00C11D59">
        <w:t xml:space="preserve">, </w:t>
      </w:r>
      <w:r w:rsidR="0054257B" w:rsidRPr="00C11D59">
        <w:t>raise sufficient and sustainable revenues in an efficient and equitable manner, donor support harmonized and aligned with national priorities; and collected revenues allocated efficiently and equitably so as to provide individuals and the population with quality essential service that lead to improvement in health outcomes and provide financial protection and consumer satisfaction</w:t>
      </w:r>
      <w:r w:rsidR="00497F0A">
        <w:t>.</w:t>
      </w:r>
    </w:p>
    <w:p w:rsidR="00467E11" w:rsidRPr="00C11D59" w:rsidRDefault="0054257B" w:rsidP="00C11D59">
      <w:pPr>
        <w:jc w:val="both"/>
        <w:rPr>
          <w:b/>
        </w:rPr>
      </w:pPr>
      <w:r w:rsidRPr="00C11D59">
        <w:rPr>
          <w:b/>
        </w:rPr>
        <w:t xml:space="preserve">Mission: </w:t>
      </w:r>
    </w:p>
    <w:p w:rsidR="0054257B" w:rsidRPr="00C11D59" w:rsidRDefault="0054257B" w:rsidP="00C11D59">
      <w:pPr>
        <w:jc w:val="both"/>
      </w:pPr>
      <w:r w:rsidRPr="00C11D59">
        <w:t xml:space="preserve">To </w:t>
      </w:r>
      <w:r w:rsidR="00467E11" w:rsidRPr="00C11D59">
        <w:t>d</w:t>
      </w:r>
      <w:r w:rsidRPr="00C11D59">
        <w:t xml:space="preserve">evelop sustainable and predictable source of health funds, improving efficiency and equity in resource allocation; and strengthening national health financing capacities at all health system levels. </w:t>
      </w:r>
    </w:p>
    <w:p w:rsidR="0054257B" w:rsidRPr="00BD4A85" w:rsidRDefault="00AA5468" w:rsidP="00A12622">
      <w:pPr>
        <w:pStyle w:val="Heading3"/>
      </w:pPr>
      <w:bookmarkStart w:id="989" w:name="_Toc361047358"/>
      <w:bookmarkStart w:id="990" w:name="_Toc363225870"/>
      <w:r w:rsidRPr="00BD4A85">
        <w:t>2.1.2</w:t>
      </w:r>
      <w:r w:rsidRPr="00BD4A85">
        <w:tab/>
        <w:t>GUIDING PRINCIPLES</w:t>
      </w:r>
      <w:bookmarkEnd w:id="989"/>
      <w:bookmarkEnd w:id="990"/>
    </w:p>
    <w:p w:rsidR="0054257B" w:rsidRDefault="0054257B" w:rsidP="0054257B">
      <w:pPr>
        <w:spacing w:line="360" w:lineRule="auto"/>
        <w:rPr>
          <w:rFonts w:cs="Arial"/>
        </w:rPr>
      </w:pPr>
      <w:r w:rsidRPr="004C1622">
        <w:rPr>
          <w:rFonts w:cs="Arial"/>
        </w:rPr>
        <w:t xml:space="preserve">The guiding principles for Health </w:t>
      </w:r>
      <w:r w:rsidR="00C77388">
        <w:rPr>
          <w:rFonts w:cs="Arial"/>
        </w:rPr>
        <w:t>F</w:t>
      </w:r>
      <w:r w:rsidRPr="004C1622">
        <w:rPr>
          <w:rFonts w:cs="Arial"/>
        </w:rPr>
        <w:t xml:space="preserve">inancing </w:t>
      </w:r>
      <w:r w:rsidR="00C77388">
        <w:rPr>
          <w:rFonts w:cs="Arial"/>
        </w:rPr>
        <w:t>S</w:t>
      </w:r>
      <w:r w:rsidRPr="004C1622">
        <w:rPr>
          <w:rFonts w:cs="Arial"/>
        </w:rPr>
        <w:t>trategy are based on:</w:t>
      </w:r>
    </w:p>
    <w:p w:rsidR="00170969" w:rsidRPr="00237F50" w:rsidRDefault="00170969" w:rsidP="00564161">
      <w:pPr>
        <w:pStyle w:val="ListParagraph"/>
        <w:numPr>
          <w:ilvl w:val="0"/>
          <w:numId w:val="32"/>
        </w:numPr>
        <w:spacing w:line="360" w:lineRule="auto"/>
      </w:pPr>
      <w:r w:rsidRPr="00237F50">
        <w:t>Creating fiscal sustainability</w:t>
      </w:r>
      <w:r w:rsidR="00B67667">
        <w:t>.</w:t>
      </w:r>
    </w:p>
    <w:p w:rsidR="00170969" w:rsidRPr="00E40B52" w:rsidRDefault="00170969" w:rsidP="00564161">
      <w:pPr>
        <w:pStyle w:val="ListParagraph"/>
        <w:numPr>
          <w:ilvl w:val="0"/>
          <w:numId w:val="32"/>
        </w:numPr>
        <w:spacing w:line="360" w:lineRule="auto"/>
      </w:pPr>
      <w:r w:rsidRPr="00702227">
        <w:t>F</w:t>
      </w:r>
      <w:r w:rsidRPr="00E40B52">
        <w:t xml:space="preserve">air and equitable </w:t>
      </w:r>
      <w:r>
        <w:t xml:space="preserve">revenue </w:t>
      </w:r>
      <w:r w:rsidRPr="00E40B52">
        <w:t>generation and  allocation</w:t>
      </w:r>
      <w:r w:rsidR="00B67667">
        <w:t>.</w:t>
      </w:r>
    </w:p>
    <w:p w:rsidR="00170969" w:rsidRPr="00B45A9D" w:rsidRDefault="00170969" w:rsidP="00564161">
      <w:pPr>
        <w:pStyle w:val="ListParagraph"/>
        <w:numPr>
          <w:ilvl w:val="0"/>
          <w:numId w:val="28"/>
        </w:numPr>
        <w:spacing w:line="360" w:lineRule="auto"/>
      </w:pPr>
      <w:r w:rsidRPr="007678C6">
        <w:t>Transparency and accountabi</w:t>
      </w:r>
      <w:r w:rsidRPr="00B45A9D">
        <w:t>lity</w:t>
      </w:r>
      <w:r w:rsidR="00B67667">
        <w:t>.</w:t>
      </w:r>
    </w:p>
    <w:p w:rsidR="00170969" w:rsidRPr="0054654F" w:rsidRDefault="00170969" w:rsidP="00564161">
      <w:pPr>
        <w:pStyle w:val="ListParagraph"/>
        <w:numPr>
          <w:ilvl w:val="0"/>
          <w:numId w:val="28"/>
        </w:numPr>
        <w:spacing w:after="0" w:line="360" w:lineRule="auto"/>
        <w:rPr>
          <w:rFonts w:eastAsia="Times New Roman"/>
        </w:rPr>
      </w:pPr>
      <w:r w:rsidRPr="00F63F55">
        <w:rPr>
          <w:kern w:val="24"/>
          <w:lang w:val="en-CA"/>
        </w:rPr>
        <w:t>Allocative and technical efficiency</w:t>
      </w:r>
      <w:r w:rsidR="00B67667">
        <w:rPr>
          <w:kern w:val="24"/>
          <w:lang w:val="en-CA"/>
        </w:rPr>
        <w:t>.</w:t>
      </w:r>
      <w:r>
        <w:rPr>
          <w:kern w:val="24"/>
          <w:lang w:val="en-CA"/>
        </w:rPr>
        <w:t xml:space="preserve"> </w:t>
      </w:r>
    </w:p>
    <w:p w:rsidR="00170969" w:rsidRPr="0054654F" w:rsidRDefault="00170969" w:rsidP="00564161">
      <w:pPr>
        <w:numPr>
          <w:ilvl w:val="0"/>
          <w:numId w:val="28"/>
        </w:numPr>
        <w:autoSpaceDE w:val="0"/>
        <w:autoSpaceDN w:val="0"/>
        <w:adjustRightInd w:val="0"/>
        <w:spacing w:after="0" w:line="360" w:lineRule="auto"/>
        <w:rPr>
          <w:rFonts w:eastAsia="Times New Roman"/>
        </w:rPr>
      </w:pPr>
      <w:r w:rsidRPr="00EA4CF6">
        <w:t>Ensuring equitable access and participation</w:t>
      </w:r>
      <w:r w:rsidR="00B67667">
        <w:t>.</w:t>
      </w:r>
      <w:r w:rsidRPr="00EA4CF6">
        <w:t xml:space="preserve"> </w:t>
      </w:r>
    </w:p>
    <w:p w:rsidR="00170969" w:rsidRPr="00237F50" w:rsidRDefault="00170969" w:rsidP="00564161">
      <w:pPr>
        <w:pStyle w:val="ListParagraph"/>
        <w:numPr>
          <w:ilvl w:val="0"/>
          <w:numId w:val="28"/>
        </w:numPr>
        <w:spacing w:after="0" w:line="360" w:lineRule="auto"/>
        <w:rPr>
          <w:rFonts w:eastAsia="Times New Roman"/>
        </w:rPr>
      </w:pPr>
      <w:r w:rsidRPr="00594445">
        <w:rPr>
          <w:rFonts w:cs="Calibri"/>
        </w:rPr>
        <w:t>Providing financial protection to the poor and vulnerable</w:t>
      </w:r>
      <w:r w:rsidR="00B67667">
        <w:rPr>
          <w:rFonts w:cs="Calibri"/>
        </w:rPr>
        <w:t>.</w:t>
      </w:r>
    </w:p>
    <w:p w:rsidR="00170969" w:rsidRPr="00237F50" w:rsidRDefault="00170969" w:rsidP="00564161">
      <w:pPr>
        <w:pStyle w:val="ListParagraph"/>
        <w:numPr>
          <w:ilvl w:val="0"/>
          <w:numId w:val="28"/>
        </w:numPr>
        <w:spacing w:after="0" w:line="360" w:lineRule="auto"/>
        <w:rPr>
          <w:rFonts w:eastAsia="Times New Roman"/>
        </w:rPr>
      </w:pPr>
      <w:r w:rsidRPr="008A002F">
        <w:rPr>
          <w:rFonts w:cs="Arial"/>
          <w:iCs/>
        </w:rPr>
        <w:t>Partnership</w:t>
      </w:r>
      <w:r w:rsidR="00B67667">
        <w:rPr>
          <w:rFonts w:cs="Arial"/>
          <w:iCs/>
        </w:rPr>
        <w:t>.</w:t>
      </w:r>
      <w:r w:rsidRPr="008A002F">
        <w:rPr>
          <w:rFonts w:cs="Arial"/>
          <w:iCs/>
        </w:rPr>
        <w:t xml:space="preserve"> </w:t>
      </w:r>
    </w:p>
    <w:p w:rsidR="00170969" w:rsidRPr="008A002F" w:rsidRDefault="00170969" w:rsidP="00564161">
      <w:pPr>
        <w:pStyle w:val="ListParagraph"/>
        <w:numPr>
          <w:ilvl w:val="0"/>
          <w:numId w:val="28"/>
        </w:numPr>
        <w:spacing w:after="0" w:line="360" w:lineRule="auto"/>
        <w:rPr>
          <w:rFonts w:eastAsia="Times New Roman"/>
        </w:rPr>
      </w:pPr>
      <w:r w:rsidRPr="008A002F">
        <w:rPr>
          <w:rFonts w:cs="Arial"/>
          <w:iCs/>
        </w:rPr>
        <w:t xml:space="preserve">Ensuring </w:t>
      </w:r>
      <w:r>
        <w:rPr>
          <w:rFonts w:cs="Arial"/>
          <w:iCs/>
        </w:rPr>
        <w:t>i</w:t>
      </w:r>
      <w:r w:rsidRPr="008A002F">
        <w:rPr>
          <w:rFonts w:cs="Arial"/>
          <w:iCs/>
        </w:rPr>
        <w:t>ntersectoral collaboration</w:t>
      </w:r>
      <w:r w:rsidR="00B67667">
        <w:rPr>
          <w:rFonts w:cs="Arial"/>
          <w:iCs/>
        </w:rPr>
        <w:t>.</w:t>
      </w:r>
      <w:r w:rsidRPr="008A002F">
        <w:rPr>
          <w:rFonts w:cs="Arial"/>
          <w:iCs/>
        </w:rPr>
        <w:t xml:space="preserve"> </w:t>
      </w:r>
    </w:p>
    <w:p w:rsidR="00170969" w:rsidRDefault="00170969" w:rsidP="00564161">
      <w:pPr>
        <w:numPr>
          <w:ilvl w:val="0"/>
          <w:numId w:val="28"/>
        </w:numPr>
        <w:rPr>
          <w:rFonts w:cs="Arial"/>
          <w:iCs/>
        </w:rPr>
      </w:pPr>
      <w:r w:rsidRPr="00EA4CF6">
        <w:rPr>
          <w:rFonts w:cs="Arial"/>
          <w:iCs/>
        </w:rPr>
        <w:lastRenderedPageBreak/>
        <w:t xml:space="preserve">Evidence-based decision </w:t>
      </w:r>
      <w:r>
        <w:rPr>
          <w:rFonts w:cs="Arial"/>
          <w:iCs/>
        </w:rPr>
        <w:t>making</w:t>
      </w:r>
      <w:r w:rsidR="00952893">
        <w:rPr>
          <w:rFonts w:cs="Arial"/>
          <w:iCs/>
        </w:rPr>
        <w:t>.</w:t>
      </w:r>
    </w:p>
    <w:p w:rsidR="0054257B" w:rsidRPr="00BD4A85" w:rsidRDefault="0054257B" w:rsidP="00FB6B5B">
      <w:pPr>
        <w:jc w:val="both"/>
      </w:pPr>
      <w:r w:rsidRPr="00BD4A85">
        <w:t>The Malawi Health Financing Situational Analysis</w:t>
      </w:r>
      <w:r w:rsidR="00467E11">
        <w:t xml:space="preserve"> (2012) identified </w:t>
      </w:r>
      <w:r w:rsidRPr="00BD4A85">
        <w:t>three overarching challenges</w:t>
      </w:r>
      <w:r w:rsidR="00467E11">
        <w:t>,</w:t>
      </w:r>
      <w:r w:rsidRPr="00BD4A85">
        <w:t xml:space="preserve"> and aims at addressing these challenges by meeting three core objectives</w:t>
      </w:r>
      <w:r w:rsidR="00135363">
        <w:t>, namely</w:t>
      </w:r>
      <w:r w:rsidRPr="00BD4A85">
        <w:t>:</w:t>
      </w:r>
    </w:p>
    <w:p w:rsidR="0054257B" w:rsidRPr="00BD4A85" w:rsidRDefault="00B67667" w:rsidP="00564161">
      <w:pPr>
        <w:pStyle w:val="ListParagraph"/>
        <w:numPr>
          <w:ilvl w:val="0"/>
          <w:numId w:val="29"/>
        </w:numPr>
        <w:spacing w:after="120"/>
        <w:ind w:left="806"/>
        <w:contextualSpacing w:val="0"/>
        <w:jc w:val="both"/>
      </w:pPr>
      <w:r>
        <w:t>Development</w:t>
      </w:r>
      <w:r w:rsidR="00135363">
        <w:t xml:space="preserve"> of</w:t>
      </w:r>
      <w:r w:rsidR="0054257B" w:rsidRPr="00BD4A85">
        <w:t xml:space="preserve"> sustainable and predictable sources of revenue to fund Malawi’s health sector needs</w:t>
      </w:r>
      <w:r w:rsidR="00952893">
        <w:t>.</w:t>
      </w:r>
      <w:r w:rsidR="0054257B" w:rsidRPr="00BD4A85">
        <w:t xml:space="preserve"> </w:t>
      </w:r>
    </w:p>
    <w:p w:rsidR="0054257B" w:rsidRPr="00BD4A85" w:rsidRDefault="00B67667" w:rsidP="00564161">
      <w:pPr>
        <w:pStyle w:val="ListParagraph"/>
        <w:numPr>
          <w:ilvl w:val="0"/>
          <w:numId w:val="29"/>
        </w:numPr>
        <w:spacing w:after="120"/>
        <w:ind w:left="806"/>
        <w:contextualSpacing w:val="0"/>
        <w:jc w:val="both"/>
      </w:pPr>
      <w:r>
        <w:t>Improvement</w:t>
      </w:r>
      <w:r w:rsidR="00135363">
        <w:t xml:space="preserve"> of</w:t>
      </w:r>
      <w:r w:rsidR="0054257B" w:rsidRPr="00BD4A85">
        <w:t xml:space="preserve"> efficiency</w:t>
      </w:r>
      <w:r w:rsidR="0054257B">
        <w:t xml:space="preserve"> and equity</w:t>
      </w:r>
      <w:r w:rsidR="0054257B" w:rsidRPr="00BD4A85">
        <w:t xml:space="preserve"> in financial resource allocation</w:t>
      </w:r>
      <w:r w:rsidR="0054257B">
        <w:t>, use</w:t>
      </w:r>
      <w:r w:rsidR="0054257B" w:rsidRPr="00BD4A85">
        <w:t xml:space="preserve"> and management</w:t>
      </w:r>
      <w:r w:rsidR="00952893">
        <w:t>.</w:t>
      </w:r>
      <w:r w:rsidR="0054257B" w:rsidRPr="00BD4A85">
        <w:t xml:space="preserve"> </w:t>
      </w:r>
    </w:p>
    <w:p w:rsidR="0054257B" w:rsidRDefault="00B67667" w:rsidP="00564161">
      <w:pPr>
        <w:pStyle w:val="ListParagraph"/>
        <w:numPr>
          <w:ilvl w:val="0"/>
          <w:numId w:val="29"/>
        </w:numPr>
        <w:spacing w:after="120"/>
        <w:ind w:left="720" w:hanging="274"/>
        <w:contextualSpacing w:val="0"/>
        <w:jc w:val="both"/>
      </w:pPr>
      <w:r>
        <w:t>G</w:t>
      </w:r>
      <w:r w:rsidRPr="00BD4A85">
        <w:t>enerat</w:t>
      </w:r>
      <w:r>
        <w:t>ion of</w:t>
      </w:r>
      <w:r w:rsidR="0054257B" w:rsidRPr="00BD4A85">
        <w:t xml:space="preserve"> evidence to develop health financing approaches based on health care needs and</w:t>
      </w:r>
      <w:r w:rsidR="00170969">
        <w:t xml:space="preserve"> </w:t>
      </w:r>
      <w:r w:rsidR="0054257B" w:rsidRPr="00BD4A85">
        <w:t>costs while also building health financing capacity at all levels of the health system</w:t>
      </w:r>
      <w:r w:rsidR="00952893">
        <w:t>.</w:t>
      </w:r>
    </w:p>
    <w:p w:rsidR="008B74C0" w:rsidRDefault="008B74C0" w:rsidP="001C7880">
      <w:pPr>
        <w:pStyle w:val="Heading2"/>
        <w:rPr>
          <w:rFonts w:eastAsia="Calibri"/>
        </w:rPr>
      </w:pPr>
      <w:bookmarkStart w:id="991" w:name="_Toc361047359"/>
      <w:bookmarkStart w:id="992" w:name="_Toc363225871"/>
    </w:p>
    <w:p w:rsidR="0054257B" w:rsidRPr="00831C04" w:rsidRDefault="00AA5468" w:rsidP="001C7880">
      <w:pPr>
        <w:pStyle w:val="Heading2"/>
        <w:rPr>
          <w:lang w:val="en-GB"/>
        </w:rPr>
      </w:pPr>
      <w:bookmarkStart w:id="993" w:name="_Toc384911952"/>
      <w:r w:rsidRPr="00831C04">
        <w:t>2.2</w:t>
      </w:r>
      <w:r w:rsidRPr="00831C04">
        <w:tab/>
      </w:r>
      <w:r w:rsidRPr="00831C04">
        <w:rPr>
          <w:rStyle w:val="Heading2Char"/>
          <w:b/>
        </w:rPr>
        <w:t>STRATEGIC APPROACH</w:t>
      </w:r>
      <w:bookmarkEnd w:id="991"/>
      <w:bookmarkEnd w:id="992"/>
      <w:bookmarkEnd w:id="993"/>
      <w:r w:rsidRPr="00831C04">
        <w:rPr>
          <w:rStyle w:val="Heading2Char"/>
          <w:b/>
        </w:rPr>
        <w:t xml:space="preserve"> </w:t>
      </w:r>
    </w:p>
    <w:p w:rsidR="00BB6C41" w:rsidRDefault="00BB6C41" w:rsidP="00135363">
      <w:pPr>
        <w:autoSpaceDE w:val="0"/>
        <w:autoSpaceDN w:val="0"/>
        <w:adjustRightInd w:val="0"/>
        <w:spacing w:after="120"/>
        <w:jc w:val="both"/>
        <w:rPr>
          <w:rFonts w:cs="FootlightMTLight"/>
        </w:rPr>
      </w:pPr>
    </w:p>
    <w:p w:rsidR="0057036A" w:rsidRDefault="00467E11" w:rsidP="009E7D81">
      <w:pPr>
        <w:autoSpaceDE w:val="0"/>
        <w:autoSpaceDN w:val="0"/>
        <w:adjustRightInd w:val="0"/>
        <w:spacing w:after="120"/>
        <w:jc w:val="both"/>
        <w:rPr>
          <w:rFonts w:asciiTheme="minorHAnsi" w:hAnsiTheme="minorHAnsi"/>
        </w:rPr>
      </w:pPr>
      <w:r w:rsidRPr="00831C04">
        <w:rPr>
          <w:rFonts w:cs="FootlightMTLight"/>
        </w:rPr>
        <w:t xml:space="preserve">The </w:t>
      </w:r>
      <w:r w:rsidR="00C77388" w:rsidRPr="00831C04">
        <w:rPr>
          <w:rFonts w:cs="FootlightMTLight"/>
        </w:rPr>
        <w:t>Health Financing Strategy</w:t>
      </w:r>
      <w:r w:rsidR="0054257B" w:rsidRPr="00831C04">
        <w:rPr>
          <w:rFonts w:cs="FootlightMTLight"/>
        </w:rPr>
        <w:t xml:space="preserve"> in Malawi will be based on a mixed model</w:t>
      </w:r>
      <w:r w:rsidR="00BC2308" w:rsidRPr="00831C04">
        <w:t xml:space="preserve"> based on the</w:t>
      </w:r>
      <w:r w:rsidR="00497F0A" w:rsidRPr="00831C04">
        <w:t xml:space="preserve"> understanding</w:t>
      </w:r>
      <w:r w:rsidR="00F608D1">
        <w:t xml:space="preserve"> that</w:t>
      </w:r>
      <w:r w:rsidR="00497F0A" w:rsidRPr="00831C04">
        <w:t xml:space="preserve"> </w:t>
      </w:r>
      <w:r w:rsidR="004B3514" w:rsidRPr="00831C04">
        <w:rPr>
          <w:bCs/>
          <w:iCs/>
        </w:rPr>
        <w:t>no country can cover all services that are expected to be beneficial</w:t>
      </w:r>
      <w:r w:rsidR="004B3514" w:rsidRPr="00831C04">
        <w:t xml:space="preserve"> to its population due to limited resources. </w:t>
      </w:r>
      <w:r w:rsidR="008B5F8B" w:rsidRPr="009D1CBE">
        <w:rPr>
          <w:rFonts w:asciiTheme="minorHAnsi" w:hAnsiTheme="minorHAnsi"/>
        </w:rPr>
        <w:t xml:space="preserve">WHO </w:t>
      </w:r>
      <w:r w:rsidR="009D1CBE">
        <w:rPr>
          <w:rFonts w:asciiTheme="minorHAnsi" w:hAnsiTheme="minorHAnsi"/>
        </w:rPr>
        <w:t>in the 2010</w:t>
      </w:r>
      <w:r w:rsidR="0057036A">
        <w:rPr>
          <w:rFonts w:asciiTheme="minorHAnsi" w:hAnsiTheme="minorHAnsi"/>
        </w:rPr>
        <w:t xml:space="preserve"> World Health Report</w:t>
      </w:r>
      <w:r w:rsidR="00446129">
        <w:rPr>
          <w:rFonts w:asciiTheme="minorHAnsi" w:hAnsiTheme="minorHAnsi"/>
        </w:rPr>
        <w:t xml:space="preserve"> has provide</w:t>
      </w:r>
      <w:r w:rsidR="009E7D81">
        <w:rPr>
          <w:rFonts w:asciiTheme="minorHAnsi" w:hAnsiTheme="minorHAnsi"/>
        </w:rPr>
        <w:t>d</w:t>
      </w:r>
      <w:r w:rsidR="00446129">
        <w:rPr>
          <w:rFonts w:asciiTheme="minorHAnsi" w:hAnsiTheme="minorHAnsi"/>
        </w:rPr>
        <w:t xml:space="preserve"> guidance on how countries can make choices on their path to universal health coverage as no country can afford to finance all health services that are essential</w:t>
      </w:r>
      <w:r w:rsidR="009E7D81">
        <w:rPr>
          <w:rFonts w:asciiTheme="minorHAnsi" w:hAnsiTheme="minorHAnsi"/>
        </w:rPr>
        <w:t xml:space="preserve"> to its population</w:t>
      </w:r>
      <w:r w:rsidR="0057036A">
        <w:rPr>
          <w:rFonts w:asciiTheme="minorHAnsi" w:hAnsiTheme="minorHAnsi"/>
        </w:rPr>
        <w:t>. T</w:t>
      </w:r>
      <w:r w:rsidR="00BB2EC1">
        <w:rPr>
          <w:rFonts w:asciiTheme="minorHAnsi" w:hAnsiTheme="minorHAnsi"/>
        </w:rPr>
        <w:t>he</w:t>
      </w:r>
      <w:r w:rsidR="00446129">
        <w:rPr>
          <w:rFonts w:asciiTheme="minorHAnsi" w:hAnsiTheme="minorHAnsi"/>
        </w:rPr>
        <w:t xml:space="preserve"> World Health Report</w:t>
      </w:r>
      <w:r w:rsidR="0057036A">
        <w:rPr>
          <w:rFonts w:asciiTheme="minorHAnsi" w:hAnsiTheme="minorHAnsi"/>
        </w:rPr>
        <w:t xml:space="preserve"> recommends three dimensions of progressing towards universal health as follows</w:t>
      </w:r>
      <w:r w:rsidR="009E7D81">
        <w:rPr>
          <w:rStyle w:val="FootnoteReference"/>
          <w:rFonts w:asciiTheme="minorHAnsi" w:hAnsiTheme="minorHAnsi"/>
        </w:rPr>
        <w:footnoteReference w:id="4"/>
      </w:r>
      <w:r w:rsidR="0057036A">
        <w:rPr>
          <w:rFonts w:asciiTheme="minorHAnsi" w:hAnsiTheme="minorHAnsi"/>
        </w:rPr>
        <w:t>:</w:t>
      </w:r>
    </w:p>
    <w:p w:rsidR="009D1CBE" w:rsidRPr="0057036A" w:rsidRDefault="0057036A" w:rsidP="00564161">
      <w:pPr>
        <w:numPr>
          <w:ilvl w:val="0"/>
          <w:numId w:val="42"/>
        </w:numPr>
      </w:pPr>
      <w:r>
        <w:t xml:space="preserve">Population coverage: refers to proportion of the population that </w:t>
      </w:r>
      <w:r w:rsidR="004A54FD">
        <w:t>need</w:t>
      </w:r>
      <w:r>
        <w:t xml:space="preserve"> services</w:t>
      </w:r>
      <w:r w:rsidR="00436B58">
        <w:t>;</w:t>
      </w:r>
    </w:p>
    <w:p w:rsidR="0057036A" w:rsidRDefault="0057036A" w:rsidP="00564161">
      <w:pPr>
        <w:numPr>
          <w:ilvl w:val="0"/>
          <w:numId w:val="42"/>
        </w:numPr>
      </w:pPr>
      <w:r>
        <w:t>Service coverage: refers to the extent to which a range of services necessary to address health needs of the entire population are covered</w:t>
      </w:r>
      <w:r w:rsidR="004716B8">
        <w:t xml:space="preserve"> (what is the service package)</w:t>
      </w:r>
      <w:r w:rsidR="00436B58">
        <w:t>; and</w:t>
      </w:r>
    </w:p>
    <w:p w:rsidR="004A54FD" w:rsidRDefault="0057036A" w:rsidP="00564161">
      <w:pPr>
        <w:numPr>
          <w:ilvl w:val="0"/>
          <w:numId w:val="42"/>
        </w:numPr>
      </w:pPr>
      <w:r>
        <w:t>Financial Risk Protection: refers to the extent to which the population is protected from catastrophic expenditure particularly households</w:t>
      </w:r>
      <w:r w:rsidR="004716B8">
        <w:t xml:space="preserve"> (how much of the cost of the services is covered through coverage mechanisms – pooled funds)</w:t>
      </w:r>
      <w:r>
        <w:t>.</w:t>
      </w:r>
      <w:r w:rsidR="00436B58">
        <w:t xml:space="preserve"> </w:t>
      </w:r>
    </w:p>
    <w:p w:rsidR="00446129" w:rsidRDefault="00436B58" w:rsidP="004A54FD">
      <w:r>
        <w:t>Figure 2 below summarizes this WHO guidance.</w:t>
      </w:r>
      <w:r w:rsidR="008B5F8B" w:rsidRPr="00831C04">
        <w:t xml:space="preserve"> </w:t>
      </w:r>
    </w:p>
    <w:p w:rsidR="009E7D81" w:rsidRDefault="009E7D81" w:rsidP="00E14F95">
      <w:pPr>
        <w:spacing w:after="120"/>
        <w:jc w:val="both"/>
      </w:pPr>
    </w:p>
    <w:p w:rsidR="009E7D81" w:rsidRDefault="009E7D81" w:rsidP="00E14F95">
      <w:pPr>
        <w:spacing w:after="120"/>
        <w:jc w:val="both"/>
      </w:pPr>
    </w:p>
    <w:p w:rsidR="009E7D81" w:rsidRDefault="009E7D81" w:rsidP="00E14F95">
      <w:pPr>
        <w:spacing w:after="120"/>
        <w:jc w:val="both"/>
      </w:pPr>
    </w:p>
    <w:p w:rsidR="009E7D81" w:rsidRDefault="009E7D81" w:rsidP="00E14F95">
      <w:pPr>
        <w:spacing w:after="120"/>
        <w:jc w:val="both"/>
      </w:pPr>
    </w:p>
    <w:p w:rsidR="009E7D81" w:rsidRDefault="009E7D81" w:rsidP="00E14F95">
      <w:pPr>
        <w:spacing w:after="120"/>
        <w:jc w:val="both"/>
      </w:pPr>
    </w:p>
    <w:p w:rsidR="009E7D81" w:rsidRDefault="009E7D81" w:rsidP="00E14F95">
      <w:pPr>
        <w:spacing w:after="120"/>
        <w:jc w:val="both"/>
      </w:pPr>
    </w:p>
    <w:p w:rsidR="009E7D81" w:rsidRDefault="009E7D81" w:rsidP="00E14F95">
      <w:pPr>
        <w:spacing w:after="120"/>
        <w:jc w:val="both"/>
      </w:pPr>
    </w:p>
    <w:p w:rsidR="0038003F" w:rsidRPr="004709C6" w:rsidRDefault="004709C6" w:rsidP="004709C6">
      <w:pPr>
        <w:pStyle w:val="Caption"/>
        <w:rPr>
          <w:rFonts w:asciiTheme="minorHAnsi" w:hAnsiTheme="minorHAnsi"/>
          <w:b w:val="0"/>
          <w:sz w:val="22"/>
          <w:szCs w:val="22"/>
          <w:lang w:val="en-ZA"/>
        </w:rPr>
      </w:pPr>
      <w:bookmarkStart w:id="994" w:name="_Toc384908038"/>
      <w:r w:rsidRPr="004709C6">
        <w:rPr>
          <w:sz w:val="22"/>
          <w:szCs w:val="22"/>
        </w:rPr>
        <w:t xml:space="preserve">Figure </w:t>
      </w:r>
      <w:r w:rsidRPr="004709C6">
        <w:rPr>
          <w:sz w:val="22"/>
          <w:szCs w:val="22"/>
        </w:rPr>
        <w:fldChar w:fldCharType="begin"/>
      </w:r>
      <w:r w:rsidRPr="004709C6">
        <w:rPr>
          <w:sz w:val="22"/>
          <w:szCs w:val="22"/>
        </w:rPr>
        <w:instrText xml:space="preserve"> SEQ Figure \* ARABIC </w:instrText>
      </w:r>
      <w:r w:rsidRPr="004709C6">
        <w:rPr>
          <w:sz w:val="22"/>
          <w:szCs w:val="22"/>
        </w:rPr>
        <w:fldChar w:fldCharType="separate"/>
      </w:r>
      <w:r w:rsidR="00381BCB">
        <w:rPr>
          <w:noProof/>
          <w:sz w:val="22"/>
          <w:szCs w:val="22"/>
        </w:rPr>
        <w:t>2</w:t>
      </w:r>
      <w:r w:rsidRPr="004709C6">
        <w:rPr>
          <w:sz w:val="22"/>
          <w:szCs w:val="22"/>
        </w:rPr>
        <w:fldChar w:fldCharType="end"/>
      </w:r>
      <w:r w:rsidRPr="004709C6">
        <w:rPr>
          <w:sz w:val="22"/>
          <w:szCs w:val="22"/>
        </w:rPr>
        <w:t>: Tree dimensions to consider when moving towards universal coverage</w:t>
      </w:r>
      <w:bookmarkEnd w:id="994"/>
      <w:r w:rsidR="0038003F" w:rsidRPr="004709C6">
        <w:rPr>
          <w:rFonts w:asciiTheme="minorHAnsi" w:hAnsiTheme="minorHAnsi"/>
          <w:sz w:val="22"/>
          <w:szCs w:val="22"/>
        </w:rPr>
        <w:t xml:space="preserve"> </w:t>
      </w:r>
    </w:p>
    <w:p w:rsidR="004B3514" w:rsidRPr="00831C04" w:rsidRDefault="00E00476" w:rsidP="004B3514">
      <w:pPr>
        <w:tabs>
          <w:tab w:val="left" w:pos="5835"/>
        </w:tabs>
        <w:jc w:val="center"/>
        <w:rPr>
          <w:highlight w:val="yellow"/>
        </w:rPr>
      </w:pPr>
      <w:r w:rsidRPr="00E00476">
        <w:rPr>
          <w:noProof/>
          <w:highlight w:val="yellow"/>
        </w:rPr>
        <w:drawing>
          <wp:inline distT="0" distB="0" distL="0" distR="0" wp14:anchorId="08CD82CC" wp14:editId="4F1F7C36">
            <wp:extent cx="4416724" cy="2794959"/>
            <wp:effectExtent l="0" t="0" r="3175" b="5715"/>
            <wp:docPr id="56"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5"/>
                    <pic:cNvPicPr>
                      <a:picLocks noChangeAspect="1"/>
                    </pic:cNvPicPr>
                  </pic:nvPicPr>
                  <pic:blipFill>
                    <a:blip r:embed="rId14" cstate="print"/>
                    <a:srcRect t="11403"/>
                    <a:stretch>
                      <a:fillRect/>
                    </a:stretch>
                  </pic:blipFill>
                  <pic:spPr bwMode="auto">
                    <a:xfrm>
                      <a:off x="0" y="0"/>
                      <a:ext cx="4434284" cy="2806071"/>
                    </a:xfrm>
                    <a:prstGeom prst="rect">
                      <a:avLst/>
                    </a:prstGeom>
                    <a:noFill/>
                    <a:ln w="9525">
                      <a:noFill/>
                      <a:miter lim="800000"/>
                      <a:headEnd/>
                      <a:tailEnd/>
                    </a:ln>
                  </pic:spPr>
                </pic:pic>
              </a:graphicData>
            </a:graphic>
          </wp:inline>
        </w:drawing>
      </w:r>
    </w:p>
    <w:p w:rsidR="004B3514" w:rsidRDefault="004B3514" w:rsidP="004B3514">
      <w:pPr>
        <w:rPr>
          <w:sz w:val="18"/>
          <w:szCs w:val="18"/>
        </w:rPr>
      </w:pPr>
      <w:r w:rsidRPr="00831C04">
        <w:rPr>
          <w:iCs/>
          <w:sz w:val="18"/>
          <w:szCs w:val="18"/>
        </w:rPr>
        <w:t>Source: The World Health Report–Health Systems Financing: the Path to Universal Coverage.</w:t>
      </w:r>
      <w:r w:rsidRPr="00831C04">
        <w:rPr>
          <w:sz w:val="18"/>
          <w:szCs w:val="18"/>
        </w:rPr>
        <w:t xml:space="preserve"> Geneva: World Health Organization; 2010.</w:t>
      </w:r>
    </w:p>
    <w:p w:rsidR="00446129" w:rsidRPr="00446129" w:rsidRDefault="00446129" w:rsidP="004B3514">
      <w:r w:rsidRPr="00446129">
        <w:t>From Figure 1</w:t>
      </w:r>
      <w:r w:rsidR="00436B58">
        <w:t xml:space="preserve"> above</w:t>
      </w:r>
      <w:r w:rsidRPr="00446129">
        <w:t>:</w:t>
      </w:r>
    </w:p>
    <w:p w:rsidR="004716B8" w:rsidRDefault="004716B8" w:rsidP="00564161">
      <w:pPr>
        <w:numPr>
          <w:ilvl w:val="0"/>
          <w:numId w:val="43"/>
        </w:numPr>
        <w:autoSpaceDE w:val="0"/>
        <w:autoSpaceDN w:val="0"/>
        <w:adjustRightInd w:val="0"/>
        <w:spacing w:after="0"/>
      </w:pPr>
      <w:r w:rsidRPr="00446129">
        <w:rPr>
          <w:u w:val="single"/>
        </w:rPr>
        <w:t>Length of the cube</w:t>
      </w:r>
      <w:r w:rsidR="00E35D7A">
        <w:t>: this refers to the population coverage under universal coverage. So the question</w:t>
      </w:r>
      <w:r w:rsidR="00C03BAB">
        <w:t xml:space="preserve"> for Malawi</w:t>
      </w:r>
      <w:r w:rsidR="00E35D7A">
        <w:t xml:space="preserve"> is:  who to include first? </w:t>
      </w:r>
      <w:r w:rsidR="00436B58">
        <w:t>-</w:t>
      </w:r>
      <w:r w:rsidR="004A54FD">
        <w:t xml:space="preserve"> </w:t>
      </w:r>
      <w:r w:rsidR="00436B58">
        <w:t>e</w:t>
      </w:r>
      <w:r w:rsidR="00446129">
        <w:t xml:space="preserve">veryone? </w:t>
      </w:r>
      <w:r w:rsidR="00436B58">
        <w:t>r</w:t>
      </w:r>
      <w:r w:rsidR="00446129">
        <w:t>ich</w:t>
      </w:r>
      <w:r w:rsidR="00436B58">
        <w:t xml:space="preserve"> only</w:t>
      </w:r>
      <w:r w:rsidR="00446129">
        <w:t xml:space="preserve">? </w:t>
      </w:r>
      <w:r w:rsidR="00436B58">
        <w:t>p</w:t>
      </w:r>
      <w:r w:rsidR="00446129">
        <w:t>oor</w:t>
      </w:r>
      <w:r w:rsidR="00436B58">
        <w:t xml:space="preserve"> only</w:t>
      </w:r>
      <w:r w:rsidR="00446129">
        <w:t>?</w:t>
      </w:r>
      <w:r w:rsidR="004A54FD">
        <w:t xml:space="preserve"> r</w:t>
      </w:r>
      <w:r w:rsidR="00436B58">
        <w:t>ich and poor?</w:t>
      </w:r>
      <w:r w:rsidR="00446129">
        <w:t xml:space="preserve"> </w:t>
      </w:r>
      <w:r w:rsidR="00436B58">
        <w:t>r</w:t>
      </w:r>
      <w:r w:rsidR="00446129">
        <w:t xml:space="preserve">ural? </w:t>
      </w:r>
      <w:r w:rsidR="00436B58">
        <w:t>u</w:t>
      </w:r>
      <w:r w:rsidR="00446129">
        <w:t>rban?</w:t>
      </w:r>
      <w:r w:rsidR="00436B58">
        <w:t xml:space="preserve"> etc</w:t>
      </w:r>
    </w:p>
    <w:p w:rsidR="00E35D7A" w:rsidRDefault="00E35D7A" w:rsidP="00564161">
      <w:pPr>
        <w:numPr>
          <w:ilvl w:val="0"/>
          <w:numId w:val="43"/>
        </w:numPr>
        <w:autoSpaceDE w:val="0"/>
        <w:autoSpaceDN w:val="0"/>
        <w:adjustRightInd w:val="0"/>
        <w:spacing w:after="0"/>
      </w:pPr>
      <w:r w:rsidRPr="00446129">
        <w:rPr>
          <w:u w:val="single"/>
        </w:rPr>
        <w:t>Breadth of the cube</w:t>
      </w:r>
      <w:r>
        <w:t>: this refers to services covered.  So the question for Malawi is: which services</w:t>
      </w:r>
      <w:r w:rsidR="00275199">
        <w:t xml:space="preserve"> to include</w:t>
      </w:r>
      <w:r>
        <w:t xml:space="preserve"> </w:t>
      </w:r>
      <w:r w:rsidR="00436B58">
        <w:t xml:space="preserve">in a pre-paid scheme </w:t>
      </w:r>
      <w:r>
        <w:t>first</w:t>
      </w:r>
      <w:r w:rsidR="00275199">
        <w:t xml:space="preserve"> and then expand</w:t>
      </w:r>
      <w:r>
        <w:t xml:space="preserve">? </w:t>
      </w:r>
      <w:r w:rsidR="00446129">
        <w:t xml:space="preserve">All services? </w:t>
      </w:r>
      <w:r w:rsidR="00436B58">
        <w:t>e</w:t>
      </w:r>
      <w:r w:rsidR="00446129">
        <w:t xml:space="preserve">xpanded EHP or </w:t>
      </w:r>
      <w:r w:rsidR="00436B58">
        <w:t>f</w:t>
      </w:r>
      <w:r w:rsidR="00446129">
        <w:t>ocused EHP?</w:t>
      </w:r>
    </w:p>
    <w:p w:rsidR="00E35D7A" w:rsidRDefault="00E35D7A" w:rsidP="00564161">
      <w:pPr>
        <w:numPr>
          <w:ilvl w:val="0"/>
          <w:numId w:val="43"/>
        </w:numPr>
        <w:autoSpaceDE w:val="0"/>
        <w:autoSpaceDN w:val="0"/>
        <w:adjustRightInd w:val="0"/>
        <w:spacing w:after="0"/>
      </w:pPr>
      <w:r w:rsidRPr="00446129">
        <w:rPr>
          <w:u w:val="single"/>
        </w:rPr>
        <w:t>Height of the cube</w:t>
      </w:r>
      <w:r>
        <w:t>: this refers to the extent to which individual households are protected from exposure to financial risks associated</w:t>
      </w:r>
      <w:r w:rsidR="00DF5DD6">
        <w:t xml:space="preserve"> with health</w:t>
      </w:r>
      <w:r>
        <w:t xml:space="preserve">: </w:t>
      </w:r>
      <w:r w:rsidR="00275199">
        <w:t>So the</w:t>
      </w:r>
      <w:r>
        <w:t xml:space="preserve"> question for Malawi is</w:t>
      </w:r>
      <w:r w:rsidR="00275199">
        <w:t>:</w:t>
      </w:r>
      <w:r>
        <w:t xml:space="preserve"> how to shift out-of-pocket payments in a predominantly free public health care system towards pre-payment?</w:t>
      </w:r>
    </w:p>
    <w:p w:rsidR="00E35D7A" w:rsidRDefault="00E35D7A" w:rsidP="00E35D7A">
      <w:pPr>
        <w:autoSpaceDE w:val="0"/>
        <w:autoSpaceDN w:val="0"/>
        <w:adjustRightInd w:val="0"/>
        <w:spacing w:after="0"/>
      </w:pPr>
    </w:p>
    <w:p w:rsidR="009E7D81" w:rsidRPr="00831C04" w:rsidRDefault="000D09FC" w:rsidP="009E7D81">
      <w:pPr>
        <w:autoSpaceDE w:val="0"/>
        <w:autoSpaceDN w:val="0"/>
        <w:adjustRightInd w:val="0"/>
        <w:spacing w:after="120"/>
        <w:jc w:val="both"/>
      </w:pPr>
      <w:r>
        <w:rPr>
          <w:iCs/>
        </w:rPr>
        <w:t>In line with the above</w:t>
      </w:r>
      <w:r w:rsidR="00BB2EC1">
        <w:rPr>
          <w:iCs/>
        </w:rPr>
        <w:t xml:space="preserve"> WHO guidance and taking into account the </w:t>
      </w:r>
      <w:r w:rsidR="00FD4204">
        <w:rPr>
          <w:iCs/>
        </w:rPr>
        <w:t xml:space="preserve">key </w:t>
      </w:r>
      <w:r w:rsidR="008E6A42">
        <w:rPr>
          <w:iCs/>
        </w:rPr>
        <w:t xml:space="preserve">health financing </w:t>
      </w:r>
      <w:r w:rsidR="00FD4204">
        <w:rPr>
          <w:iCs/>
        </w:rPr>
        <w:t>issues and challenges current</w:t>
      </w:r>
      <w:r w:rsidR="008E6A42">
        <w:rPr>
          <w:iCs/>
        </w:rPr>
        <w:t>ly</w:t>
      </w:r>
      <w:r w:rsidR="00FD4204">
        <w:rPr>
          <w:iCs/>
        </w:rPr>
        <w:t xml:space="preserve"> </w:t>
      </w:r>
      <w:r w:rsidR="00BB2EC1">
        <w:rPr>
          <w:iCs/>
        </w:rPr>
        <w:t>existing in Malawi</w:t>
      </w:r>
      <w:r w:rsidR="00FD4204">
        <w:rPr>
          <w:iCs/>
        </w:rPr>
        <w:t xml:space="preserve"> as described above</w:t>
      </w:r>
      <w:r w:rsidR="009E7D81">
        <w:rPr>
          <w:iCs/>
        </w:rPr>
        <w:t>, t</w:t>
      </w:r>
      <w:r w:rsidR="009E7D81" w:rsidRPr="00831C04">
        <w:t xml:space="preserve">o ensure that resources are adequate to finance a package of quality essential health </w:t>
      </w:r>
      <w:r w:rsidR="004A54FD">
        <w:t>package</w:t>
      </w:r>
      <w:r w:rsidR="009E7D81">
        <w:t xml:space="preserve"> in a public health care system that currently provide</w:t>
      </w:r>
      <w:r w:rsidR="00436B58">
        <w:t xml:space="preserve">s free </w:t>
      </w:r>
      <w:r w:rsidR="009E7D81">
        <w:t>health services to all its citizens but of low quantity and quality in light of unpredictable and unsustainable financial resource</w:t>
      </w:r>
      <w:r w:rsidR="00436B58">
        <w:t>s</w:t>
      </w:r>
      <w:r w:rsidR="00BB2EC1">
        <w:t xml:space="preserve">, </w:t>
      </w:r>
      <w:r w:rsidR="009E7D81">
        <w:t>this health financing strategy</w:t>
      </w:r>
      <w:r w:rsidR="009E7D81" w:rsidRPr="00831C04">
        <w:t xml:space="preserve"> </w:t>
      </w:r>
      <w:r w:rsidR="009E7D81">
        <w:t xml:space="preserve">proposes that </w:t>
      </w:r>
      <w:r w:rsidR="009E7D81" w:rsidRPr="00831C04">
        <w:t xml:space="preserve">government will </w:t>
      </w:r>
      <w:r w:rsidR="009E7D81">
        <w:t>explore the introduction of</w:t>
      </w:r>
      <w:r w:rsidR="009E7D81" w:rsidRPr="00831C04">
        <w:t xml:space="preserve"> categorized comprehensive benefit framework as follows:</w:t>
      </w:r>
    </w:p>
    <w:p w:rsidR="009E7D81" w:rsidRPr="00831C04" w:rsidRDefault="009E7D81" w:rsidP="00564161">
      <w:pPr>
        <w:numPr>
          <w:ilvl w:val="0"/>
          <w:numId w:val="38"/>
        </w:numPr>
        <w:autoSpaceDE w:val="0"/>
        <w:autoSpaceDN w:val="0"/>
        <w:adjustRightInd w:val="0"/>
        <w:spacing w:after="120"/>
        <w:jc w:val="both"/>
      </w:pPr>
      <w:r w:rsidRPr="00831C04">
        <w:t xml:space="preserve">Category/level 1: Free EHP for the entire population – this will require </w:t>
      </w:r>
      <w:r>
        <w:t>re-</w:t>
      </w:r>
      <w:r w:rsidRPr="00831C04">
        <w:t xml:space="preserve">analysis of the burden of disease and cost effective interventions so as to ensure that only health services of high </w:t>
      </w:r>
      <w:r w:rsidRPr="00831C04">
        <w:lastRenderedPageBreak/>
        <w:t>priority are pre-paid using the limited pooled resources. The package of services will include prevention of diseases, health promotion, curative</w:t>
      </w:r>
      <w:r>
        <w:t xml:space="preserve"> and</w:t>
      </w:r>
      <w:r w:rsidRPr="00831C04">
        <w:t xml:space="preserve"> rehabilitative.</w:t>
      </w:r>
    </w:p>
    <w:p w:rsidR="009E7D81" w:rsidRPr="00831C04" w:rsidRDefault="009E7D81" w:rsidP="00564161">
      <w:pPr>
        <w:numPr>
          <w:ilvl w:val="0"/>
          <w:numId w:val="38"/>
        </w:numPr>
        <w:autoSpaceDE w:val="0"/>
        <w:autoSpaceDN w:val="0"/>
        <w:adjustRightInd w:val="0"/>
        <w:spacing w:after="120"/>
        <w:jc w:val="both"/>
      </w:pPr>
      <w:r w:rsidRPr="00831C04">
        <w:t>Category/level 2: Non-EHP services with regulated population co-payments. These would be health services Malawi considers important and would like to increase the proportion of costs met or covered by government in the future as health revenues gradually increase. These could be covered through direct out-of-pocket payments and private health insurance.</w:t>
      </w:r>
    </w:p>
    <w:p w:rsidR="009E7D81" w:rsidRPr="00831C04" w:rsidRDefault="009E7D81" w:rsidP="00564161">
      <w:pPr>
        <w:numPr>
          <w:ilvl w:val="0"/>
          <w:numId w:val="38"/>
        </w:numPr>
        <w:autoSpaceDE w:val="0"/>
        <w:autoSpaceDN w:val="0"/>
        <w:adjustRightInd w:val="0"/>
        <w:spacing w:after="120"/>
        <w:jc w:val="both"/>
      </w:pPr>
      <w:r w:rsidRPr="00831C04">
        <w:t>Category/level 3: Non-EHP services with non-regulated user fees. These are lower priority health services that Malawi does not envision covering in the future such that they are not regulated or managed and the market determines the price or level of user fees. These could also be covered through direct out-of-pocket payments and private health insurance</w:t>
      </w:r>
      <w:r>
        <w:t>.</w:t>
      </w:r>
    </w:p>
    <w:p w:rsidR="009E7D81" w:rsidRDefault="009E7D81" w:rsidP="00E35D7A">
      <w:pPr>
        <w:autoSpaceDE w:val="0"/>
        <w:autoSpaceDN w:val="0"/>
        <w:adjustRightInd w:val="0"/>
        <w:spacing w:after="0"/>
      </w:pPr>
    </w:p>
    <w:p w:rsidR="00682BF3" w:rsidRDefault="00C03BAB" w:rsidP="0073171B">
      <w:pPr>
        <w:autoSpaceDE w:val="0"/>
        <w:autoSpaceDN w:val="0"/>
        <w:adjustRightInd w:val="0"/>
        <w:spacing w:after="120"/>
        <w:jc w:val="both"/>
      </w:pPr>
      <w:r>
        <w:t>This health financing strategy proposes that once</w:t>
      </w:r>
      <w:r w:rsidR="007307FD" w:rsidRPr="00831C04">
        <w:t xml:space="preserve"> </w:t>
      </w:r>
      <w:r w:rsidR="008B5F8B" w:rsidRPr="00831C04">
        <w:t>all</w:t>
      </w:r>
      <w:r w:rsidR="00497F0A" w:rsidRPr="00831C04">
        <w:t xml:space="preserve"> revenues</w:t>
      </w:r>
      <w:r w:rsidR="002E5851" w:rsidRPr="00831C04">
        <w:t xml:space="preserve"> </w:t>
      </w:r>
      <w:r w:rsidR="00DF31C1" w:rsidRPr="00831C04">
        <w:t>have been</w:t>
      </w:r>
      <w:r w:rsidR="0054257B" w:rsidRPr="00831C04">
        <w:t xml:space="preserve"> </w:t>
      </w:r>
      <w:r w:rsidR="00F608D1">
        <w:t>mobilized</w:t>
      </w:r>
      <w:r w:rsidR="00497F0A" w:rsidRPr="00831C04">
        <w:t xml:space="preserve"> through</w:t>
      </w:r>
      <w:r w:rsidR="0054257B" w:rsidRPr="00831C04">
        <w:t xml:space="preserve"> mechanisms such as</w:t>
      </w:r>
      <w:r w:rsidR="00DF31C1" w:rsidRPr="00831C04">
        <w:t xml:space="preserve"> general tax revenues, pool donors</w:t>
      </w:r>
      <w:r w:rsidR="00572977" w:rsidRPr="00831C04">
        <w:t xml:space="preserve"> and</w:t>
      </w:r>
      <w:r w:rsidR="00DF31C1" w:rsidRPr="00831C04">
        <w:t xml:space="preserve"> earmarked taxes -</w:t>
      </w:r>
      <w:r w:rsidR="0054257B" w:rsidRPr="00831C04">
        <w:t xml:space="preserve"> sin taxes, payroll taxes,</w:t>
      </w:r>
      <w:r w:rsidR="00170969" w:rsidRPr="00831C04">
        <w:t xml:space="preserve"> </w:t>
      </w:r>
      <w:r w:rsidR="0054257B" w:rsidRPr="00831C04">
        <w:t>levies</w:t>
      </w:r>
      <w:r w:rsidR="00DF31C1" w:rsidRPr="00831C04">
        <w:t xml:space="preserve"> </w:t>
      </w:r>
      <w:r w:rsidR="00EE6BAB" w:rsidRPr="00831C04">
        <w:t>etc.</w:t>
      </w:r>
      <w:r w:rsidR="00EB7F06" w:rsidRPr="00831C04">
        <w:t xml:space="preserve"> at the Ministry of Finance, </w:t>
      </w:r>
      <w:r w:rsidR="00497F0A" w:rsidRPr="00831C04">
        <w:t xml:space="preserve">they </w:t>
      </w:r>
      <w:r>
        <w:t>should</w:t>
      </w:r>
      <w:r w:rsidR="00497F0A" w:rsidRPr="00831C04">
        <w:t xml:space="preserve"> be pooled</w:t>
      </w:r>
      <w:r w:rsidR="00032992" w:rsidRPr="00831C04">
        <w:t xml:space="preserve"> together in one pool</w:t>
      </w:r>
      <w:r w:rsidR="007307FD" w:rsidRPr="00831C04">
        <w:t xml:space="preserve"> at the </w:t>
      </w:r>
      <w:r w:rsidR="00EB7F06" w:rsidRPr="00831C04">
        <w:t>Ministry of Health and National Local Government Finance Committee.</w:t>
      </w:r>
      <w:r w:rsidR="007307FD" w:rsidRPr="00831C04">
        <w:t xml:space="preserve"> </w:t>
      </w:r>
      <w:r w:rsidR="00497F0A" w:rsidRPr="00831C04">
        <w:t xml:space="preserve">Once pooled, </w:t>
      </w:r>
      <w:r>
        <w:t xml:space="preserve">this health financing strategy proposes that </w:t>
      </w:r>
      <w:r w:rsidR="00EB7F06" w:rsidRPr="00831C04">
        <w:t xml:space="preserve">the Ministry of Health and the National Local Government Finance Committee </w:t>
      </w:r>
      <w:r w:rsidR="0073171B">
        <w:t>would</w:t>
      </w:r>
      <w:r>
        <w:t xml:space="preserve"> explore the</w:t>
      </w:r>
      <w:r w:rsidR="00EB7F06" w:rsidRPr="00831C04">
        <w:t xml:space="preserve"> introduc</w:t>
      </w:r>
      <w:r>
        <w:t>tion of</w:t>
      </w:r>
      <w:r w:rsidR="00EB7F06" w:rsidRPr="00831C04">
        <w:t xml:space="preserve"> </w:t>
      </w:r>
      <w:r w:rsidR="00A4735C">
        <w:t>strategic</w:t>
      </w:r>
      <w:r w:rsidR="0073171B">
        <w:t xml:space="preserve"> (active)</w:t>
      </w:r>
      <w:r w:rsidR="00497F0A" w:rsidRPr="00831C04">
        <w:t xml:space="preserve"> purchasing mechanisms</w:t>
      </w:r>
      <w:r w:rsidR="00EB7F06" w:rsidRPr="00831C04">
        <w:t xml:space="preserve"> </w:t>
      </w:r>
      <w:r w:rsidR="0073171B">
        <w:t>(unlike the current tradition</w:t>
      </w:r>
      <w:r w:rsidR="000D09FC">
        <w:t>al</w:t>
      </w:r>
      <w:r w:rsidR="0073171B">
        <w:t xml:space="preserve"> system of paying providers through budgets based on previous year</w:t>
      </w:r>
      <w:r w:rsidR="000D09FC">
        <w:t xml:space="preserve"> budget</w:t>
      </w:r>
      <w:r w:rsidR="0073171B">
        <w:t xml:space="preserve"> or with an increased or decreased percentage point to last years budget) </w:t>
      </w:r>
      <w:r w:rsidR="00EB7F06" w:rsidRPr="00831C04">
        <w:t xml:space="preserve">for paying both public and private </w:t>
      </w:r>
      <w:r w:rsidR="00EE53D9" w:rsidRPr="00831C04">
        <w:t xml:space="preserve">health </w:t>
      </w:r>
      <w:r w:rsidR="00EB7F06" w:rsidRPr="00831C04">
        <w:t>providers for the category 1 services -free EHP for the entire population.</w:t>
      </w:r>
    </w:p>
    <w:p w:rsidR="000B7108" w:rsidRDefault="008E6A42" w:rsidP="0073171B">
      <w:pPr>
        <w:autoSpaceDE w:val="0"/>
        <w:autoSpaceDN w:val="0"/>
        <w:adjustRightInd w:val="0"/>
        <w:spacing w:after="120"/>
        <w:jc w:val="both"/>
      </w:pPr>
      <w:r>
        <w:t>This is</w:t>
      </w:r>
      <w:r w:rsidR="00682BF3">
        <w:t xml:space="preserve"> premise</w:t>
      </w:r>
      <w:r>
        <w:t>d</w:t>
      </w:r>
      <w:r w:rsidR="00682BF3">
        <w:t xml:space="preserve"> </w:t>
      </w:r>
      <w:r w:rsidR="00BB2EC1">
        <w:t xml:space="preserve">on the understanding that it </w:t>
      </w:r>
      <w:r>
        <w:t xml:space="preserve">is </w:t>
      </w:r>
      <w:r w:rsidR="00BB2EC1">
        <w:t>vir</w:t>
      </w:r>
      <w:r>
        <w:t>tually impossible to prioritize</w:t>
      </w:r>
      <w:r w:rsidR="00BB2EC1">
        <w:t xml:space="preserve"> the EHP if the payment system for health </w:t>
      </w:r>
      <w:r>
        <w:t>services</w:t>
      </w:r>
      <w:r w:rsidR="00BB2EC1">
        <w:t xml:space="preserve"> does not directly match provider payment to EHP services</w:t>
      </w:r>
      <w:r>
        <w:t>. The</w:t>
      </w:r>
      <w:r w:rsidR="00BB2EC1">
        <w:t xml:space="preserve"> line item budget payment for health facilities or infrastructure as it is currently happening will not allow this matching of payment</w:t>
      </w:r>
      <w:r>
        <w:t xml:space="preserve"> system to</w:t>
      </w:r>
      <w:r w:rsidR="00BB2EC1">
        <w:t xml:space="preserve"> EHP services. In other </w:t>
      </w:r>
      <w:r w:rsidR="008568CA">
        <w:t>words, if</w:t>
      </w:r>
      <w:r w:rsidR="00BB2EC1">
        <w:t xml:space="preserve"> the health budget</w:t>
      </w:r>
      <w:r w:rsidR="008568CA">
        <w:t xml:space="preserve"> level</w:t>
      </w:r>
      <w:r w:rsidR="00BB2EC1">
        <w:t xml:space="preserve"> is not sufficient to pay for all services for all individuals</w:t>
      </w:r>
      <w:r>
        <w:t xml:space="preserve"> for curative care</w:t>
      </w:r>
      <w:r w:rsidR="008568CA">
        <w:t xml:space="preserve"> as in the current situation, to make sure that</w:t>
      </w:r>
      <w:r w:rsidR="00BB2EC1">
        <w:t xml:space="preserve"> EHP services are </w:t>
      </w:r>
      <w:r w:rsidR="008568CA">
        <w:t>prioritized,</w:t>
      </w:r>
      <w:r w:rsidR="00BB2EC1">
        <w:t xml:space="preserve"> </w:t>
      </w:r>
      <w:r w:rsidR="008568CA">
        <w:t>pre-</w:t>
      </w:r>
      <w:r w:rsidR="00BB2EC1">
        <w:t xml:space="preserve">payment should be made </w:t>
      </w:r>
      <w:r w:rsidR="008568CA">
        <w:t>for the EHP services rather than the all services provide</w:t>
      </w:r>
      <w:r w:rsidR="00682BF3">
        <w:t>d</w:t>
      </w:r>
      <w:r w:rsidR="008568CA">
        <w:t xml:space="preserve"> at the health facilities. </w:t>
      </w:r>
    </w:p>
    <w:p w:rsidR="00A4735C" w:rsidRPr="00A4735C" w:rsidRDefault="000B7108" w:rsidP="0073171B">
      <w:pPr>
        <w:autoSpaceDE w:val="0"/>
        <w:autoSpaceDN w:val="0"/>
        <w:adjustRightInd w:val="0"/>
        <w:spacing w:after="120"/>
        <w:jc w:val="both"/>
      </w:pPr>
      <w:r>
        <w:t>The</w:t>
      </w:r>
      <w:r w:rsidR="008568CA">
        <w:t xml:space="preserve"> paying</w:t>
      </w:r>
      <w:r w:rsidR="00A4735C" w:rsidRPr="00A4735C">
        <w:t xml:space="preserve"> for performance </w:t>
      </w:r>
      <w:r w:rsidR="000D09FC">
        <w:t xml:space="preserve">(strategic purchasing) </w:t>
      </w:r>
      <w:r w:rsidR="008E6A42">
        <w:t>will ensure</w:t>
      </w:r>
      <w:r w:rsidR="00A4735C" w:rsidRPr="00A4735C">
        <w:t xml:space="preserve"> that good quality services are available to those who need them and that the system functions efficiently</w:t>
      </w:r>
      <w:r w:rsidR="008E6A42">
        <w:rPr>
          <w:rStyle w:val="FootnoteReference"/>
        </w:rPr>
        <w:footnoteReference w:id="5"/>
      </w:r>
      <w:r w:rsidR="00A4735C" w:rsidRPr="00A4735C">
        <w:t>.</w:t>
      </w:r>
      <w:r w:rsidR="00A4735C">
        <w:t xml:space="preserve"> </w:t>
      </w:r>
      <w:r w:rsidR="00A4735C" w:rsidRPr="00A4735C">
        <w:t>More active purchasing c</w:t>
      </w:r>
      <w:r w:rsidR="00A4735C">
        <w:t>ould</w:t>
      </w:r>
      <w:r w:rsidR="00A4735C" w:rsidRPr="00A4735C">
        <w:t xml:space="preserve"> improve quality and efficiency by examining: population health needs and how they vary across the country; the interventions and services that best meet these needs and community expectations given the available </w:t>
      </w:r>
      <w:r w:rsidR="000D09FC">
        <w:t xml:space="preserve">limited </w:t>
      </w:r>
      <w:r w:rsidR="00A4735C" w:rsidRPr="00A4735C">
        <w:t xml:space="preserve">resources, and the optimum mix of promotion, prevention, treatment and rehabilitation; how these interventions and services should be purchased or provided, including contractual mechanisms and </w:t>
      </w:r>
      <w:r w:rsidR="00AD28B1">
        <w:t>a</w:t>
      </w:r>
      <w:r w:rsidR="00997439">
        <w:t xml:space="preserve"> mix of </w:t>
      </w:r>
      <w:r w:rsidR="00A4735C" w:rsidRPr="00A4735C">
        <w:t>provider payment systems</w:t>
      </w:r>
      <w:r w:rsidR="002C5838">
        <w:t>, among others:</w:t>
      </w:r>
    </w:p>
    <w:p w:rsidR="00AD28B1" w:rsidRDefault="00AD28B1" w:rsidP="00564161">
      <w:pPr>
        <w:numPr>
          <w:ilvl w:val="0"/>
          <w:numId w:val="44"/>
        </w:numPr>
        <w:autoSpaceDE w:val="0"/>
        <w:autoSpaceDN w:val="0"/>
        <w:adjustRightInd w:val="0"/>
        <w:spacing w:after="120"/>
        <w:jc w:val="both"/>
      </w:pPr>
      <w:r>
        <w:t xml:space="preserve">Fee-for- services </w:t>
      </w:r>
      <w:r w:rsidR="000D09FC">
        <w:t>-</w:t>
      </w:r>
      <w:r>
        <w:t>commonly used in user fees and health insurance systems</w:t>
      </w:r>
      <w:r w:rsidR="000D09FC">
        <w:t>. C</w:t>
      </w:r>
      <w:r>
        <w:t>urrently</w:t>
      </w:r>
      <w:r w:rsidR="000D09FC">
        <w:t>,</w:t>
      </w:r>
      <w:r>
        <w:t xml:space="preserve"> used in Malawi public health sector in paying for Service Level Agreements (SLAs) between DHOs and CHAM.  The same payment system</w:t>
      </w:r>
      <w:r w:rsidR="002C5838">
        <w:t xml:space="preserve"> after addressing its shortfalls</w:t>
      </w:r>
      <w:r>
        <w:t xml:space="preserve"> could be used </w:t>
      </w:r>
      <w:r w:rsidR="002C5838">
        <w:t xml:space="preserve">for paying public </w:t>
      </w:r>
      <w:r w:rsidR="002C5838">
        <w:lastRenderedPageBreak/>
        <w:t xml:space="preserve">health providers: </w:t>
      </w:r>
      <w:r>
        <w:t>between District Commissioners and District hospitals</w:t>
      </w:r>
      <w:r w:rsidR="00682BF3">
        <w:t>;</w:t>
      </w:r>
      <w:r>
        <w:t xml:space="preserve"> and District Commissioners and public rural hospitals </w:t>
      </w:r>
      <w:r w:rsidR="00682BF3">
        <w:t xml:space="preserve">or </w:t>
      </w:r>
      <w:r>
        <w:t>health centres etc</w:t>
      </w:r>
      <w:r w:rsidR="00682BF3">
        <w:t>;</w:t>
      </w:r>
      <w:r>
        <w:t xml:space="preserve"> and Ministry of Health and central hospitals</w:t>
      </w:r>
      <w:r w:rsidR="002C5838">
        <w:t>.</w:t>
      </w:r>
      <w:r>
        <w:t xml:space="preserve"> </w:t>
      </w:r>
    </w:p>
    <w:p w:rsidR="0073171B" w:rsidRPr="0073171B" w:rsidRDefault="0073171B" w:rsidP="00564161">
      <w:pPr>
        <w:numPr>
          <w:ilvl w:val="0"/>
          <w:numId w:val="44"/>
        </w:numPr>
        <w:autoSpaceDE w:val="0"/>
        <w:autoSpaceDN w:val="0"/>
        <w:adjustRightInd w:val="0"/>
        <w:spacing w:after="120"/>
        <w:jc w:val="both"/>
      </w:pPr>
      <w:r w:rsidRPr="0073171B">
        <w:t xml:space="preserve">Capitation </w:t>
      </w:r>
      <w:r w:rsidR="000D09FC">
        <w:t>-</w:t>
      </w:r>
      <w:r w:rsidRPr="0073171B">
        <w:t>commonly used at the primary-care level, whereby health-care providers are paid a predetermined fee to cover all the health needs of each person registered with them. Making the primary-care</w:t>
      </w:r>
      <w:r>
        <w:t xml:space="preserve"> health worker</w:t>
      </w:r>
      <w:r w:rsidRPr="0073171B">
        <w:t xml:space="preserve"> or facility, in effect, the fund</w:t>
      </w:r>
      <w:r w:rsidR="000B7108">
        <w:t xml:space="preserve"> </w:t>
      </w:r>
      <w:r w:rsidRPr="0073171B">
        <w:t>holder, responsible for paying for any care they administer to their patients or for the care of those patients they refer to higher levels of the system</w:t>
      </w:r>
      <w:r>
        <w:t>. This payment system</w:t>
      </w:r>
      <w:r w:rsidRPr="0073171B">
        <w:t xml:space="preserve"> encourages a focus on prevention.</w:t>
      </w:r>
      <w:r>
        <w:t xml:space="preserve"> </w:t>
      </w:r>
      <w:r w:rsidRPr="0073171B">
        <w:t xml:space="preserve">Preventing more severe illness reduces referrals and stops them losing part of their funds. </w:t>
      </w:r>
      <w:r>
        <w:t>H</w:t>
      </w:r>
      <w:r w:rsidRPr="0073171B">
        <w:t xml:space="preserve">owever, </w:t>
      </w:r>
      <w:r>
        <w:t xml:space="preserve">this might </w:t>
      </w:r>
      <w:r w:rsidRPr="0073171B">
        <w:t xml:space="preserve">also encourage </w:t>
      </w:r>
      <w:r>
        <w:t>health workers</w:t>
      </w:r>
      <w:r w:rsidRPr="0073171B">
        <w:t xml:space="preserve"> to delay referrals.</w:t>
      </w:r>
    </w:p>
    <w:p w:rsidR="00AD28B1" w:rsidRPr="00AD28B1" w:rsidRDefault="0073171B" w:rsidP="00564161">
      <w:pPr>
        <w:numPr>
          <w:ilvl w:val="0"/>
          <w:numId w:val="44"/>
        </w:numPr>
        <w:autoSpaceDE w:val="0"/>
        <w:autoSpaceDN w:val="0"/>
        <w:adjustRightInd w:val="0"/>
        <w:spacing w:after="120"/>
        <w:jc w:val="both"/>
        <w:rPr>
          <w:color w:val="000000"/>
          <w:sz w:val="23"/>
          <w:szCs w:val="23"/>
        </w:rPr>
      </w:pPr>
      <w:r>
        <w:t>C</w:t>
      </w:r>
      <w:r w:rsidR="000B7108">
        <w:t xml:space="preserve">ase-based payment </w:t>
      </w:r>
      <w:r w:rsidR="000D09FC">
        <w:t>-</w:t>
      </w:r>
      <w:r w:rsidR="000B7108">
        <w:t xml:space="preserve"> </w:t>
      </w:r>
      <w:r w:rsidRPr="00AD28B1">
        <w:t xml:space="preserve">such as diagnostic-related groups (DRGs), where different pathologies are bundled into homogenous cost groups that are then ascribed an average treatment cost. A fixed reimbursement goes to the hospital regardless of how intensively it decides to treat patients or how long they stay there. </w:t>
      </w:r>
      <w:r>
        <w:t>However, t</w:t>
      </w:r>
      <w:r w:rsidRPr="00AD28B1">
        <w:t>he downside is that hospitals can discharge patients early so they can readmit them to gain an additional payment for a new DRG</w:t>
      </w:r>
      <w:r w:rsidRPr="00AD28B1">
        <w:rPr>
          <w:sz w:val="20"/>
          <w:szCs w:val="20"/>
        </w:rPr>
        <w:t xml:space="preserve"> episode.</w:t>
      </w:r>
    </w:p>
    <w:p w:rsidR="00AD28B1" w:rsidRPr="00AD28B1" w:rsidRDefault="0073171B" w:rsidP="00564161">
      <w:pPr>
        <w:numPr>
          <w:ilvl w:val="0"/>
          <w:numId w:val="44"/>
        </w:numPr>
        <w:autoSpaceDE w:val="0"/>
        <w:autoSpaceDN w:val="0"/>
        <w:adjustRightInd w:val="0"/>
        <w:spacing w:after="120"/>
        <w:jc w:val="both"/>
        <w:rPr>
          <w:rFonts w:asciiTheme="minorHAnsi" w:hAnsiTheme="minorHAnsi"/>
          <w:color w:val="000000"/>
        </w:rPr>
      </w:pPr>
      <w:r w:rsidRPr="00AD28B1">
        <w:rPr>
          <w:sz w:val="20"/>
          <w:szCs w:val="20"/>
        </w:rPr>
        <w:t xml:space="preserve"> </w:t>
      </w:r>
      <w:r w:rsidR="00997439" w:rsidRPr="00AD28B1">
        <w:t xml:space="preserve">Program Based </w:t>
      </w:r>
      <w:r w:rsidR="00AD28B1" w:rsidRPr="00AD28B1">
        <w:t>Budgeting</w:t>
      </w:r>
      <w:r w:rsidR="002C5838">
        <w:t xml:space="preserve"> (PBB)</w:t>
      </w:r>
      <w:r w:rsidR="00AD28B1" w:rsidRPr="00AD28B1">
        <w:t xml:space="preserve"> </w:t>
      </w:r>
      <w:r w:rsidR="000D09FC">
        <w:t>-</w:t>
      </w:r>
      <w:r w:rsidR="00AD28B1" w:rsidRPr="00AD28B1">
        <w:t xml:space="preserve">as opposed to Activity Based </w:t>
      </w:r>
      <w:r w:rsidR="002C5838">
        <w:t>B</w:t>
      </w:r>
      <w:r w:rsidR="00AD28B1" w:rsidRPr="00AD28B1">
        <w:t>udgeting</w:t>
      </w:r>
      <w:r w:rsidR="002C5838">
        <w:t xml:space="preserve"> (ABB)</w:t>
      </w:r>
      <w:r w:rsidR="00AD28B1" w:rsidRPr="00AD28B1">
        <w:t xml:space="preserve"> currently </w:t>
      </w:r>
      <w:r w:rsidR="002C5838">
        <w:t xml:space="preserve">being </w:t>
      </w:r>
      <w:r w:rsidR="00AD28B1" w:rsidRPr="00AD28B1">
        <w:t>used in the public health sector</w:t>
      </w:r>
      <w:r w:rsidR="00AD28B1" w:rsidRPr="00AD28B1">
        <w:rPr>
          <w:color w:val="000000"/>
        </w:rPr>
        <w:t xml:space="preserve"> is the planning of public expenditure for the purpose of achieving explicitly defined results, which may be policy objectives or simply outputs of routine public service activities. The ultimate aim of PBB is far from simply being an elaborate way of measuring or recording activities but instead, it is a mechanism that will help Government in decision-making depending on whether the objectives are being met or not, and enhancing transparency and accountability. Concerning decision-making, it helps to </w:t>
      </w:r>
      <w:r w:rsidR="00AD28B1" w:rsidRPr="00AD28B1">
        <w:rPr>
          <w:rFonts w:asciiTheme="minorHAnsi" w:hAnsiTheme="minorHAnsi"/>
          <w:color w:val="000000"/>
        </w:rPr>
        <w:t>clarify policy priorities consistent with Government’s strategic objectives, allocate resources more tightly on strategic priorities, motivate programme-managers and service-providers to have a genuine interest in improving performance,</w:t>
      </w:r>
      <w:r w:rsidR="00AD28B1">
        <w:rPr>
          <w:rFonts w:asciiTheme="minorHAnsi" w:hAnsiTheme="minorHAnsi"/>
          <w:color w:val="000000"/>
        </w:rPr>
        <w:t xml:space="preserve"> i</w:t>
      </w:r>
      <w:r w:rsidR="00AD28B1" w:rsidRPr="00AD28B1">
        <w:rPr>
          <w:rFonts w:asciiTheme="minorHAnsi" w:hAnsiTheme="minorHAnsi"/>
          <w:color w:val="000000"/>
        </w:rPr>
        <w:t>dentify the causes of good and bad performance and thereby improving the value for money of public spending by reducing waste and increasing impact, and</w:t>
      </w:r>
      <w:r w:rsidR="00AD28B1">
        <w:rPr>
          <w:rFonts w:asciiTheme="minorHAnsi" w:hAnsiTheme="minorHAnsi"/>
          <w:color w:val="000000"/>
        </w:rPr>
        <w:t xml:space="preserve"> facilitate cross institutional working environment.</w:t>
      </w:r>
      <w:r w:rsidR="00AD28B1" w:rsidRPr="00AD28B1">
        <w:rPr>
          <w:rFonts w:asciiTheme="minorHAnsi" w:hAnsiTheme="minorHAnsi"/>
          <w:color w:val="000000"/>
        </w:rPr>
        <w:t xml:space="preserve"> </w:t>
      </w:r>
    </w:p>
    <w:p w:rsidR="00A019B0" w:rsidRPr="00831C04" w:rsidRDefault="009666AA" w:rsidP="00AD28B1">
      <w:pPr>
        <w:autoSpaceDE w:val="0"/>
        <w:autoSpaceDN w:val="0"/>
        <w:adjustRightInd w:val="0"/>
        <w:spacing w:after="120"/>
        <w:jc w:val="both"/>
      </w:pPr>
      <w:r>
        <w:t>Once such payment systems have been introduced, t</w:t>
      </w:r>
      <w:r w:rsidR="00A019B0" w:rsidRPr="00831C04">
        <w:t>his w</w:t>
      </w:r>
      <w:r>
        <w:t>ould</w:t>
      </w:r>
      <w:r w:rsidR="00A019B0" w:rsidRPr="00831C04">
        <w:t xml:space="preserve"> be followed by development of capacities for overall management of the financial resources and information such as costing of strategic and operational plans, developing standard “unit costs” to measure the cost of delivering specific services, creating efficiency gains, identifying management weaknesses, resource mapping/ tracking, improving how resources are allocated</w:t>
      </w:r>
      <w:r>
        <w:t xml:space="preserve"> and equity and efficiency analyses</w:t>
      </w:r>
      <w:r w:rsidR="00032992" w:rsidRPr="00831C04">
        <w:t>.</w:t>
      </w:r>
    </w:p>
    <w:p w:rsidR="00BF5D4F" w:rsidRPr="00831C04" w:rsidRDefault="00EB7F06" w:rsidP="00135363">
      <w:pPr>
        <w:autoSpaceDE w:val="0"/>
        <w:autoSpaceDN w:val="0"/>
        <w:adjustRightInd w:val="0"/>
        <w:spacing w:after="120"/>
        <w:jc w:val="both"/>
      </w:pPr>
      <w:r w:rsidRPr="00831C04">
        <w:t xml:space="preserve">User fees </w:t>
      </w:r>
      <w:r w:rsidR="00EE53D9" w:rsidRPr="00831C04">
        <w:t>obtained from</w:t>
      </w:r>
      <w:r w:rsidR="008B5F8B" w:rsidRPr="00831C04">
        <w:t xml:space="preserve"> non-EHP services and</w:t>
      </w:r>
      <w:r w:rsidR="00F608D1">
        <w:t xml:space="preserve"> from </w:t>
      </w:r>
      <w:r w:rsidR="008B5F8B" w:rsidRPr="00831C04">
        <w:t>private wings of central and district hospitals</w:t>
      </w:r>
      <w:r w:rsidR="00EE53D9" w:rsidRPr="00831C04">
        <w:t xml:space="preserve"> paid through direct household </w:t>
      </w:r>
      <w:r w:rsidR="009666AA">
        <w:t>o</w:t>
      </w:r>
      <w:r w:rsidR="00EE53D9" w:rsidRPr="00831C04">
        <w:t>ut-of-</w:t>
      </w:r>
      <w:r w:rsidR="005D2FB5" w:rsidRPr="00831C04">
        <w:t>P</w:t>
      </w:r>
      <w:r w:rsidR="00EE53D9" w:rsidRPr="00831C04">
        <w:t>ocket payments and private health insurance schemes</w:t>
      </w:r>
      <w:r w:rsidR="008B5F8B" w:rsidRPr="00831C04">
        <w:t xml:space="preserve"> will be retained at the collecting central and district hospitals</w:t>
      </w:r>
      <w:r w:rsidRPr="00831C04">
        <w:t xml:space="preserve"> and used to finance the health services</w:t>
      </w:r>
      <w:r w:rsidR="008B5F8B" w:rsidRPr="00831C04">
        <w:t>.</w:t>
      </w:r>
    </w:p>
    <w:p w:rsidR="00F9786B" w:rsidRPr="00831C04" w:rsidRDefault="00A019B0" w:rsidP="00135363">
      <w:pPr>
        <w:autoSpaceDE w:val="0"/>
        <w:autoSpaceDN w:val="0"/>
        <w:adjustRightInd w:val="0"/>
        <w:spacing w:after="120"/>
        <w:jc w:val="both"/>
      </w:pPr>
      <w:r w:rsidRPr="00831C04">
        <w:t>All discrete donor resources and private sector resources will be aligned with the health sector plans at national, zonal and district levels.</w:t>
      </w:r>
      <w:r w:rsidR="00F9786B" w:rsidRPr="00831C04">
        <w:t xml:space="preserve"> </w:t>
      </w:r>
    </w:p>
    <w:p w:rsidR="00A019B0" w:rsidRDefault="00F9786B" w:rsidP="00135363">
      <w:pPr>
        <w:autoSpaceDE w:val="0"/>
        <w:autoSpaceDN w:val="0"/>
        <w:adjustRightInd w:val="0"/>
        <w:spacing w:after="120"/>
        <w:jc w:val="both"/>
      </w:pPr>
      <w:r w:rsidRPr="00831C04">
        <w:t>At the beginning of each year there will be joint health stakeholders planning meeting where one joint plan with monitoring indicators will be developed –aligning different stakeholder’s plans, followed by mid and end year reviews.</w:t>
      </w:r>
    </w:p>
    <w:p w:rsidR="0054257B" w:rsidRPr="00BD4A85" w:rsidRDefault="00497F0A" w:rsidP="005D2FB5">
      <w:pPr>
        <w:autoSpaceDE w:val="0"/>
        <w:autoSpaceDN w:val="0"/>
        <w:adjustRightInd w:val="0"/>
        <w:spacing w:after="0" w:line="240" w:lineRule="auto"/>
        <w:contextualSpacing/>
        <w:jc w:val="both"/>
      </w:pPr>
      <w:r>
        <w:lastRenderedPageBreak/>
        <w:t xml:space="preserve"> </w:t>
      </w:r>
    </w:p>
    <w:p w:rsidR="0054257B" w:rsidRPr="00BD4A85" w:rsidRDefault="00AA5468" w:rsidP="00A12622">
      <w:pPr>
        <w:pStyle w:val="Heading3"/>
        <w:rPr>
          <w:rStyle w:val="Heading2Char"/>
          <w:b/>
        </w:rPr>
      </w:pPr>
      <w:bookmarkStart w:id="995" w:name="_Toc361047361"/>
      <w:bookmarkStart w:id="996" w:name="_Toc363225872"/>
      <w:r w:rsidRPr="00135363">
        <w:rPr>
          <w:szCs w:val="24"/>
        </w:rPr>
        <w:t>2.2.2</w:t>
      </w:r>
      <w:r w:rsidRPr="00BD4A85">
        <w:tab/>
      </w:r>
      <w:r w:rsidRPr="00BD4A85">
        <w:rPr>
          <w:rStyle w:val="Heading2Char"/>
          <w:b/>
        </w:rPr>
        <w:t>STAKEHOLDERS</w:t>
      </w:r>
      <w:bookmarkEnd w:id="995"/>
      <w:bookmarkEnd w:id="996"/>
      <w:r w:rsidRPr="00BD4A85">
        <w:rPr>
          <w:rStyle w:val="Heading2Char"/>
          <w:b/>
        </w:rPr>
        <w:t xml:space="preserve"> </w:t>
      </w:r>
    </w:p>
    <w:p w:rsidR="0054257B" w:rsidRPr="00BD4A85" w:rsidRDefault="0054257B" w:rsidP="00FB6B5B">
      <w:pPr>
        <w:pStyle w:val="Heading4"/>
        <w:jc w:val="both"/>
      </w:pPr>
      <w:r w:rsidRPr="00BD4A85">
        <w:t>2.2.2.1</w:t>
      </w:r>
      <w:r w:rsidRPr="00BD4A85">
        <w:tab/>
        <w:t>Government</w:t>
      </w:r>
    </w:p>
    <w:p w:rsidR="0054257B" w:rsidRPr="00BD4A85" w:rsidRDefault="0054257B" w:rsidP="00135363">
      <w:pPr>
        <w:autoSpaceDE w:val="0"/>
        <w:autoSpaceDN w:val="0"/>
        <w:adjustRightInd w:val="0"/>
        <w:spacing w:after="120"/>
        <w:jc w:val="both"/>
        <w:rPr>
          <w:rFonts w:cs="FootlightMTLight"/>
        </w:rPr>
      </w:pPr>
      <w:r w:rsidRPr="00BD4A85">
        <w:rPr>
          <w:rFonts w:cs="FootlightMTLight"/>
        </w:rPr>
        <w:t xml:space="preserve">The role of the Government is to provide the infrastructure, human resources and operational costs of the public health system, to exercise stewardship over the whole health system, define priorities, increase the delivery of public health services as a proportion of total service delivery, </w:t>
      </w:r>
      <w:r w:rsidR="00EE6BAB" w:rsidRPr="00BD4A85">
        <w:rPr>
          <w:rFonts w:cs="FootlightMTLight"/>
        </w:rPr>
        <w:t>and ensure</w:t>
      </w:r>
      <w:r w:rsidRPr="00BD4A85">
        <w:rPr>
          <w:rFonts w:cs="FootlightMTLight"/>
        </w:rPr>
        <w:t xml:space="preserve"> efficiency and quality. Contracting arrangements are an essential tool for fulfilling government's role.</w:t>
      </w:r>
    </w:p>
    <w:p w:rsidR="0054257B" w:rsidRPr="00BD4A85" w:rsidRDefault="0054257B" w:rsidP="00FB6B5B">
      <w:pPr>
        <w:pStyle w:val="Heading4"/>
        <w:jc w:val="both"/>
      </w:pPr>
      <w:r w:rsidRPr="00BD4A85">
        <w:t>2.2.2.2</w:t>
      </w:r>
      <w:r w:rsidRPr="00BD4A85">
        <w:tab/>
        <w:t>Donors</w:t>
      </w:r>
    </w:p>
    <w:p w:rsidR="0054257B" w:rsidRPr="00BD4A85" w:rsidRDefault="0054257B" w:rsidP="00FB6B5B">
      <w:pPr>
        <w:jc w:val="both"/>
      </w:pPr>
      <w:r w:rsidRPr="00BD4A85">
        <w:t>The role of Donors is to provide technical assistance, to support national health priorities and to fill the gap in funding between resources currently available and those needed to achieve health goals. Harmonization and alignment, in particular along defined contracting arrangements will be needed for an effective donor support.</w:t>
      </w:r>
    </w:p>
    <w:p w:rsidR="0054257B" w:rsidRPr="00BD4A85" w:rsidRDefault="0054257B" w:rsidP="00FB6B5B">
      <w:pPr>
        <w:pStyle w:val="Heading4"/>
        <w:jc w:val="both"/>
      </w:pPr>
      <w:r w:rsidRPr="00BD4A85">
        <w:t>2.2.2.3</w:t>
      </w:r>
      <w:r w:rsidRPr="00BD4A85">
        <w:tab/>
        <w:t>Households</w:t>
      </w:r>
    </w:p>
    <w:p w:rsidR="0054257B" w:rsidRPr="00BD4A85" w:rsidRDefault="0054257B" w:rsidP="00FB6B5B">
      <w:pPr>
        <w:autoSpaceDE w:val="0"/>
        <w:autoSpaceDN w:val="0"/>
        <w:adjustRightInd w:val="0"/>
        <w:spacing w:after="0"/>
        <w:jc w:val="both"/>
        <w:rPr>
          <w:rFonts w:cs="FootlightMTLight"/>
        </w:rPr>
      </w:pPr>
      <w:r w:rsidRPr="00BD4A85">
        <w:rPr>
          <w:lang w:eastAsia="ko-KR"/>
        </w:rPr>
        <w:t xml:space="preserve">Households become sources of health expenditures when they pay premiums to health insurance schemes either through employee or voluntary contributions or when they pay directly to health providers through </w:t>
      </w:r>
      <w:r w:rsidR="005D2FB5" w:rsidRPr="00BD4A85">
        <w:rPr>
          <w:lang w:eastAsia="ko-KR"/>
        </w:rPr>
        <w:t>O</w:t>
      </w:r>
      <w:r w:rsidRPr="00BD4A85">
        <w:rPr>
          <w:lang w:eastAsia="ko-KR"/>
        </w:rPr>
        <w:t>ut-of-</w:t>
      </w:r>
      <w:r w:rsidR="005D2FB5" w:rsidRPr="00BD4A85">
        <w:rPr>
          <w:lang w:eastAsia="ko-KR"/>
        </w:rPr>
        <w:t>P</w:t>
      </w:r>
      <w:r w:rsidRPr="00BD4A85">
        <w:rPr>
          <w:lang w:eastAsia="ko-KR"/>
        </w:rPr>
        <w:t xml:space="preserve">ocket (OOP) payments at the point of use. </w:t>
      </w:r>
      <w:r w:rsidRPr="00BD4A85">
        <w:rPr>
          <w:rFonts w:cs="FootlightMTLight"/>
        </w:rPr>
        <w:t>Official, regulated User Fees will continue to be an important supplementary source of revenue for health facilities to finance staff incentives and running costs, with fee exemptions for the poor and defined packages of interventions</w:t>
      </w:r>
    </w:p>
    <w:p w:rsidR="0054257B" w:rsidRPr="00BD4A85" w:rsidRDefault="0054257B" w:rsidP="00FB6B5B">
      <w:pPr>
        <w:pStyle w:val="Heading4"/>
        <w:jc w:val="both"/>
      </w:pPr>
      <w:r w:rsidRPr="00BD4A85">
        <w:t>2.2.2.4 Private Corporations and Parastatals</w:t>
      </w:r>
    </w:p>
    <w:p w:rsidR="0054257B" w:rsidRDefault="0054257B" w:rsidP="00FB6B5B">
      <w:pPr>
        <w:jc w:val="both"/>
      </w:pPr>
      <w:r w:rsidRPr="00BD4A85">
        <w:t>Private corporations and parastatals become sources of health resources in the following ways: 1) when they pay for premiums of their employees to health insurance organizations or in-house health insurance plans; 2) when they reimburse costs of health care incurred by their employees; 3) when they provide on-site health services in their own health facilities and health programs using their own resources; 4) when they engage in social responsibility activities such as purchasing equipment, construction of health facilities, etc. using their own resources. This strategy aims at increasing private investment for health.</w:t>
      </w:r>
    </w:p>
    <w:p w:rsidR="007A0FD3" w:rsidRDefault="007A0FD3" w:rsidP="00FB6B5B">
      <w:pPr>
        <w:jc w:val="both"/>
      </w:pPr>
    </w:p>
    <w:p w:rsidR="007A0FD3" w:rsidRDefault="007A0FD3" w:rsidP="0054257B">
      <w:pPr>
        <w:jc w:val="both"/>
      </w:pPr>
    </w:p>
    <w:p w:rsidR="000B7108" w:rsidRDefault="000B7108" w:rsidP="0054257B">
      <w:pPr>
        <w:jc w:val="both"/>
      </w:pPr>
    </w:p>
    <w:p w:rsidR="000B7108" w:rsidRDefault="000B7108" w:rsidP="0054257B">
      <w:pPr>
        <w:jc w:val="both"/>
      </w:pPr>
    </w:p>
    <w:p w:rsidR="000B7108" w:rsidRDefault="000B7108" w:rsidP="0054257B">
      <w:pPr>
        <w:jc w:val="both"/>
      </w:pPr>
    </w:p>
    <w:p w:rsidR="000B7108" w:rsidRDefault="000B7108" w:rsidP="0054257B">
      <w:pPr>
        <w:jc w:val="both"/>
      </w:pPr>
    </w:p>
    <w:p w:rsidR="00EB1871" w:rsidRDefault="00EB1871" w:rsidP="0054257B">
      <w:pPr>
        <w:jc w:val="both"/>
      </w:pPr>
    </w:p>
    <w:p w:rsidR="00B861E9" w:rsidRPr="00BD4A85" w:rsidRDefault="00AA5468" w:rsidP="00AA5468">
      <w:pPr>
        <w:pStyle w:val="HeadingO"/>
      </w:pPr>
      <w:bookmarkStart w:id="997" w:name="_Toc363225873"/>
      <w:bookmarkStart w:id="998" w:name="_Toc384911953"/>
      <w:bookmarkStart w:id="999" w:name="_Toc354005634"/>
      <w:r w:rsidRPr="00BD4A85">
        <w:lastRenderedPageBreak/>
        <w:t>3.0</w:t>
      </w:r>
      <w:r>
        <w:tab/>
      </w:r>
      <w:r w:rsidRPr="00BD4A85">
        <w:tab/>
        <w:t>OBJECTIVES AND INTERVENTIONS</w:t>
      </w:r>
      <w:bookmarkEnd w:id="997"/>
      <w:bookmarkEnd w:id="998"/>
    </w:p>
    <w:p w:rsidR="00B861E9" w:rsidRPr="00BD4A85" w:rsidRDefault="004D598F" w:rsidP="00B861E9">
      <w:pPr>
        <w:rPr>
          <w:lang w:val="en-GB" w:eastAsia="en-GB"/>
        </w:rPr>
      </w:pPr>
      <w:r>
        <w:rPr>
          <w:rFonts w:cs="Calibri"/>
        </w:rPr>
        <w:pict>
          <v:rect id="_x0000_i1029" style="width:0;height:1.5pt" o:hralign="center" o:hrstd="t" o:hr="t" fillcolor="#a0a0a0" stroked="f"/>
        </w:pict>
      </w:r>
    </w:p>
    <w:p w:rsidR="00B861E9" w:rsidRPr="00BD4A85" w:rsidRDefault="002E3953" w:rsidP="00AA5468">
      <w:pPr>
        <w:pStyle w:val="HeadingO"/>
      </w:pPr>
      <w:bookmarkStart w:id="1000" w:name="_Toc363225874"/>
      <w:bookmarkStart w:id="1001" w:name="_Toc384911954"/>
      <w:r w:rsidRPr="00BD4A85">
        <w:t>OBJECTIVE 1: DEVELOP SUSTAINABLE AND PREDICTABLE SOURCES OF REVENUE TO FUND MALAWI’S HEALTH SECTOR NEEDS</w:t>
      </w:r>
      <w:bookmarkEnd w:id="1000"/>
      <w:bookmarkEnd w:id="1001"/>
    </w:p>
    <w:p w:rsidR="000D2AD3" w:rsidRPr="00BD4A85" w:rsidRDefault="00AA5468" w:rsidP="001C7880">
      <w:pPr>
        <w:pStyle w:val="Heading2"/>
      </w:pPr>
      <w:bookmarkStart w:id="1002" w:name="_Toc363225875"/>
      <w:bookmarkStart w:id="1003" w:name="_Toc384911955"/>
      <w:r>
        <w:t>3.1</w:t>
      </w:r>
      <w:r w:rsidRPr="00BD4A85">
        <w:tab/>
        <w:t>INTRODUCE A RECIPROCAL VISA FEE FOR INCOMING TRAVELERS</w:t>
      </w:r>
      <w:bookmarkEnd w:id="1002"/>
      <w:bookmarkEnd w:id="1003"/>
      <w:r w:rsidRPr="00BD4A85">
        <w:t xml:space="preserve"> </w:t>
      </w:r>
    </w:p>
    <w:p w:rsidR="000D2AD3" w:rsidRPr="00BD4A85" w:rsidRDefault="004D598F" w:rsidP="000D2AD3">
      <w:pPr>
        <w:rPr>
          <w:lang w:eastAsia="en-GB"/>
        </w:rPr>
      </w:pPr>
      <w:r>
        <w:rPr>
          <w:rFonts w:cs="Calibri"/>
        </w:rPr>
        <w:pict w14:anchorId="20A45DC6">
          <v:rect id="_x0000_i1030" style="width:0;height:1.5pt" o:hralign="center" o:hrstd="t" o:hr="t" fillcolor="#a0a0a0" stroked="f"/>
        </w:pict>
      </w:r>
    </w:p>
    <w:p w:rsidR="000D2AD3" w:rsidRDefault="000D2AD3" w:rsidP="000D2AD3">
      <w:pPr>
        <w:jc w:val="both"/>
        <w:rPr>
          <w:rFonts w:cs="Calibri"/>
        </w:rPr>
      </w:pPr>
      <w:r>
        <w:t>Currently, nationals of some countries, which charge Malawia</w:t>
      </w:r>
      <w:r w:rsidR="00A07A29">
        <w:t>n</w:t>
      </w:r>
      <w:r>
        <w:t>s a visa fee, are not required to pay a similar visa fee upon entry to Malawi.</w:t>
      </w:r>
      <w:r w:rsidRPr="00BD4A85">
        <w:t xml:space="preserve"> </w:t>
      </w:r>
      <w:r w:rsidRPr="00BD4A85">
        <w:rPr>
          <w:rFonts w:cs="Calibri"/>
        </w:rPr>
        <w:t xml:space="preserve">Introducing a </w:t>
      </w:r>
      <w:r>
        <w:rPr>
          <w:rFonts w:cs="Calibri"/>
        </w:rPr>
        <w:t>US$70</w:t>
      </w:r>
      <w:r w:rsidRPr="00BD4A85">
        <w:rPr>
          <w:rFonts w:cs="Calibri"/>
        </w:rPr>
        <w:t xml:space="preserve"> reciprocal visa </w:t>
      </w:r>
      <w:r w:rsidR="00615465">
        <w:rPr>
          <w:rFonts w:cs="Calibri"/>
        </w:rPr>
        <w:t xml:space="preserve">fee </w:t>
      </w:r>
      <w:r w:rsidRPr="00BD4A85">
        <w:rPr>
          <w:rFonts w:cs="Calibri"/>
        </w:rPr>
        <w:t xml:space="preserve">per incoming visitor </w:t>
      </w:r>
      <w:r>
        <w:rPr>
          <w:rFonts w:cs="Calibri"/>
        </w:rPr>
        <w:t>and earmarking this revenue for</w:t>
      </w:r>
      <w:r w:rsidRPr="00BD4A85">
        <w:rPr>
          <w:rFonts w:cs="Calibri"/>
        </w:rPr>
        <w:t xml:space="preserve"> health would potentially generate </w:t>
      </w:r>
      <w:r>
        <w:rPr>
          <w:rFonts w:cs="Calibri"/>
        </w:rPr>
        <w:t>US$25</w:t>
      </w:r>
      <w:r w:rsidRPr="00BD4A85">
        <w:rPr>
          <w:rFonts w:cs="Calibri"/>
        </w:rPr>
        <w:t xml:space="preserve"> million for 2013-14. By 2016/17, the projected revenues </w:t>
      </w:r>
      <w:r>
        <w:rPr>
          <w:rFonts w:cs="Calibri"/>
        </w:rPr>
        <w:t>go up to</w:t>
      </w:r>
      <w:r w:rsidRPr="00BD4A85">
        <w:rPr>
          <w:rFonts w:cs="Calibri"/>
        </w:rPr>
        <w:t xml:space="preserve"> US$</w:t>
      </w:r>
      <w:r>
        <w:rPr>
          <w:rFonts w:cs="Calibri"/>
        </w:rPr>
        <w:t xml:space="preserve">27 </w:t>
      </w:r>
      <w:r w:rsidRPr="00BD4A85">
        <w:rPr>
          <w:rFonts w:cs="Calibri"/>
        </w:rPr>
        <w:t>million and by 2020/21, the revenues are projected to be in the region of US$</w:t>
      </w:r>
      <w:r>
        <w:rPr>
          <w:rFonts w:cs="Calibri"/>
        </w:rPr>
        <w:t>28 million</w:t>
      </w:r>
      <w:r w:rsidRPr="00BD4A85">
        <w:rPr>
          <w:rFonts w:cs="Calibri"/>
        </w:rPr>
        <w:t xml:space="preserve">. </w:t>
      </w:r>
    </w:p>
    <w:p w:rsidR="000D2AD3" w:rsidRDefault="000D2AD3" w:rsidP="000D2AD3">
      <w:pPr>
        <w:jc w:val="both"/>
        <w:rPr>
          <w:rFonts w:cs="Calibri"/>
        </w:rPr>
      </w:pPr>
      <w:r>
        <w:rPr>
          <w:rFonts w:cs="Calibri"/>
        </w:rPr>
        <w:t>Considering that many neighboring countr</w:t>
      </w:r>
      <w:r w:rsidR="008A2145">
        <w:rPr>
          <w:rFonts w:cs="Calibri"/>
        </w:rPr>
        <w:t>ies charge similar fees (</w:t>
      </w:r>
      <w:r w:rsidR="00135363">
        <w:rPr>
          <w:rFonts w:cs="Calibri"/>
        </w:rPr>
        <w:t>T</w:t>
      </w:r>
      <w:r w:rsidR="008A2145">
        <w:rPr>
          <w:rFonts w:cs="Calibri"/>
        </w:rPr>
        <w:t>able 1</w:t>
      </w:r>
      <w:r>
        <w:rPr>
          <w:rFonts w:cs="Calibri"/>
        </w:rPr>
        <w:t>), introducing a visa fee should not substantially affect the volume of travelers to Malawi, especially if this visa fee was known to be supporting a specific health budget item, such as essential medicines, malaria control or health worker salaries.</w:t>
      </w:r>
    </w:p>
    <w:p w:rsidR="004709C6" w:rsidRPr="008A2145" w:rsidRDefault="008A2145" w:rsidP="008A2145">
      <w:pPr>
        <w:pStyle w:val="Caption"/>
        <w:ind w:left="720" w:firstLine="720"/>
        <w:rPr>
          <w:sz w:val="22"/>
          <w:szCs w:val="22"/>
        </w:rPr>
      </w:pPr>
      <w:bookmarkStart w:id="1004" w:name="_Toc384829402"/>
      <w:r w:rsidRPr="008A2145">
        <w:rPr>
          <w:sz w:val="22"/>
          <w:szCs w:val="22"/>
        </w:rPr>
        <w:t xml:space="preserve">Table </w:t>
      </w:r>
      <w:r w:rsidRPr="008A2145">
        <w:rPr>
          <w:sz w:val="22"/>
          <w:szCs w:val="22"/>
        </w:rPr>
        <w:fldChar w:fldCharType="begin"/>
      </w:r>
      <w:r w:rsidRPr="008A2145">
        <w:rPr>
          <w:sz w:val="22"/>
          <w:szCs w:val="22"/>
        </w:rPr>
        <w:instrText xml:space="preserve"> SEQ Table \* ARABIC </w:instrText>
      </w:r>
      <w:r w:rsidRPr="008A2145">
        <w:rPr>
          <w:sz w:val="22"/>
          <w:szCs w:val="22"/>
        </w:rPr>
        <w:fldChar w:fldCharType="separate"/>
      </w:r>
      <w:r w:rsidR="00381BCB">
        <w:rPr>
          <w:noProof/>
          <w:sz w:val="22"/>
          <w:szCs w:val="22"/>
        </w:rPr>
        <w:t>1</w:t>
      </w:r>
      <w:r w:rsidRPr="008A2145">
        <w:rPr>
          <w:sz w:val="22"/>
          <w:szCs w:val="22"/>
        </w:rPr>
        <w:fldChar w:fldCharType="end"/>
      </w:r>
      <w:r w:rsidRPr="008A2145">
        <w:rPr>
          <w:sz w:val="22"/>
          <w:szCs w:val="22"/>
        </w:rPr>
        <w:t>: Visa Fee for US Citizens in Neighboring Countries</w:t>
      </w:r>
      <w:bookmarkEnd w:id="1004"/>
    </w:p>
    <w:tbl>
      <w:tblPr>
        <w:tblW w:w="5640" w:type="dxa"/>
        <w:jc w:val="center"/>
        <w:tblCellMar>
          <w:left w:w="0" w:type="dxa"/>
          <w:right w:w="0" w:type="dxa"/>
        </w:tblCellMar>
        <w:tblLook w:val="04A0" w:firstRow="1" w:lastRow="0" w:firstColumn="1" w:lastColumn="0" w:noHBand="0" w:noVBand="1"/>
      </w:tblPr>
      <w:tblGrid>
        <w:gridCol w:w="2520"/>
        <w:gridCol w:w="3120"/>
      </w:tblGrid>
      <w:tr w:rsidR="000D2AD3" w:rsidRPr="002506D3" w:rsidTr="00D5238B">
        <w:trPr>
          <w:trHeight w:val="576"/>
          <w:jc w:val="center"/>
        </w:trPr>
        <w:tc>
          <w:tcPr>
            <w:tcW w:w="2520" w:type="dxa"/>
            <w:tcBorders>
              <w:top w:val="single" w:sz="8" w:space="0" w:color="000000"/>
              <w:left w:val="single" w:sz="8" w:space="0" w:color="000000"/>
              <w:bottom w:val="single" w:sz="8" w:space="0" w:color="000000"/>
              <w:right w:val="single" w:sz="8" w:space="0" w:color="000000"/>
            </w:tcBorders>
            <w:shd w:val="clear" w:color="auto" w:fill="1F497D"/>
            <w:tcMar>
              <w:top w:w="17" w:type="dxa"/>
              <w:left w:w="108" w:type="dxa"/>
              <w:bottom w:w="0" w:type="dxa"/>
              <w:right w:w="108" w:type="dxa"/>
            </w:tcMar>
            <w:vAlign w:val="center"/>
            <w:hideMark/>
          </w:tcPr>
          <w:p w:rsidR="000D2AD3" w:rsidRPr="00281D20" w:rsidRDefault="000D2AD3" w:rsidP="00D5238B">
            <w:pPr>
              <w:spacing w:after="0"/>
              <w:contextualSpacing/>
              <w:jc w:val="both"/>
              <w:rPr>
                <w:rFonts w:cs="Calibri"/>
                <w:color w:val="FFFFFF"/>
              </w:rPr>
            </w:pPr>
            <w:r w:rsidRPr="00281D20">
              <w:rPr>
                <w:rFonts w:cs="Calibri"/>
                <w:b/>
                <w:bCs/>
                <w:color w:val="FFFFFF"/>
              </w:rPr>
              <w:t>Country</w:t>
            </w:r>
            <w:r w:rsidRPr="00281D20">
              <w:rPr>
                <w:rFonts w:cs="Calibri"/>
                <w:b/>
                <w:bCs/>
                <w:color w:val="FFFFFF"/>
                <w:lang w:val="en-CA"/>
              </w:rPr>
              <w:t xml:space="preserve"> </w:t>
            </w:r>
          </w:p>
        </w:tc>
        <w:tc>
          <w:tcPr>
            <w:tcW w:w="3120" w:type="dxa"/>
            <w:tcBorders>
              <w:top w:val="single" w:sz="8" w:space="0" w:color="000000"/>
              <w:left w:val="single" w:sz="8" w:space="0" w:color="000000"/>
              <w:bottom w:val="single" w:sz="8" w:space="0" w:color="000000"/>
              <w:right w:val="single" w:sz="8" w:space="0" w:color="000000"/>
            </w:tcBorders>
            <w:shd w:val="clear" w:color="auto" w:fill="1F497D"/>
            <w:tcMar>
              <w:top w:w="17" w:type="dxa"/>
              <w:left w:w="108" w:type="dxa"/>
              <w:bottom w:w="0" w:type="dxa"/>
              <w:right w:w="108" w:type="dxa"/>
            </w:tcMar>
            <w:vAlign w:val="center"/>
            <w:hideMark/>
          </w:tcPr>
          <w:p w:rsidR="000D2AD3" w:rsidRPr="00281D20" w:rsidRDefault="000D2AD3" w:rsidP="00D5238B">
            <w:pPr>
              <w:spacing w:after="0"/>
              <w:contextualSpacing/>
              <w:jc w:val="both"/>
              <w:rPr>
                <w:rFonts w:cs="Calibri"/>
                <w:color w:val="FFFFFF"/>
              </w:rPr>
            </w:pPr>
            <w:r w:rsidRPr="00281D20">
              <w:rPr>
                <w:rFonts w:cs="Calibri"/>
                <w:b/>
                <w:bCs/>
                <w:color w:val="FFFFFF"/>
              </w:rPr>
              <w:t>Visa Fee for US citizens</w:t>
            </w:r>
            <w:r w:rsidRPr="00281D20">
              <w:rPr>
                <w:rFonts w:cs="Calibri"/>
                <w:b/>
                <w:bCs/>
                <w:color w:val="FFFFFF"/>
                <w:lang w:val="en-CA"/>
              </w:rPr>
              <w:t xml:space="preserve"> </w:t>
            </w:r>
          </w:p>
        </w:tc>
      </w:tr>
      <w:tr w:rsidR="000D2AD3" w:rsidRPr="002506D3" w:rsidTr="007A0FD3">
        <w:trPr>
          <w:trHeight w:val="574"/>
          <w:jc w:val="center"/>
        </w:trPr>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0D2AD3" w:rsidRPr="002506D3" w:rsidRDefault="000D2AD3" w:rsidP="00D5238B">
            <w:pPr>
              <w:spacing w:after="0"/>
              <w:contextualSpacing/>
              <w:jc w:val="both"/>
              <w:rPr>
                <w:rFonts w:cs="Calibri"/>
              </w:rPr>
            </w:pPr>
            <w:r w:rsidRPr="002506D3">
              <w:rPr>
                <w:rFonts w:cs="Calibri"/>
              </w:rPr>
              <w:t xml:space="preserve">Tanzania </w:t>
            </w:r>
          </w:p>
        </w:tc>
        <w:tc>
          <w:tcPr>
            <w:tcW w:w="3120" w:type="dxa"/>
            <w:tcBorders>
              <w:top w:val="single" w:sz="8" w:space="0" w:color="000000"/>
              <w:left w:val="single" w:sz="8" w:space="0" w:color="000000"/>
              <w:bottom w:val="single" w:sz="8" w:space="0" w:color="000000"/>
              <w:right w:val="single" w:sz="8" w:space="0" w:color="000000"/>
            </w:tcBorders>
            <w:shd w:val="clear" w:color="auto" w:fill="FFFFFF"/>
            <w:tcMar>
              <w:top w:w="17" w:type="dxa"/>
              <w:left w:w="108" w:type="dxa"/>
              <w:bottom w:w="0" w:type="dxa"/>
              <w:right w:w="108" w:type="dxa"/>
            </w:tcMar>
            <w:vAlign w:val="center"/>
            <w:hideMark/>
          </w:tcPr>
          <w:p w:rsidR="000D2AD3" w:rsidRPr="002506D3" w:rsidRDefault="000D2AD3" w:rsidP="00D5238B">
            <w:pPr>
              <w:spacing w:after="0"/>
              <w:contextualSpacing/>
              <w:jc w:val="both"/>
              <w:rPr>
                <w:rFonts w:cs="Calibri"/>
              </w:rPr>
            </w:pPr>
            <w:r w:rsidRPr="002506D3">
              <w:rPr>
                <w:rFonts w:cs="Calibri"/>
              </w:rPr>
              <w:t xml:space="preserve"> $ 100</w:t>
            </w:r>
            <w:r w:rsidRPr="002506D3">
              <w:rPr>
                <w:rFonts w:cs="Calibri"/>
                <w:lang w:val="en-CA"/>
              </w:rPr>
              <w:t xml:space="preserve"> </w:t>
            </w:r>
          </w:p>
        </w:tc>
      </w:tr>
      <w:tr w:rsidR="000D2AD3" w:rsidRPr="002506D3" w:rsidTr="007A0FD3">
        <w:trPr>
          <w:trHeight w:val="556"/>
          <w:jc w:val="center"/>
        </w:trPr>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0D2AD3" w:rsidRPr="002506D3" w:rsidRDefault="000D2AD3" w:rsidP="00D5238B">
            <w:pPr>
              <w:spacing w:after="0"/>
              <w:contextualSpacing/>
              <w:jc w:val="both"/>
              <w:rPr>
                <w:rFonts w:cs="Calibri"/>
              </w:rPr>
            </w:pPr>
            <w:r w:rsidRPr="002506D3">
              <w:rPr>
                <w:rFonts w:cs="Calibri"/>
              </w:rPr>
              <w:t xml:space="preserve">Ethiopia </w:t>
            </w:r>
          </w:p>
        </w:tc>
        <w:tc>
          <w:tcPr>
            <w:tcW w:w="3120" w:type="dxa"/>
            <w:tcBorders>
              <w:top w:val="single" w:sz="8" w:space="0" w:color="000000"/>
              <w:left w:val="single" w:sz="8" w:space="0" w:color="000000"/>
              <w:bottom w:val="single" w:sz="8" w:space="0" w:color="000000"/>
              <w:right w:val="single" w:sz="8" w:space="0" w:color="000000"/>
            </w:tcBorders>
            <w:shd w:val="clear" w:color="auto" w:fill="FFFFFF"/>
            <w:tcMar>
              <w:top w:w="17" w:type="dxa"/>
              <w:left w:w="108" w:type="dxa"/>
              <w:bottom w:w="0" w:type="dxa"/>
              <w:right w:w="108" w:type="dxa"/>
            </w:tcMar>
            <w:vAlign w:val="center"/>
            <w:hideMark/>
          </w:tcPr>
          <w:p w:rsidR="000D2AD3" w:rsidRPr="002506D3" w:rsidRDefault="000D2AD3" w:rsidP="00D5238B">
            <w:pPr>
              <w:spacing w:after="0"/>
              <w:contextualSpacing/>
              <w:jc w:val="both"/>
              <w:rPr>
                <w:rFonts w:cs="Calibri"/>
              </w:rPr>
            </w:pPr>
            <w:r w:rsidRPr="002506D3">
              <w:rPr>
                <w:rFonts w:cs="Calibri"/>
              </w:rPr>
              <w:t xml:space="preserve"> $ 70</w:t>
            </w:r>
            <w:r w:rsidRPr="002506D3">
              <w:rPr>
                <w:rFonts w:cs="Calibri"/>
                <w:lang w:val="en-CA"/>
              </w:rPr>
              <w:t xml:space="preserve"> </w:t>
            </w:r>
          </w:p>
        </w:tc>
      </w:tr>
      <w:tr w:rsidR="000D2AD3" w:rsidRPr="002506D3" w:rsidTr="007A0FD3">
        <w:trPr>
          <w:trHeight w:val="529"/>
          <w:jc w:val="center"/>
        </w:trPr>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0D2AD3" w:rsidRPr="002506D3" w:rsidRDefault="000D2AD3" w:rsidP="00D5238B">
            <w:pPr>
              <w:spacing w:after="0"/>
              <w:contextualSpacing/>
              <w:jc w:val="both"/>
              <w:rPr>
                <w:rFonts w:cs="Calibri"/>
              </w:rPr>
            </w:pPr>
            <w:r w:rsidRPr="002506D3">
              <w:rPr>
                <w:rFonts w:cs="Calibri"/>
              </w:rPr>
              <w:t>Mozambique</w:t>
            </w:r>
            <w:r w:rsidRPr="002506D3">
              <w:rPr>
                <w:rFonts w:cs="Calibri"/>
                <w:lang w:val="en-CA"/>
              </w:rPr>
              <w:t xml:space="preserve"> </w:t>
            </w:r>
          </w:p>
        </w:tc>
        <w:tc>
          <w:tcPr>
            <w:tcW w:w="3120" w:type="dxa"/>
            <w:tcBorders>
              <w:top w:val="single" w:sz="8" w:space="0" w:color="000000"/>
              <w:left w:val="single" w:sz="8" w:space="0" w:color="000000"/>
              <w:bottom w:val="single" w:sz="8" w:space="0" w:color="000000"/>
              <w:right w:val="single" w:sz="8" w:space="0" w:color="000000"/>
            </w:tcBorders>
            <w:shd w:val="clear" w:color="auto" w:fill="FFFFFF"/>
            <w:tcMar>
              <w:top w:w="17" w:type="dxa"/>
              <w:left w:w="108" w:type="dxa"/>
              <w:bottom w:w="0" w:type="dxa"/>
              <w:right w:w="108" w:type="dxa"/>
            </w:tcMar>
            <w:vAlign w:val="center"/>
            <w:hideMark/>
          </w:tcPr>
          <w:p w:rsidR="000D2AD3" w:rsidRPr="002506D3" w:rsidRDefault="000D2AD3" w:rsidP="00D5238B">
            <w:pPr>
              <w:spacing w:after="0"/>
              <w:contextualSpacing/>
              <w:jc w:val="both"/>
              <w:rPr>
                <w:rFonts w:cs="Calibri"/>
              </w:rPr>
            </w:pPr>
            <w:r w:rsidRPr="002506D3">
              <w:rPr>
                <w:rFonts w:cs="Calibri"/>
              </w:rPr>
              <w:t xml:space="preserve"> $ 60</w:t>
            </w:r>
            <w:r w:rsidRPr="002506D3">
              <w:rPr>
                <w:rFonts w:cs="Calibri"/>
                <w:lang w:val="en-CA"/>
              </w:rPr>
              <w:t xml:space="preserve"> </w:t>
            </w:r>
          </w:p>
        </w:tc>
      </w:tr>
      <w:tr w:rsidR="000D2AD3" w:rsidRPr="002506D3" w:rsidTr="007A0FD3">
        <w:trPr>
          <w:trHeight w:val="520"/>
          <w:jc w:val="center"/>
        </w:trPr>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0D2AD3" w:rsidRPr="002506D3" w:rsidRDefault="000D2AD3" w:rsidP="00D5238B">
            <w:pPr>
              <w:spacing w:after="0"/>
              <w:contextualSpacing/>
              <w:jc w:val="both"/>
              <w:rPr>
                <w:rFonts w:cs="Calibri"/>
              </w:rPr>
            </w:pPr>
            <w:r w:rsidRPr="002506D3">
              <w:rPr>
                <w:rFonts w:cs="Calibri"/>
              </w:rPr>
              <w:t>Zambia</w:t>
            </w:r>
            <w:r w:rsidRPr="002506D3">
              <w:rPr>
                <w:rFonts w:cs="Calibri"/>
                <w:lang w:val="en-CA"/>
              </w:rPr>
              <w:t xml:space="preserve"> </w:t>
            </w:r>
          </w:p>
        </w:tc>
        <w:tc>
          <w:tcPr>
            <w:tcW w:w="3120" w:type="dxa"/>
            <w:tcBorders>
              <w:top w:val="single" w:sz="8" w:space="0" w:color="000000"/>
              <w:left w:val="single" w:sz="8" w:space="0" w:color="000000"/>
              <w:bottom w:val="single" w:sz="8" w:space="0" w:color="000000"/>
              <w:right w:val="single" w:sz="8" w:space="0" w:color="000000"/>
            </w:tcBorders>
            <w:shd w:val="clear" w:color="auto" w:fill="FFFFFF"/>
            <w:tcMar>
              <w:top w:w="17" w:type="dxa"/>
              <w:left w:w="108" w:type="dxa"/>
              <w:bottom w:w="0" w:type="dxa"/>
              <w:right w:w="108" w:type="dxa"/>
            </w:tcMar>
            <w:vAlign w:val="center"/>
            <w:hideMark/>
          </w:tcPr>
          <w:p w:rsidR="000D2AD3" w:rsidRPr="002506D3" w:rsidRDefault="000D2AD3" w:rsidP="00D5238B">
            <w:pPr>
              <w:spacing w:after="0"/>
              <w:contextualSpacing/>
              <w:jc w:val="both"/>
              <w:rPr>
                <w:rFonts w:cs="Calibri"/>
              </w:rPr>
            </w:pPr>
            <w:r w:rsidRPr="002506D3">
              <w:rPr>
                <w:rFonts w:cs="Calibri"/>
              </w:rPr>
              <w:t xml:space="preserve"> $ 50</w:t>
            </w:r>
            <w:r w:rsidRPr="002506D3">
              <w:rPr>
                <w:rFonts w:cs="Calibri"/>
                <w:lang w:val="en-CA"/>
              </w:rPr>
              <w:t xml:space="preserve"> </w:t>
            </w:r>
          </w:p>
        </w:tc>
      </w:tr>
      <w:tr w:rsidR="000D2AD3" w:rsidRPr="002506D3" w:rsidTr="007A0FD3">
        <w:trPr>
          <w:trHeight w:val="493"/>
          <w:jc w:val="center"/>
        </w:trPr>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0D2AD3" w:rsidRPr="002506D3" w:rsidRDefault="000D2AD3" w:rsidP="00D5238B">
            <w:pPr>
              <w:spacing w:after="0"/>
              <w:contextualSpacing/>
              <w:jc w:val="both"/>
              <w:rPr>
                <w:rFonts w:cs="Calibri"/>
              </w:rPr>
            </w:pPr>
            <w:r w:rsidRPr="002506D3">
              <w:rPr>
                <w:rFonts w:cs="Calibri"/>
              </w:rPr>
              <w:t xml:space="preserve">Kenya </w:t>
            </w:r>
          </w:p>
        </w:tc>
        <w:tc>
          <w:tcPr>
            <w:tcW w:w="3120" w:type="dxa"/>
            <w:tcBorders>
              <w:top w:val="single" w:sz="8" w:space="0" w:color="000000"/>
              <w:left w:val="single" w:sz="8" w:space="0" w:color="000000"/>
              <w:bottom w:val="single" w:sz="8" w:space="0" w:color="000000"/>
              <w:right w:val="single" w:sz="8" w:space="0" w:color="000000"/>
            </w:tcBorders>
            <w:shd w:val="clear" w:color="auto" w:fill="FFFFFF"/>
            <w:tcMar>
              <w:top w:w="17" w:type="dxa"/>
              <w:left w:w="108" w:type="dxa"/>
              <w:bottom w:w="0" w:type="dxa"/>
              <w:right w:w="108" w:type="dxa"/>
            </w:tcMar>
            <w:vAlign w:val="center"/>
            <w:hideMark/>
          </w:tcPr>
          <w:p w:rsidR="000D2AD3" w:rsidRPr="002506D3" w:rsidRDefault="000D2AD3" w:rsidP="00D5238B">
            <w:pPr>
              <w:spacing w:after="0"/>
              <w:contextualSpacing/>
              <w:jc w:val="both"/>
              <w:rPr>
                <w:rFonts w:cs="Calibri"/>
              </w:rPr>
            </w:pPr>
            <w:r w:rsidRPr="002506D3">
              <w:rPr>
                <w:rFonts w:cs="Calibri"/>
              </w:rPr>
              <w:t xml:space="preserve"> $ 50</w:t>
            </w:r>
            <w:r w:rsidRPr="002506D3">
              <w:rPr>
                <w:rFonts w:cs="Calibri"/>
                <w:lang w:val="en-CA"/>
              </w:rPr>
              <w:t xml:space="preserve"> </w:t>
            </w:r>
          </w:p>
        </w:tc>
      </w:tr>
      <w:tr w:rsidR="000D2AD3" w:rsidRPr="002506D3" w:rsidTr="00D5238B">
        <w:trPr>
          <w:trHeight w:val="576"/>
          <w:jc w:val="center"/>
        </w:trPr>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0D2AD3" w:rsidRPr="002506D3" w:rsidRDefault="000D2AD3" w:rsidP="00D5238B">
            <w:pPr>
              <w:spacing w:after="0"/>
              <w:contextualSpacing/>
              <w:jc w:val="both"/>
              <w:rPr>
                <w:rFonts w:cs="Calibri"/>
              </w:rPr>
            </w:pPr>
            <w:r w:rsidRPr="00C11D59">
              <w:rPr>
                <w:rFonts w:cs="Calibri"/>
                <w:noProof/>
              </w:rPr>
              <mc:AlternateContent>
                <mc:Choice Requires="wps">
                  <w:drawing>
                    <wp:anchor distT="0" distB="0" distL="114300" distR="114300" simplePos="0" relativeHeight="251659264" behindDoc="0" locked="0" layoutInCell="1" allowOverlap="1" wp14:anchorId="1CC89C2D" wp14:editId="571C2AB6">
                      <wp:simplePos x="0" y="0"/>
                      <wp:positionH relativeFrom="column">
                        <wp:posOffset>-225425</wp:posOffset>
                      </wp:positionH>
                      <wp:positionV relativeFrom="paragraph">
                        <wp:posOffset>330200</wp:posOffset>
                      </wp:positionV>
                      <wp:extent cx="3845560" cy="499745"/>
                      <wp:effectExtent l="18415" t="9525" r="12700" b="146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5560" cy="49974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75CB4" id="Rectangle 1" o:spid="_x0000_s1026" style="position:absolute;margin-left:-17.75pt;margin-top:26pt;width:302.8pt;height:3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KbseQIAAPwEAAAOAAAAZHJzL2Uyb0RvYy54bWysVFFv0zAQfkfiP1h+75J0addGS6epaRDS&#10;gInBD3Btp7FwbGO7TcfEf+fstKVlLwiRh8SXO5+/7+47397tO4l23DqhVYmzqxQjrqhmQm1K/PVL&#10;PZph5DxRjEiteImfucN3i7dvbntT8LFutWTcIkiiXNGbErfemyJJHG15R9yVNlyBs9G2Ix5Mu0mY&#10;JT1k72QyTtNp0mvLjNWUOwd/q8GJFzF/03DqPzWN4x7JEgM2H982vtfhnSxuSbGxxLSCHmCQf0DR&#10;EaHg0FOqiniCtla8StUJarXTjb+iukt00wjKIwdgk6V/sHlqieGRCxTHmVOZ3P9LSz/uHi0SDHqH&#10;kSIdtOgzFI2ojeQoC+XpjSsg6sk82kDQmQdNvzmk9LKFKH5vre5bThiAivHJxYZgONiK1v0HzSA7&#10;2XodK7VvbBcSQg3QPjbk+dQQvveIws/rWT6ZTKFvFHz5fH6TTwKkhBTH3cY6/47rDoVFiS1gj9nJ&#10;7sH5IfQYEg5TuhZSxqZLhXqAPE8nadzhtBQseCNLu1kvpUU7Arqp6xSew8EXYZ3woF4puhLPQsxB&#10;T6EcK8XiMZ4IOawBtVQhObADcIfVoJKXeTpfzVazfJSPp6tRnlbV6L5e5qNpnd1MqutquayynwFn&#10;lhetYIyrAPWo2Cz/O0UcZmfQ2kmzF5TcJfMantfMk0sYsSPA6viN7KIOQusHCa01ewYZWD2MIFwZ&#10;sGi1/YFRD+NXYvd9SyzHSL5XIKV5ludhXqORT27GYNhzz/rcQxSFVCX2GA3LpR9mfGus2LRwUhZ7&#10;rPQ9yK8RURlBmgMqwB0MGLHI4HAdhBk+t2PU70tr8QsAAP//AwBQSwMEFAAGAAgAAAAhAC/gbyjf&#10;AAAACgEAAA8AAABkcnMvZG93bnJldi54bWxMj9FKwzAUhu8F3yEcwRvZkm50G13TYYUxUBCsPkDW&#10;HJtik5Qk6+rbe7zSy8P5+P/vLw+zHdiEIfbeSciWAhi61uvedRI+3o+LHbCYlNNq8A4lfGOEQ3V7&#10;U6pC+6t7w6lJHaMQFwslwaQ0FpzH1qBVcelHdPT79MGqRGfouA7qSuF24CshNtyq3lGDUSM+GWy/&#10;mouVMGX18dTV6lQ3/uX5NWDcmIco5f3d/LgHlnBOfzD86pM6VOR09henIxskLNZ5TqiEfEWbCMi3&#10;IgN2JnIttsCrkv+fUP0AAAD//wMAUEsBAi0AFAAGAAgAAAAhALaDOJL+AAAA4QEAABMAAAAAAAAA&#10;AAAAAAAAAAAAAFtDb250ZW50X1R5cGVzXS54bWxQSwECLQAUAAYACAAAACEAOP0h/9YAAACUAQAA&#10;CwAAAAAAAAAAAAAAAAAvAQAAX3JlbHMvLnJlbHNQSwECLQAUAAYACAAAACEAiIim7HkCAAD8BAAA&#10;DgAAAAAAAAAAAAAAAAAuAgAAZHJzL2Uyb0RvYy54bWxQSwECLQAUAAYACAAAACEAL+BvKN8AAAAK&#10;AQAADwAAAAAAAAAAAAAAAADTBAAAZHJzL2Rvd25yZXYueG1sUEsFBgAAAAAEAAQA8wAAAN8FAAAA&#10;AA==&#10;" filled="f" strokecolor="red" strokeweight="1.5pt"/>
                  </w:pict>
                </mc:Fallback>
              </mc:AlternateContent>
            </w:r>
            <w:r w:rsidRPr="002506D3">
              <w:rPr>
                <w:rFonts w:cs="Calibri"/>
              </w:rPr>
              <w:t>Zimbabwe</w:t>
            </w:r>
            <w:r w:rsidRPr="002506D3">
              <w:rPr>
                <w:rFonts w:cs="Calibri"/>
                <w:lang w:val="en-CA"/>
              </w:rPr>
              <w:t xml:space="preserve"> </w:t>
            </w:r>
          </w:p>
        </w:tc>
        <w:tc>
          <w:tcPr>
            <w:tcW w:w="3120" w:type="dxa"/>
            <w:tcBorders>
              <w:top w:val="single" w:sz="8" w:space="0" w:color="000000"/>
              <w:left w:val="single" w:sz="8" w:space="0" w:color="000000"/>
              <w:bottom w:val="single" w:sz="8" w:space="0" w:color="000000"/>
              <w:right w:val="single" w:sz="8" w:space="0" w:color="000000"/>
            </w:tcBorders>
            <w:shd w:val="clear" w:color="auto" w:fill="FFFFFF"/>
            <w:tcMar>
              <w:top w:w="17" w:type="dxa"/>
              <w:left w:w="108" w:type="dxa"/>
              <w:bottom w:w="0" w:type="dxa"/>
              <w:right w:w="108" w:type="dxa"/>
            </w:tcMar>
            <w:vAlign w:val="center"/>
            <w:hideMark/>
          </w:tcPr>
          <w:p w:rsidR="000D2AD3" w:rsidRPr="002506D3" w:rsidRDefault="000D2AD3" w:rsidP="00D5238B">
            <w:pPr>
              <w:spacing w:after="0"/>
              <w:contextualSpacing/>
              <w:jc w:val="both"/>
              <w:rPr>
                <w:rFonts w:cs="Calibri"/>
              </w:rPr>
            </w:pPr>
            <w:r w:rsidRPr="002506D3">
              <w:rPr>
                <w:rFonts w:cs="Calibri"/>
              </w:rPr>
              <w:t xml:space="preserve"> $ 30</w:t>
            </w:r>
            <w:r w:rsidRPr="002506D3">
              <w:rPr>
                <w:rFonts w:cs="Calibri"/>
                <w:lang w:val="en-CA"/>
              </w:rPr>
              <w:t xml:space="preserve"> </w:t>
            </w:r>
          </w:p>
        </w:tc>
      </w:tr>
      <w:tr w:rsidR="000D2AD3" w:rsidRPr="002506D3" w:rsidTr="00C11D59">
        <w:trPr>
          <w:trHeight w:val="576"/>
          <w:jc w:val="center"/>
        </w:trPr>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17" w:type="dxa"/>
              <w:left w:w="108" w:type="dxa"/>
              <w:bottom w:w="0" w:type="dxa"/>
              <w:right w:w="108" w:type="dxa"/>
            </w:tcMar>
            <w:vAlign w:val="center"/>
            <w:hideMark/>
          </w:tcPr>
          <w:p w:rsidR="000D2AD3" w:rsidRPr="0057434A" w:rsidRDefault="000D2AD3" w:rsidP="0057434A">
            <w:pPr>
              <w:spacing w:after="0"/>
              <w:contextualSpacing/>
              <w:jc w:val="both"/>
              <w:rPr>
                <w:sz w:val="28"/>
              </w:rPr>
            </w:pPr>
            <w:r w:rsidRPr="0057434A">
              <w:rPr>
                <w:b/>
                <w:sz w:val="28"/>
                <w:lang w:val="en-CA"/>
              </w:rPr>
              <w:t xml:space="preserve">Malawi </w:t>
            </w:r>
          </w:p>
        </w:tc>
        <w:tc>
          <w:tcPr>
            <w:tcW w:w="3120" w:type="dxa"/>
            <w:tcBorders>
              <w:top w:val="single" w:sz="8" w:space="0" w:color="000000"/>
              <w:left w:val="single" w:sz="8" w:space="0" w:color="000000"/>
              <w:bottom w:val="single" w:sz="8" w:space="0" w:color="000000"/>
              <w:right w:val="single" w:sz="8" w:space="0" w:color="000000"/>
            </w:tcBorders>
            <w:shd w:val="clear" w:color="auto" w:fill="FFFFFF"/>
            <w:tcMar>
              <w:top w:w="17" w:type="dxa"/>
              <w:left w:w="108" w:type="dxa"/>
              <w:bottom w:w="0" w:type="dxa"/>
              <w:right w:w="108" w:type="dxa"/>
            </w:tcMar>
            <w:vAlign w:val="center"/>
            <w:hideMark/>
          </w:tcPr>
          <w:p w:rsidR="000D2AD3" w:rsidRPr="00EE0705" w:rsidRDefault="000D2AD3" w:rsidP="00703E62">
            <w:pPr>
              <w:spacing w:after="0"/>
              <w:contextualSpacing/>
              <w:jc w:val="both"/>
              <w:rPr>
                <w:sz w:val="28"/>
              </w:rPr>
            </w:pPr>
            <w:r w:rsidRPr="00703E62">
              <w:rPr>
                <w:b/>
                <w:sz w:val="28"/>
                <w:lang w:val="en-CA"/>
              </w:rPr>
              <w:t xml:space="preserve">$0 </w:t>
            </w:r>
          </w:p>
        </w:tc>
      </w:tr>
    </w:tbl>
    <w:p w:rsidR="000D2AD3" w:rsidRPr="009E4562" w:rsidRDefault="009E4562" w:rsidP="0057434A">
      <w:pPr>
        <w:spacing w:after="0" w:line="240" w:lineRule="auto"/>
        <w:ind w:left="1890"/>
        <w:contextualSpacing/>
        <w:jc w:val="both"/>
        <w:rPr>
          <w:rFonts w:cs="Calibri"/>
          <w:sz w:val="18"/>
          <w:szCs w:val="18"/>
        </w:rPr>
      </w:pPr>
      <w:r w:rsidRPr="009E4562">
        <w:rPr>
          <w:rFonts w:cs="Calibri"/>
          <w:sz w:val="18"/>
          <w:szCs w:val="18"/>
        </w:rPr>
        <w:t xml:space="preserve">Source: Various  </w:t>
      </w:r>
    </w:p>
    <w:p w:rsidR="000D2AD3" w:rsidRPr="000D2AD3" w:rsidRDefault="000D2AD3" w:rsidP="00135363">
      <w:pPr>
        <w:spacing w:after="120"/>
        <w:jc w:val="both"/>
        <w:rPr>
          <w:rFonts w:cs="Calibri"/>
        </w:rPr>
      </w:pPr>
      <w:r>
        <w:rPr>
          <w:rFonts w:cs="Calibri"/>
        </w:rPr>
        <w:lastRenderedPageBreak/>
        <w:t>Alternatively, a $10 health improvement tax could be applied to all travelers entering Malawi by air. This tax could be automatically added to the cost of air tickets to Malawi. This $10 fee has the potential to generate US$8M in 2013-14 increasing to US$9M by 2020.</w:t>
      </w:r>
    </w:p>
    <w:p w:rsidR="000D2AD3" w:rsidRPr="00C11D59" w:rsidRDefault="00AA5468" w:rsidP="00A12622">
      <w:pPr>
        <w:pStyle w:val="Heading3"/>
      </w:pPr>
      <w:bookmarkStart w:id="1005" w:name="_Toc363225876"/>
      <w:r w:rsidRPr="00AA5468">
        <w:t>3.1.1</w:t>
      </w:r>
      <w:r w:rsidRPr="00AA5468">
        <w:tab/>
        <w:t>STRATEGIC INTERVENTIONS</w:t>
      </w:r>
      <w:bookmarkEnd w:id="1005"/>
    </w:p>
    <w:p w:rsidR="000D2AD3" w:rsidRPr="00281D20" w:rsidRDefault="000D2AD3" w:rsidP="00FB6B5B">
      <w:pPr>
        <w:jc w:val="both"/>
        <w:rPr>
          <w:lang w:eastAsia="x-none"/>
        </w:rPr>
      </w:pPr>
      <w:r>
        <w:rPr>
          <w:lang w:eastAsia="x-none"/>
        </w:rPr>
        <w:t xml:space="preserve">In order to move forward with </w:t>
      </w:r>
      <w:r w:rsidR="00A07A29">
        <w:rPr>
          <w:lang w:eastAsia="x-none"/>
        </w:rPr>
        <w:t>implementation,</w:t>
      </w:r>
      <w:r>
        <w:rPr>
          <w:lang w:eastAsia="x-none"/>
        </w:rPr>
        <w:t xml:space="preserve"> the Ministry of Health should</w:t>
      </w:r>
      <w:r w:rsidR="00A07A29">
        <w:rPr>
          <w:lang w:eastAsia="x-none"/>
        </w:rPr>
        <w:t>:</w:t>
      </w:r>
    </w:p>
    <w:p w:rsidR="000D2AD3" w:rsidRPr="002506D3" w:rsidRDefault="000D2AD3" w:rsidP="00564161">
      <w:pPr>
        <w:pStyle w:val="ListParagraph"/>
        <w:numPr>
          <w:ilvl w:val="0"/>
          <w:numId w:val="4"/>
        </w:numPr>
        <w:spacing w:after="120"/>
        <w:jc w:val="both"/>
        <w:rPr>
          <w:rFonts w:cs="Calibri"/>
        </w:rPr>
      </w:pPr>
      <w:r>
        <w:rPr>
          <w:rFonts w:cs="Calibri"/>
        </w:rPr>
        <w:t>Coordinate with the Ministry of Finance and Ministry of Tourism to investigate potential effects on tourism and assess the additional requirements necessary, if any, to collect additional fees.</w:t>
      </w:r>
    </w:p>
    <w:p w:rsidR="000D2AD3" w:rsidRDefault="000D2AD3" w:rsidP="00564161">
      <w:pPr>
        <w:pStyle w:val="ListParagraph"/>
        <w:numPr>
          <w:ilvl w:val="0"/>
          <w:numId w:val="4"/>
        </w:numPr>
        <w:spacing w:after="120"/>
        <w:jc w:val="both"/>
        <w:rPr>
          <w:rFonts w:cs="Calibri"/>
        </w:rPr>
      </w:pPr>
      <w:r>
        <w:rPr>
          <w:rFonts w:cs="Calibri"/>
        </w:rPr>
        <w:t>Develop</w:t>
      </w:r>
      <w:r w:rsidRPr="008E4777">
        <w:rPr>
          <w:rFonts w:cs="Calibri"/>
        </w:rPr>
        <w:t xml:space="preserve"> a communication strategy on the introduction of </w:t>
      </w:r>
      <w:r w:rsidRPr="003C2B6E">
        <w:rPr>
          <w:rFonts w:cs="Calibri"/>
        </w:rPr>
        <w:t>reciprocal visa fees</w:t>
      </w:r>
      <w:r w:rsidR="00615465">
        <w:rPr>
          <w:rFonts w:cs="Calibri"/>
        </w:rPr>
        <w:t>.</w:t>
      </w:r>
    </w:p>
    <w:p w:rsidR="000D2AD3" w:rsidRDefault="000D2AD3" w:rsidP="00564161">
      <w:pPr>
        <w:pStyle w:val="ListParagraph"/>
        <w:numPr>
          <w:ilvl w:val="0"/>
          <w:numId w:val="4"/>
        </w:numPr>
        <w:spacing w:after="120"/>
        <w:jc w:val="both"/>
        <w:rPr>
          <w:rFonts w:cs="Calibri"/>
        </w:rPr>
      </w:pPr>
      <w:r>
        <w:rPr>
          <w:rFonts w:cs="Calibri"/>
        </w:rPr>
        <w:t>Undertake</w:t>
      </w:r>
      <w:r w:rsidRPr="008E4777">
        <w:rPr>
          <w:rFonts w:cs="Calibri"/>
        </w:rPr>
        <w:t xml:space="preserve"> consultations with Ministry of Finance and Immigration Department on how to operationalize the visa fees</w:t>
      </w:r>
      <w:r w:rsidRPr="0050607C">
        <w:rPr>
          <w:rFonts w:cs="Calibri"/>
        </w:rPr>
        <w:t>.</w:t>
      </w:r>
    </w:p>
    <w:p w:rsidR="000D2AD3" w:rsidRDefault="000D2AD3" w:rsidP="001C7880">
      <w:pPr>
        <w:pStyle w:val="Heading2"/>
      </w:pPr>
    </w:p>
    <w:p w:rsidR="00B861E9" w:rsidRPr="00BD4A85" w:rsidRDefault="00AA5468" w:rsidP="001C7880">
      <w:pPr>
        <w:pStyle w:val="Heading2"/>
      </w:pPr>
      <w:bookmarkStart w:id="1006" w:name="_Toc363225877"/>
      <w:bookmarkStart w:id="1007" w:name="_Toc384911956"/>
      <w:r w:rsidRPr="00BD4A85">
        <w:t>3.</w:t>
      </w:r>
      <w:r>
        <w:t>2</w:t>
      </w:r>
      <w:r w:rsidRPr="00BD4A85">
        <w:tab/>
        <w:t xml:space="preserve">INSTITUTE </w:t>
      </w:r>
      <w:r>
        <w:t>A SIN TAX ON ALCOHOL AND CIGARETTE CONSUMPTION</w:t>
      </w:r>
      <w:bookmarkEnd w:id="1006"/>
      <w:bookmarkEnd w:id="1007"/>
    </w:p>
    <w:p w:rsidR="00B861E9" w:rsidRPr="00BD4A85" w:rsidRDefault="004D598F" w:rsidP="00B861E9">
      <w:pPr>
        <w:rPr>
          <w:lang w:eastAsia="en-GB"/>
        </w:rPr>
      </w:pPr>
      <w:r>
        <w:rPr>
          <w:rFonts w:cs="Calibri"/>
        </w:rPr>
        <w:pict>
          <v:rect id="_x0000_i1031" style="width:0;height:1.5pt" o:hralign="center" o:hrstd="t" o:hr="t" fillcolor="#a0a0a0" stroked="f"/>
        </w:pict>
      </w:r>
    </w:p>
    <w:p w:rsidR="004858E5" w:rsidRDefault="004858E5" w:rsidP="00F56EE9">
      <w:pPr>
        <w:jc w:val="both"/>
        <w:rPr>
          <w:rFonts w:cs="Calibri"/>
        </w:rPr>
      </w:pPr>
      <w:r>
        <w:rPr>
          <w:rFonts w:cs="Calibri"/>
        </w:rPr>
        <w:t xml:space="preserve">The </w:t>
      </w:r>
      <w:r w:rsidR="00B861E9" w:rsidRPr="00BD4A85">
        <w:rPr>
          <w:rFonts w:cs="Calibri"/>
        </w:rPr>
        <w:t>government</w:t>
      </w:r>
      <w:r w:rsidR="00B861E9">
        <w:rPr>
          <w:rFonts w:cs="Calibri"/>
        </w:rPr>
        <w:t xml:space="preserve"> of Malawi</w:t>
      </w:r>
      <w:r w:rsidR="00B861E9" w:rsidRPr="00BD4A85">
        <w:rPr>
          <w:rFonts w:cs="Calibri"/>
        </w:rPr>
        <w:t xml:space="preserve"> has </w:t>
      </w:r>
      <w:r w:rsidR="00B861E9">
        <w:rPr>
          <w:rFonts w:cs="Calibri"/>
        </w:rPr>
        <w:t>committed</w:t>
      </w:r>
      <w:r w:rsidR="00B861E9" w:rsidRPr="00BD4A85">
        <w:rPr>
          <w:rFonts w:cs="Calibri"/>
        </w:rPr>
        <w:t xml:space="preserve"> to mak</w:t>
      </w:r>
      <w:r w:rsidR="00B861E9">
        <w:rPr>
          <w:rFonts w:cs="Calibri"/>
        </w:rPr>
        <w:t>ing</w:t>
      </w:r>
      <w:r w:rsidR="00B861E9" w:rsidRPr="00BD4A85">
        <w:rPr>
          <w:rFonts w:cs="Calibri"/>
        </w:rPr>
        <w:t xml:space="preserve"> it a national priority to reduce alcohol and cigarette consumption due to their negative health impacts</w:t>
      </w:r>
      <w:r w:rsidR="00F647FB">
        <w:rPr>
          <w:rFonts w:cs="Calibri"/>
        </w:rPr>
        <w:t xml:space="preserve">, and taxes </w:t>
      </w:r>
      <w:r w:rsidR="00B861E9">
        <w:rPr>
          <w:rFonts w:cs="Calibri"/>
        </w:rPr>
        <w:t>on cigarettes and alcohol are known to be effective in reducing consumption.</w:t>
      </w:r>
      <w:r w:rsidR="00B861E9">
        <w:rPr>
          <w:rStyle w:val="FootnoteReference"/>
          <w:rFonts w:cs="Calibri"/>
        </w:rPr>
        <w:footnoteReference w:id="6"/>
      </w:r>
      <w:r w:rsidR="00BA123C">
        <w:rPr>
          <w:rFonts w:cs="Calibri"/>
        </w:rPr>
        <w:t xml:space="preserve"> </w:t>
      </w:r>
      <w:r>
        <w:rPr>
          <w:rFonts w:cs="Calibri"/>
        </w:rPr>
        <w:t>An excise</w:t>
      </w:r>
      <w:r w:rsidRPr="00BD4A85">
        <w:rPr>
          <w:rFonts w:cs="Calibri"/>
        </w:rPr>
        <w:t xml:space="preserve"> tax on tobacco and alcohol tha</w:t>
      </w:r>
      <w:r>
        <w:rPr>
          <w:rFonts w:cs="Calibri"/>
        </w:rPr>
        <w:t xml:space="preserve">t is earmarked for health has the potential to decrease tobacco and alcohol use, </w:t>
      </w:r>
    </w:p>
    <w:p w:rsidR="00F56EE9" w:rsidRDefault="004858E5" w:rsidP="00F56EE9">
      <w:pPr>
        <w:jc w:val="both"/>
        <w:rPr>
          <w:rFonts w:cs="Calibri"/>
        </w:rPr>
      </w:pPr>
      <w:r w:rsidRPr="00BD4A85">
        <w:rPr>
          <w:rFonts w:cs="Calibri"/>
        </w:rPr>
        <w:t xml:space="preserve">The excise tax for health will be either taken </w:t>
      </w:r>
      <w:r>
        <w:rPr>
          <w:rFonts w:cs="Calibri"/>
        </w:rPr>
        <w:t>as a portion of</w:t>
      </w:r>
      <w:r w:rsidRPr="00BD4A85">
        <w:rPr>
          <w:rFonts w:cs="Calibri"/>
        </w:rPr>
        <w:t xml:space="preserve"> the existing lev</w:t>
      </w:r>
      <w:r>
        <w:rPr>
          <w:rFonts w:cs="Calibri"/>
        </w:rPr>
        <w:t xml:space="preserve">ies </w:t>
      </w:r>
      <w:r w:rsidRPr="00BD4A85">
        <w:rPr>
          <w:rFonts w:cs="Calibri"/>
        </w:rPr>
        <w:t xml:space="preserve">on these products or it will be </w:t>
      </w:r>
      <w:r>
        <w:rPr>
          <w:rFonts w:cs="Calibri"/>
        </w:rPr>
        <w:t>in addition to current taxes which are currently set at 90% of the price of cigarettes and 100% of alcohol prices.</w:t>
      </w:r>
    </w:p>
    <w:p w:rsidR="00B861E9" w:rsidRDefault="00B861E9" w:rsidP="00B861E9">
      <w:pPr>
        <w:jc w:val="both"/>
        <w:rPr>
          <w:rFonts w:cs="Calibri"/>
        </w:rPr>
      </w:pPr>
      <w:r w:rsidRPr="00BD4A85">
        <w:rPr>
          <w:rFonts w:cs="Calibri"/>
        </w:rPr>
        <w:t xml:space="preserve">Introducing taxes on both </w:t>
      </w:r>
      <w:r>
        <w:rPr>
          <w:rFonts w:cs="Calibri"/>
        </w:rPr>
        <w:t xml:space="preserve">alcohol and cigarette consumption, </w:t>
      </w:r>
      <w:r w:rsidRPr="00BD4A85">
        <w:rPr>
          <w:rFonts w:cs="Calibri"/>
        </w:rPr>
        <w:t>if paired together</w:t>
      </w:r>
      <w:r>
        <w:rPr>
          <w:rFonts w:cs="Calibri"/>
        </w:rPr>
        <w:t>,</w:t>
      </w:r>
      <w:r w:rsidRPr="00BD4A85">
        <w:rPr>
          <w:rFonts w:cs="Calibri"/>
        </w:rPr>
        <w:t xml:space="preserve"> </w:t>
      </w:r>
      <w:r>
        <w:rPr>
          <w:rFonts w:cs="Calibri"/>
        </w:rPr>
        <w:t>could raise</w:t>
      </w:r>
      <w:r w:rsidRPr="00BD4A85">
        <w:rPr>
          <w:rFonts w:cs="Calibri"/>
        </w:rPr>
        <w:t xml:space="preserve"> additional revenue for the health sector. </w:t>
      </w:r>
      <w:r>
        <w:rPr>
          <w:rFonts w:cs="Calibri"/>
        </w:rPr>
        <w:t>A 10%</w:t>
      </w:r>
      <w:r w:rsidRPr="00BD4A85">
        <w:rPr>
          <w:rFonts w:cs="Calibri"/>
        </w:rPr>
        <w:t xml:space="preserve"> </w:t>
      </w:r>
      <w:r>
        <w:rPr>
          <w:rFonts w:cs="Calibri"/>
        </w:rPr>
        <w:t>excise tax</w:t>
      </w:r>
      <w:r w:rsidRPr="00BD4A85">
        <w:rPr>
          <w:rFonts w:cs="Calibri"/>
        </w:rPr>
        <w:t xml:space="preserve"> on </w:t>
      </w:r>
      <w:r>
        <w:rPr>
          <w:rFonts w:cs="Calibri"/>
        </w:rPr>
        <w:t>domestic and imported alcohol</w:t>
      </w:r>
      <w:r w:rsidRPr="00BD4A85">
        <w:rPr>
          <w:rFonts w:cs="Calibri"/>
        </w:rPr>
        <w:t xml:space="preserve"> could raise US$1.</w:t>
      </w:r>
      <w:r>
        <w:rPr>
          <w:rFonts w:cs="Calibri"/>
        </w:rPr>
        <w:t>7</w:t>
      </w:r>
      <w:r w:rsidRPr="00BD4A85">
        <w:rPr>
          <w:rFonts w:cs="Calibri"/>
        </w:rPr>
        <w:t xml:space="preserve"> million in 2013/14</w:t>
      </w:r>
      <w:r>
        <w:rPr>
          <w:rFonts w:cs="Calibri"/>
        </w:rPr>
        <w:t xml:space="preserve"> while a 30% tax could generate USD$3.4 million for health</w:t>
      </w:r>
      <w:r w:rsidRPr="00BD4A85">
        <w:rPr>
          <w:rFonts w:cs="Calibri"/>
        </w:rPr>
        <w:t xml:space="preserve">. By 2016/17, </w:t>
      </w:r>
      <w:r>
        <w:rPr>
          <w:rFonts w:cs="Calibri"/>
        </w:rPr>
        <w:t xml:space="preserve">raised 30% tax could generate US$6.4M </w:t>
      </w:r>
      <w:r w:rsidRPr="00BD4A85">
        <w:rPr>
          <w:rFonts w:cs="Calibri"/>
        </w:rPr>
        <w:t>and by 2020/21, this could reach a high of US$8.</w:t>
      </w:r>
      <w:r>
        <w:rPr>
          <w:rFonts w:cs="Calibri"/>
        </w:rPr>
        <w:t>8M</w:t>
      </w:r>
      <w:r w:rsidRPr="00BD4A85">
        <w:rPr>
          <w:rFonts w:cs="Calibri"/>
        </w:rPr>
        <w:t>.</w:t>
      </w:r>
    </w:p>
    <w:p w:rsidR="00B861E9" w:rsidRPr="00BD4A85" w:rsidRDefault="00B861E9" w:rsidP="00B861E9">
      <w:pPr>
        <w:jc w:val="both"/>
        <w:rPr>
          <w:rFonts w:cs="Calibri"/>
        </w:rPr>
      </w:pPr>
      <w:r w:rsidRPr="00BD4A85">
        <w:rPr>
          <w:rFonts w:cs="Calibri"/>
        </w:rPr>
        <w:t xml:space="preserve">If an excise </w:t>
      </w:r>
      <w:r w:rsidR="00BA123C">
        <w:rPr>
          <w:rFonts w:cs="Calibri"/>
        </w:rPr>
        <w:t>tax</w:t>
      </w:r>
      <w:r w:rsidR="00BA123C" w:rsidRPr="00BD4A85">
        <w:rPr>
          <w:rFonts w:cs="Calibri"/>
        </w:rPr>
        <w:t xml:space="preserve"> </w:t>
      </w:r>
      <w:r w:rsidRPr="00BD4A85">
        <w:rPr>
          <w:rFonts w:cs="Calibri"/>
        </w:rPr>
        <w:t xml:space="preserve">were applied </w:t>
      </w:r>
      <w:r>
        <w:rPr>
          <w:rFonts w:cs="Calibri"/>
        </w:rPr>
        <w:t>to</w:t>
      </w:r>
      <w:r w:rsidRPr="00BD4A85">
        <w:rPr>
          <w:rFonts w:cs="Calibri"/>
        </w:rPr>
        <w:t xml:space="preserve"> cigarette</w:t>
      </w:r>
      <w:r>
        <w:rPr>
          <w:rFonts w:cs="Calibri"/>
        </w:rPr>
        <w:t xml:space="preserve"> consumption</w:t>
      </w:r>
      <w:r w:rsidRPr="00BD4A85">
        <w:rPr>
          <w:rFonts w:cs="Calibri"/>
        </w:rPr>
        <w:t>, revenue potential ranges from US</w:t>
      </w:r>
      <w:r w:rsidR="00E73CC2">
        <w:rPr>
          <w:rFonts w:cs="Calibri"/>
        </w:rPr>
        <w:t>$</w:t>
      </w:r>
      <w:r w:rsidRPr="00BD4A85">
        <w:rPr>
          <w:rFonts w:cs="Calibri"/>
        </w:rPr>
        <w:t>3</w:t>
      </w:r>
      <w:r>
        <w:rPr>
          <w:rFonts w:cs="Calibri"/>
        </w:rPr>
        <w:t>.0</w:t>
      </w:r>
      <w:r w:rsidRPr="00BD4A85">
        <w:rPr>
          <w:rFonts w:cs="Calibri"/>
        </w:rPr>
        <w:t xml:space="preserve"> million in 2013-14</w:t>
      </w:r>
      <w:r>
        <w:rPr>
          <w:rFonts w:cs="Calibri"/>
        </w:rPr>
        <w:t xml:space="preserve"> (30% excise tax)</w:t>
      </w:r>
      <w:r w:rsidRPr="00BD4A85">
        <w:rPr>
          <w:rFonts w:cs="Calibri"/>
        </w:rPr>
        <w:t xml:space="preserve">. If sin taxes were applied on both cigarettes and alcohol in 2013-14, US$8 million could be raised for health.  </w:t>
      </w:r>
    </w:p>
    <w:p w:rsidR="00F56EE9" w:rsidRDefault="00F56EE9" w:rsidP="00B861E9">
      <w:pPr>
        <w:jc w:val="both"/>
        <w:rPr>
          <w:rFonts w:cs="Calibri"/>
        </w:rPr>
      </w:pPr>
    </w:p>
    <w:p w:rsidR="008A2145" w:rsidRDefault="008A2145" w:rsidP="00B861E9">
      <w:pPr>
        <w:jc w:val="both"/>
        <w:rPr>
          <w:rFonts w:cs="Calibri"/>
        </w:rPr>
      </w:pPr>
    </w:p>
    <w:p w:rsidR="00461E3D" w:rsidRDefault="00461E3D" w:rsidP="00B861E9">
      <w:pPr>
        <w:jc w:val="both"/>
        <w:rPr>
          <w:rFonts w:cs="Calibri"/>
        </w:rPr>
      </w:pPr>
    </w:p>
    <w:p w:rsidR="00461E3D" w:rsidRDefault="00461E3D" w:rsidP="00B861E9">
      <w:pPr>
        <w:jc w:val="both"/>
        <w:rPr>
          <w:rFonts w:cs="Calibri"/>
        </w:rPr>
      </w:pPr>
    </w:p>
    <w:p w:rsidR="008A2145" w:rsidRPr="008A2145" w:rsidRDefault="008A2145" w:rsidP="008A2145">
      <w:pPr>
        <w:pStyle w:val="Caption"/>
        <w:ind w:firstLine="720"/>
        <w:rPr>
          <w:rFonts w:cs="Calibri"/>
          <w:sz w:val="22"/>
          <w:szCs w:val="22"/>
        </w:rPr>
      </w:pPr>
      <w:bookmarkStart w:id="1008" w:name="_Toc384908039"/>
      <w:r w:rsidRPr="008A2145">
        <w:rPr>
          <w:sz w:val="22"/>
          <w:szCs w:val="22"/>
        </w:rPr>
        <w:t xml:space="preserve">Figure </w:t>
      </w:r>
      <w:r w:rsidRPr="008A2145">
        <w:rPr>
          <w:sz w:val="22"/>
          <w:szCs w:val="22"/>
        </w:rPr>
        <w:fldChar w:fldCharType="begin"/>
      </w:r>
      <w:r w:rsidRPr="008A2145">
        <w:rPr>
          <w:sz w:val="22"/>
          <w:szCs w:val="22"/>
        </w:rPr>
        <w:instrText xml:space="preserve"> SEQ Figure \* ARABIC </w:instrText>
      </w:r>
      <w:r w:rsidRPr="008A2145">
        <w:rPr>
          <w:sz w:val="22"/>
          <w:szCs w:val="22"/>
        </w:rPr>
        <w:fldChar w:fldCharType="separate"/>
      </w:r>
      <w:r w:rsidR="00381BCB">
        <w:rPr>
          <w:noProof/>
          <w:sz w:val="22"/>
          <w:szCs w:val="22"/>
        </w:rPr>
        <w:t>3</w:t>
      </w:r>
      <w:r w:rsidRPr="008A2145">
        <w:rPr>
          <w:sz w:val="22"/>
          <w:szCs w:val="22"/>
        </w:rPr>
        <w:fldChar w:fldCharType="end"/>
      </w:r>
      <w:r w:rsidRPr="008A2145">
        <w:rPr>
          <w:sz w:val="22"/>
          <w:szCs w:val="22"/>
        </w:rPr>
        <w:t>: Revenue Generated from Alcohol Level</w:t>
      </w:r>
      <w:bookmarkEnd w:id="1008"/>
    </w:p>
    <w:p w:rsidR="00B861E9" w:rsidRDefault="00B45ED6" w:rsidP="00C11D59">
      <w:pPr>
        <w:jc w:val="center"/>
        <w:rPr>
          <w:rFonts w:cs="Calibri"/>
        </w:rPr>
      </w:pPr>
      <w:r w:rsidRPr="00C11D59">
        <w:rPr>
          <w:rFonts w:cs="Calibri"/>
          <w:noProof/>
        </w:rPr>
        <w:drawing>
          <wp:inline distT="0" distB="0" distL="0" distR="0" wp14:anchorId="6E9F6314" wp14:editId="73A8E3BC">
            <wp:extent cx="4847590" cy="2736850"/>
            <wp:effectExtent l="0" t="0" r="10160" b="6350"/>
            <wp:docPr id="8"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E41D5" w:rsidRPr="00A51753" w:rsidRDefault="00146927" w:rsidP="008A2145">
      <w:pPr>
        <w:pStyle w:val="Caption"/>
        <w:ind w:firstLine="720"/>
        <w:rPr>
          <w:b w:val="0"/>
          <w:color w:val="auto"/>
        </w:rPr>
      </w:pPr>
      <w:r>
        <w:rPr>
          <w:b w:val="0"/>
          <w:color w:val="auto"/>
        </w:rPr>
        <w:t xml:space="preserve">     </w:t>
      </w:r>
      <w:r w:rsidR="00135363" w:rsidRPr="00A51753">
        <w:rPr>
          <w:b w:val="0"/>
          <w:color w:val="auto"/>
        </w:rPr>
        <w:t>Source: Health Financing Drafting Team own estimation</w:t>
      </w:r>
    </w:p>
    <w:p w:rsidR="00EE41D5" w:rsidRDefault="00EE41D5" w:rsidP="008A2145">
      <w:pPr>
        <w:pStyle w:val="Caption"/>
        <w:ind w:firstLine="720"/>
        <w:rPr>
          <w:sz w:val="22"/>
          <w:szCs w:val="22"/>
        </w:rPr>
      </w:pPr>
    </w:p>
    <w:p w:rsidR="00B861E9" w:rsidRPr="008A2145" w:rsidRDefault="008A2145" w:rsidP="008A2145">
      <w:pPr>
        <w:pStyle w:val="Caption"/>
        <w:ind w:firstLine="720"/>
        <w:rPr>
          <w:rFonts w:cs="Calibri"/>
          <w:sz w:val="22"/>
          <w:szCs w:val="22"/>
        </w:rPr>
      </w:pPr>
      <w:bookmarkStart w:id="1009" w:name="_Toc384908040"/>
      <w:r w:rsidRPr="008A2145">
        <w:rPr>
          <w:sz w:val="22"/>
          <w:szCs w:val="22"/>
        </w:rPr>
        <w:t xml:space="preserve">Figure </w:t>
      </w:r>
      <w:r w:rsidRPr="008A2145">
        <w:rPr>
          <w:sz w:val="22"/>
          <w:szCs w:val="22"/>
        </w:rPr>
        <w:fldChar w:fldCharType="begin"/>
      </w:r>
      <w:r w:rsidRPr="008A2145">
        <w:rPr>
          <w:sz w:val="22"/>
          <w:szCs w:val="22"/>
        </w:rPr>
        <w:instrText xml:space="preserve"> SEQ Figure \* ARABIC </w:instrText>
      </w:r>
      <w:r w:rsidRPr="008A2145">
        <w:rPr>
          <w:sz w:val="22"/>
          <w:szCs w:val="22"/>
        </w:rPr>
        <w:fldChar w:fldCharType="separate"/>
      </w:r>
      <w:r w:rsidR="00381BCB">
        <w:rPr>
          <w:noProof/>
          <w:sz w:val="22"/>
          <w:szCs w:val="22"/>
        </w:rPr>
        <w:t>4</w:t>
      </w:r>
      <w:r w:rsidRPr="008A2145">
        <w:rPr>
          <w:sz w:val="22"/>
          <w:szCs w:val="22"/>
        </w:rPr>
        <w:fldChar w:fldCharType="end"/>
      </w:r>
      <w:r w:rsidRPr="008A2145">
        <w:rPr>
          <w:sz w:val="22"/>
          <w:szCs w:val="22"/>
        </w:rPr>
        <w:t>: Revenue Generated from Cigarette Levy</w:t>
      </w:r>
      <w:bookmarkEnd w:id="1009"/>
    </w:p>
    <w:p w:rsidR="00B861E9" w:rsidRDefault="00B45ED6" w:rsidP="00C11D59">
      <w:pPr>
        <w:jc w:val="center"/>
        <w:rPr>
          <w:rFonts w:cs="Calibri"/>
        </w:rPr>
      </w:pPr>
      <w:r w:rsidRPr="00C11D59">
        <w:rPr>
          <w:rFonts w:cs="Calibri"/>
          <w:noProof/>
        </w:rPr>
        <w:drawing>
          <wp:inline distT="0" distB="0" distL="0" distR="0" wp14:anchorId="31358BAC" wp14:editId="6E3C205F">
            <wp:extent cx="4846320" cy="2746375"/>
            <wp:effectExtent l="0" t="0" r="11430" b="15875"/>
            <wp:docPr id="9"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861E9" w:rsidRDefault="00135363" w:rsidP="0025162C">
      <w:pPr>
        <w:pStyle w:val="Caption"/>
        <w:ind w:firstLine="720"/>
        <w:rPr>
          <w:b w:val="0"/>
          <w:color w:val="auto"/>
        </w:rPr>
      </w:pPr>
      <w:r w:rsidRPr="00135363">
        <w:rPr>
          <w:rFonts w:cs="Calibri"/>
        </w:rPr>
        <w:tab/>
      </w:r>
      <w:r w:rsidRPr="00A51753">
        <w:rPr>
          <w:b w:val="0"/>
          <w:color w:val="auto"/>
        </w:rPr>
        <w:t>Source: Health Financi</w:t>
      </w:r>
      <w:r w:rsidR="0025162C">
        <w:rPr>
          <w:b w:val="0"/>
          <w:color w:val="auto"/>
        </w:rPr>
        <w:t>ng Drafting Team own estimation</w:t>
      </w:r>
    </w:p>
    <w:p w:rsidR="00014F20" w:rsidRDefault="00014F20" w:rsidP="00014F20"/>
    <w:p w:rsidR="00014F20" w:rsidRPr="00014F20" w:rsidRDefault="00014F20" w:rsidP="00014F20"/>
    <w:p w:rsidR="00B861E9" w:rsidRPr="00BD4A85" w:rsidRDefault="00773329" w:rsidP="00A12622">
      <w:pPr>
        <w:pStyle w:val="Heading3"/>
      </w:pPr>
      <w:bookmarkStart w:id="1010" w:name="_Toc363225878"/>
      <w:r w:rsidRPr="00BD4A85">
        <w:lastRenderedPageBreak/>
        <w:t>3.</w:t>
      </w:r>
      <w:r>
        <w:t>2</w:t>
      </w:r>
      <w:r w:rsidRPr="00BD4A85">
        <w:t>.1</w:t>
      </w:r>
      <w:r w:rsidRPr="00BD4A85">
        <w:tab/>
        <w:t>STRATEGIC INTERVENTIONS</w:t>
      </w:r>
      <w:bookmarkEnd w:id="1010"/>
    </w:p>
    <w:p w:rsidR="00B861E9" w:rsidRPr="00BD4A85" w:rsidRDefault="00461E3D" w:rsidP="00FB6B5B">
      <w:pPr>
        <w:jc w:val="both"/>
        <w:rPr>
          <w:rFonts w:cs="Calibri"/>
        </w:rPr>
      </w:pPr>
      <w:r>
        <w:rPr>
          <w:rFonts w:cs="Calibri"/>
        </w:rPr>
        <w:t>I</w:t>
      </w:r>
      <w:r w:rsidR="00B861E9" w:rsidRPr="00BD4A85">
        <w:rPr>
          <w:rFonts w:cs="Calibri"/>
        </w:rPr>
        <w:t xml:space="preserve">n order to implement this strategy, </w:t>
      </w:r>
      <w:r w:rsidR="00C14C32">
        <w:rPr>
          <w:rFonts w:cs="Calibri"/>
        </w:rPr>
        <w:t>the following actions should be taken by the Ministry of Health:</w:t>
      </w:r>
    </w:p>
    <w:p w:rsidR="00C14C32" w:rsidRDefault="00C14C32" w:rsidP="00564161">
      <w:pPr>
        <w:pStyle w:val="ListParagraph"/>
        <w:numPr>
          <w:ilvl w:val="0"/>
          <w:numId w:val="4"/>
        </w:numPr>
        <w:spacing w:after="120"/>
        <w:jc w:val="both"/>
        <w:rPr>
          <w:rFonts w:cs="Calibri"/>
        </w:rPr>
      </w:pPr>
      <w:r>
        <w:rPr>
          <w:rFonts w:cs="Calibri"/>
        </w:rPr>
        <w:t>Coordinate with the Ministry of Finance and assess the current political environment to determine the appropriate tax percentage to propose and decide whether the health levy will be taken as a portion of current sin taxes or added on in addition to taxes already in place</w:t>
      </w:r>
      <w:r w:rsidR="0026120D">
        <w:rPr>
          <w:rFonts w:cs="Calibri"/>
        </w:rPr>
        <w:t>.</w:t>
      </w:r>
    </w:p>
    <w:p w:rsidR="00B861E9" w:rsidRPr="00386AA5" w:rsidRDefault="00C14C32" w:rsidP="00564161">
      <w:pPr>
        <w:pStyle w:val="ListParagraph"/>
        <w:numPr>
          <w:ilvl w:val="0"/>
          <w:numId w:val="4"/>
        </w:numPr>
        <w:spacing w:after="120"/>
        <w:jc w:val="both"/>
        <w:rPr>
          <w:rFonts w:cs="Calibri"/>
        </w:rPr>
      </w:pPr>
      <w:r>
        <w:rPr>
          <w:rFonts w:cs="Calibri"/>
        </w:rPr>
        <w:t xml:space="preserve">Draft a cabinet paper and </w:t>
      </w:r>
      <w:r w:rsidRPr="00BD4A85">
        <w:rPr>
          <w:rFonts w:cs="Calibri"/>
        </w:rPr>
        <w:t xml:space="preserve">seek cabinet approval for the introduction of </w:t>
      </w:r>
      <w:r>
        <w:rPr>
          <w:rFonts w:cs="Calibri"/>
        </w:rPr>
        <w:t>a</w:t>
      </w:r>
      <w:r w:rsidRPr="00BD4A85">
        <w:rPr>
          <w:rFonts w:cs="Calibri"/>
        </w:rPr>
        <w:t xml:space="preserve"> health ex</w:t>
      </w:r>
      <w:r>
        <w:rPr>
          <w:rFonts w:cs="Calibri"/>
        </w:rPr>
        <w:t>c</w:t>
      </w:r>
      <w:r w:rsidRPr="00BD4A85">
        <w:rPr>
          <w:rFonts w:cs="Calibri"/>
        </w:rPr>
        <w:t>ise levy on alcohol and tobacco</w:t>
      </w:r>
      <w:r w:rsidR="0026120D">
        <w:rPr>
          <w:rFonts w:cs="Calibri"/>
        </w:rPr>
        <w:t>.</w:t>
      </w:r>
    </w:p>
    <w:p w:rsidR="00B861E9" w:rsidRPr="00BD4A85" w:rsidRDefault="00C14C32" w:rsidP="00564161">
      <w:pPr>
        <w:pStyle w:val="ListParagraph"/>
        <w:numPr>
          <w:ilvl w:val="0"/>
          <w:numId w:val="4"/>
        </w:numPr>
        <w:spacing w:after="120"/>
        <w:jc w:val="both"/>
        <w:rPr>
          <w:rFonts w:cs="Calibri"/>
        </w:rPr>
      </w:pPr>
      <w:r>
        <w:rPr>
          <w:rFonts w:cs="Calibri"/>
        </w:rPr>
        <w:t>Undertake</w:t>
      </w:r>
      <w:r w:rsidR="00B861E9" w:rsidRPr="00BD4A85">
        <w:rPr>
          <w:rFonts w:cs="Calibri"/>
        </w:rPr>
        <w:t xml:space="preserve"> consultations with tobacco </w:t>
      </w:r>
      <w:r w:rsidR="00EE6BAB" w:rsidRPr="00BD4A85">
        <w:rPr>
          <w:rFonts w:cs="Calibri"/>
        </w:rPr>
        <w:t>com</w:t>
      </w:r>
      <w:r w:rsidR="00EE6BAB">
        <w:rPr>
          <w:rFonts w:cs="Calibri"/>
        </w:rPr>
        <w:t>pa</w:t>
      </w:r>
      <w:r w:rsidR="00EE6BAB" w:rsidRPr="00BD4A85">
        <w:rPr>
          <w:rFonts w:cs="Calibri"/>
        </w:rPr>
        <w:t>nies</w:t>
      </w:r>
      <w:r w:rsidR="00B861E9">
        <w:rPr>
          <w:rFonts w:cs="Calibri"/>
        </w:rPr>
        <w:t xml:space="preserve"> to understand the potential economic effects of the proposed excise tax</w:t>
      </w:r>
      <w:r w:rsidR="0026120D">
        <w:rPr>
          <w:rFonts w:cs="Calibri"/>
        </w:rPr>
        <w:t>.</w:t>
      </w:r>
    </w:p>
    <w:p w:rsidR="00B861E9" w:rsidRPr="0025162C" w:rsidRDefault="00B861E9" w:rsidP="00564161">
      <w:pPr>
        <w:pStyle w:val="ListParagraph"/>
        <w:numPr>
          <w:ilvl w:val="0"/>
          <w:numId w:val="4"/>
        </w:numPr>
        <w:spacing w:after="120"/>
        <w:jc w:val="both"/>
        <w:rPr>
          <w:rFonts w:cs="Calibri"/>
        </w:rPr>
      </w:pPr>
      <w:r w:rsidRPr="00BD4A85">
        <w:rPr>
          <w:rFonts w:cs="Calibri"/>
        </w:rPr>
        <w:t xml:space="preserve">The MoH </w:t>
      </w:r>
      <w:r w:rsidR="0026120D">
        <w:rPr>
          <w:rFonts w:cs="Calibri"/>
        </w:rPr>
        <w:t>should</w:t>
      </w:r>
      <w:r w:rsidRPr="00BD4A85">
        <w:rPr>
          <w:rFonts w:cs="Calibri"/>
        </w:rPr>
        <w:t xml:space="preserve"> undertake sensitization of the general public on the introduction of the health levy on tobacco and alcohol</w:t>
      </w:r>
      <w:r>
        <w:rPr>
          <w:rFonts w:cs="Calibri"/>
        </w:rPr>
        <w:t xml:space="preserve"> consumption</w:t>
      </w:r>
      <w:r w:rsidR="0026120D">
        <w:rPr>
          <w:rFonts w:cs="Calibri"/>
        </w:rPr>
        <w:t>.</w:t>
      </w:r>
    </w:p>
    <w:p w:rsidR="00B861E9" w:rsidRPr="00BD4A85" w:rsidRDefault="00773329" w:rsidP="001C7880">
      <w:pPr>
        <w:pStyle w:val="Heading2"/>
      </w:pPr>
      <w:bookmarkStart w:id="1011" w:name="_Toc363225879"/>
      <w:bookmarkStart w:id="1012" w:name="_Toc384911957"/>
      <w:r w:rsidRPr="00BD4A85">
        <w:t>3.</w:t>
      </w:r>
      <w:r>
        <w:t>3</w:t>
      </w:r>
      <w:r w:rsidRPr="00BD4A85">
        <w:tab/>
        <w:t xml:space="preserve">INTRODUCE </w:t>
      </w:r>
      <w:r>
        <w:t>A F</w:t>
      </w:r>
      <w:r w:rsidRPr="00BD4A85">
        <w:t>UEL</w:t>
      </w:r>
      <w:r>
        <w:t xml:space="preserve"> LEVY FOR HEALTH</w:t>
      </w:r>
      <w:bookmarkEnd w:id="1011"/>
      <w:bookmarkEnd w:id="1012"/>
    </w:p>
    <w:p w:rsidR="00B861E9" w:rsidRPr="00BD4A85" w:rsidRDefault="004D598F" w:rsidP="00FB6B5B">
      <w:pPr>
        <w:jc w:val="both"/>
        <w:rPr>
          <w:lang w:eastAsia="en-GB"/>
        </w:rPr>
      </w:pPr>
      <w:r>
        <w:rPr>
          <w:rFonts w:cs="Calibri"/>
        </w:rPr>
        <w:pict>
          <v:rect id="_x0000_i1032" style="width:0;height:1.5pt" o:hralign="center" o:hrstd="t" o:hr="t" fillcolor="#a0a0a0" stroked="f"/>
        </w:pict>
      </w:r>
    </w:p>
    <w:p w:rsidR="00146927" w:rsidRDefault="00B861E9" w:rsidP="00FB6B5B">
      <w:pPr>
        <w:jc w:val="both"/>
        <w:rPr>
          <w:rFonts w:cs="Calibri"/>
        </w:rPr>
      </w:pPr>
      <w:r w:rsidRPr="00BD4A85">
        <w:rPr>
          <w:rFonts w:cs="Calibri"/>
        </w:rPr>
        <w:t xml:space="preserve">The current </w:t>
      </w:r>
      <w:r w:rsidR="00E25E1C">
        <w:rPr>
          <w:rFonts w:cs="Calibri"/>
        </w:rPr>
        <w:t>structuring of fuel levies</w:t>
      </w:r>
      <w:r w:rsidRPr="00BD4A85">
        <w:rPr>
          <w:rFonts w:cs="Calibri"/>
        </w:rPr>
        <w:t xml:space="preserve"> could likely accommodate sharing of a levy as opposed to introducing an additional level to avoid reduction in demand for fuel. Instituting a 5% hea</w:t>
      </w:r>
      <w:r w:rsidR="00BA2D4B">
        <w:rPr>
          <w:rFonts w:cs="Calibri"/>
        </w:rPr>
        <w:t>l</w:t>
      </w:r>
      <w:r w:rsidRPr="00BD4A85">
        <w:rPr>
          <w:rFonts w:cs="Calibri"/>
        </w:rPr>
        <w:t xml:space="preserve">th levy for every liter of petrol, diesel and paraffin purchased, would raise US$40 million in 2012/13.  An estimated 59% of this revenue would come from diesel, 35% from petrol and 6% from paraffin. </w:t>
      </w:r>
      <w:r w:rsidRPr="00BD4A85">
        <w:t>The objective is</w:t>
      </w:r>
      <w:r w:rsidR="00BA2D4B">
        <w:t xml:space="preserve"> </w:t>
      </w:r>
      <w:r w:rsidRPr="00BD4A85">
        <w:t>increased sustainable source of funding for the health sector through introduc</w:t>
      </w:r>
      <w:r w:rsidR="00BA2D4B">
        <w:t>ing</w:t>
      </w:r>
      <w:r w:rsidRPr="00BD4A85">
        <w:t xml:space="preserve"> a fuel levy earmarked for health</w:t>
      </w:r>
      <w:r w:rsidRPr="00BD4A85">
        <w:rPr>
          <w:rFonts w:cs="Calibri"/>
        </w:rPr>
        <w:t>.</w:t>
      </w:r>
    </w:p>
    <w:p w:rsidR="008A2145" w:rsidRPr="008A2145" w:rsidRDefault="008A2145" w:rsidP="008A2145">
      <w:pPr>
        <w:pStyle w:val="Caption"/>
        <w:ind w:left="720" w:firstLine="720"/>
        <w:rPr>
          <w:rFonts w:cs="Calibri"/>
          <w:sz w:val="22"/>
          <w:szCs w:val="22"/>
        </w:rPr>
      </w:pPr>
      <w:bookmarkStart w:id="1013" w:name="_Toc384829403"/>
      <w:r w:rsidRPr="008A2145">
        <w:rPr>
          <w:sz w:val="22"/>
          <w:szCs w:val="22"/>
        </w:rPr>
        <w:t xml:space="preserve">Table </w:t>
      </w:r>
      <w:r w:rsidRPr="008A2145">
        <w:rPr>
          <w:sz w:val="22"/>
          <w:szCs w:val="22"/>
        </w:rPr>
        <w:fldChar w:fldCharType="begin"/>
      </w:r>
      <w:r w:rsidRPr="008A2145">
        <w:rPr>
          <w:sz w:val="22"/>
          <w:szCs w:val="22"/>
        </w:rPr>
        <w:instrText xml:space="preserve"> SEQ Table \* ARABIC </w:instrText>
      </w:r>
      <w:r w:rsidRPr="008A2145">
        <w:rPr>
          <w:sz w:val="22"/>
          <w:szCs w:val="22"/>
        </w:rPr>
        <w:fldChar w:fldCharType="separate"/>
      </w:r>
      <w:r w:rsidR="00381BCB">
        <w:rPr>
          <w:noProof/>
          <w:sz w:val="22"/>
          <w:szCs w:val="22"/>
        </w:rPr>
        <w:t>2</w:t>
      </w:r>
      <w:r w:rsidRPr="008A2145">
        <w:rPr>
          <w:sz w:val="22"/>
          <w:szCs w:val="22"/>
        </w:rPr>
        <w:fldChar w:fldCharType="end"/>
      </w:r>
      <w:r w:rsidRPr="008A2145">
        <w:rPr>
          <w:sz w:val="22"/>
          <w:szCs w:val="22"/>
        </w:rPr>
        <w:t>: Fuel Levies Structure as at July, 2013</w:t>
      </w:r>
      <w:bookmarkEnd w:id="1013"/>
    </w:p>
    <w:tbl>
      <w:tblPr>
        <w:tblW w:w="5880" w:type="dxa"/>
        <w:jc w:val="center"/>
        <w:tblCellMar>
          <w:left w:w="0" w:type="dxa"/>
          <w:right w:w="0" w:type="dxa"/>
        </w:tblCellMar>
        <w:tblLook w:val="04A0" w:firstRow="1" w:lastRow="0" w:firstColumn="1" w:lastColumn="0" w:noHBand="0" w:noVBand="1"/>
      </w:tblPr>
      <w:tblGrid>
        <w:gridCol w:w="2328"/>
        <w:gridCol w:w="1184"/>
        <w:gridCol w:w="1184"/>
        <w:gridCol w:w="1184"/>
      </w:tblGrid>
      <w:tr w:rsidR="0054257B" w:rsidRPr="00CA5202" w:rsidTr="001A33B9">
        <w:trPr>
          <w:trHeight w:val="916"/>
          <w:jc w:val="center"/>
        </w:trPr>
        <w:tc>
          <w:tcPr>
            <w:tcW w:w="2328" w:type="dxa"/>
            <w:tcBorders>
              <w:top w:val="single" w:sz="8" w:space="0" w:color="000000"/>
              <w:left w:val="single" w:sz="8" w:space="0" w:color="000000"/>
              <w:bottom w:val="single" w:sz="8" w:space="0" w:color="000000"/>
              <w:right w:val="single" w:sz="8" w:space="0" w:color="000000"/>
            </w:tcBorders>
            <w:shd w:val="clear" w:color="auto" w:fill="DCE6F1"/>
            <w:tcMar>
              <w:top w:w="17" w:type="dxa"/>
              <w:left w:w="108" w:type="dxa"/>
              <w:bottom w:w="0" w:type="dxa"/>
              <w:right w:w="108" w:type="dxa"/>
            </w:tcMar>
            <w:vAlign w:val="center"/>
            <w:hideMark/>
          </w:tcPr>
          <w:p w:rsidR="0054257B" w:rsidRPr="00CA5202" w:rsidRDefault="0054257B" w:rsidP="001A33B9">
            <w:pPr>
              <w:rPr>
                <w:rFonts w:cs="Calibri"/>
              </w:rPr>
            </w:pPr>
            <w:r w:rsidRPr="00CA5202">
              <w:rPr>
                <w:rFonts w:cs="Calibri"/>
                <w:b/>
                <w:bCs/>
              </w:rPr>
              <w:t>Levy Type</w:t>
            </w:r>
            <w:r w:rsidRPr="00CA5202">
              <w:rPr>
                <w:rFonts w:cs="Calibri"/>
                <w:lang w:val="en-CA"/>
              </w:rPr>
              <w:t xml:space="preserve"> </w:t>
            </w:r>
          </w:p>
        </w:tc>
        <w:tc>
          <w:tcPr>
            <w:tcW w:w="1184" w:type="dxa"/>
            <w:tcBorders>
              <w:top w:val="single" w:sz="8" w:space="0" w:color="000000"/>
              <w:left w:val="single" w:sz="8" w:space="0" w:color="000000"/>
              <w:bottom w:val="single" w:sz="8" w:space="0" w:color="000000"/>
              <w:right w:val="single" w:sz="8" w:space="0" w:color="000000"/>
            </w:tcBorders>
            <w:shd w:val="clear" w:color="auto" w:fill="DCE6F1"/>
            <w:tcMar>
              <w:top w:w="17" w:type="dxa"/>
              <w:left w:w="108" w:type="dxa"/>
              <w:bottom w:w="0" w:type="dxa"/>
              <w:right w:w="108" w:type="dxa"/>
            </w:tcMar>
            <w:vAlign w:val="center"/>
            <w:hideMark/>
          </w:tcPr>
          <w:p w:rsidR="0054257B" w:rsidRPr="00CA5202" w:rsidRDefault="0054257B" w:rsidP="001A33B9">
            <w:pPr>
              <w:rPr>
                <w:rFonts w:cs="Calibri"/>
              </w:rPr>
            </w:pPr>
            <w:r w:rsidRPr="00CA5202">
              <w:rPr>
                <w:rFonts w:cs="Calibri"/>
                <w:b/>
                <w:bCs/>
              </w:rPr>
              <w:t>Petrol</w:t>
            </w:r>
            <w:r w:rsidRPr="00CA5202">
              <w:rPr>
                <w:rFonts w:cs="Calibri"/>
                <w:lang w:val="en-CA"/>
              </w:rPr>
              <w:t xml:space="preserve"> </w:t>
            </w:r>
          </w:p>
        </w:tc>
        <w:tc>
          <w:tcPr>
            <w:tcW w:w="1184" w:type="dxa"/>
            <w:tcBorders>
              <w:top w:val="single" w:sz="8" w:space="0" w:color="000000"/>
              <w:left w:val="single" w:sz="8" w:space="0" w:color="000000"/>
              <w:bottom w:val="single" w:sz="8" w:space="0" w:color="000000"/>
              <w:right w:val="single" w:sz="8" w:space="0" w:color="000000"/>
            </w:tcBorders>
            <w:shd w:val="clear" w:color="auto" w:fill="DCE6F1"/>
            <w:tcMar>
              <w:top w:w="17" w:type="dxa"/>
              <w:left w:w="108" w:type="dxa"/>
              <w:bottom w:w="0" w:type="dxa"/>
              <w:right w:w="108" w:type="dxa"/>
            </w:tcMar>
            <w:vAlign w:val="center"/>
            <w:hideMark/>
          </w:tcPr>
          <w:p w:rsidR="0054257B" w:rsidRPr="00CA5202" w:rsidRDefault="0054257B" w:rsidP="001A33B9">
            <w:pPr>
              <w:rPr>
                <w:rFonts w:cs="Calibri"/>
              </w:rPr>
            </w:pPr>
            <w:r w:rsidRPr="00CA5202">
              <w:rPr>
                <w:rFonts w:cs="Calibri"/>
                <w:b/>
                <w:bCs/>
              </w:rPr>
              <w:t>Diesel</w:t>
            </w:r>
            <w:r w:rsidRPr="00CA5202">
              <w:rPr>
                <w:rFonts w:cs="Calibri"/>
                <w:lang w:val="en-CA"/>
              </w:rPr>
              <w:t xml:space="preserve"> </w:t>
            </w:r>
          </w:p>
        </w:tc>
        <w:tc>
          <w:tcPr>
            <w:tcW w:w="1184" w:type="dxa"/>
            <w:tcBorders>
              <w:top w:val="single" w:sz="8" w:space="0" w:color="000000"/>
              <w:left w:val="single" w:sz="8" w:space="0" w:color="000000"/>
              <w:bottom w:val="single" w:sz="8" w:space="0" w:color="000000"/>
              <w:right w:val="single" w:sz="8" w:space="0" w:color="000000"/>
            </w:tcBorders>
            <w:shd w:val="clear" w:color="auto" w:fill="DCE6F1"/>
            <w:tcMar>
              <w:top w:w="17" w:type="dxa"/>
              <w:left w:w="108" w:type="dxa"/>
              <w:bottom w:w="0" w:type="dxa"/>
              <w:right w:w="108" w:type="dxa"/>
            </w:tcMar>
            <w:vAlign w:val="center"/>
            <w:hideMark/>
          </w:tcPr>
          <w:p w:rsidR="0054257B" w:rsidRPr="00CA5202" w:rsidRDefault="0054257B" w:rsidP="001A33B9">
            <w:pPr>
              <w:rPr>
                <w:rFonts w:cs="Calibri"/>
              </w:rPr>
            </w:pPr>
            <w:r w:rsidRPr="00CA5202">
              <w:rPr>
                <w:rFonts w:cs="Calibri"/>
                <w:b/>
                <w:bCs/>
              </w:rPr>
              <w:t xml:space="preserve">Paraffin </w:t>
            </w:r>
          </w:p>
        </w:tc>
      </w:tr>
      <w:tr w:rsidR="0054257B" w:rsidRPr="00CA5202" w:rsidTr="007A0FD3">
        <w:trPr>
          <w:trHeight w:val="449"/>
          <w:jc w:val="center"/>
        </w:trPr>
        <w:tc>
          <w:tcPr>
            <w:tcW w:w="2328"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54257B" w:rsidRPr="00CA5202" w:rsidRDefault="0054257B" w:rsidP="001A33B9">
            <w:pPr>
              <w:rPr>
                <w:rFonts w:cs="Calibri"/>
              </w:rPr>
            </w:pPr>
            <w:r w:rsidRPr="00CA5202">
              <w:rPr>
                <w:rFonts w:cs="Calibri"/>
              </w:rPr>
              <w:t>Energy Regulatory levy</w:t>
            </w:r>
            <w:r w:rsidRPr="00CA5202">
              <w:rPr>
                <w:rFonts w:cs="Calibri"/>
                <w:lang w:val="en-CA"/>
              </w:rPr>
              <w:t xml:space="preserve"> </w:t>
            </w:r>
          </w:p>
        </w:tc>
        <w:tc>
          <w:tcPr>
            <w:tcW w:w="118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54257B" w:rsidRPr="00CA5202" w:rsidRDefault="0054257B" w:rsidP="001A33B9">
            <w:pPr>
              <w:rPr>
                <w:rFonts w:cs="Calibri"/>
              </w:rPr>
            </w:pPr>
            <w:r>
              <w:rPr>
                <w:rFonts w:cs="Calibri"/>
              </w:rPr>
              <w:t>0.59</w:t>
            </w:r>
            <w:r w:rsidRPr="00CA5202">
              <w:rPr>
                <w:rFonts w:cs="Calibri"/>
              </w:rPr>
              <w:t>%</w:t>
            </w:r>
            <w:r w:rsidRPr="00CA5202">
              <w:rPr>
                <w:rFonts w:cs="Calibri"/>
                <w:lang w:val="en-CA"/>
              </w:rPr>
              <w:t xml:space="preserve"> </w:t>
            </w:r>
          </w:p>
        </w:tc>
        <w:tc>
          <w:tcPr>
            <w:tcW w:w="118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54257B" w:rsidRPr="00CA5202" w:rsidRDefault="0054257B" w:rsidP="001A33B9">
            <w:pPr>
              <w:rPr>
                <w:rFonts w:cs="Calibri"/>
              </w:rPr>
            </w:pPr>
            <w:r>
              <w:rPr>
                <w:rFonts w:cs="Calibri"/>
              </w:rPr>
              <w:t>0.61</w:t>
            </w:r>
            <w:r w:rsidRPr="00CA5202">
              <w:rPr>
                <w:rFonts w:cs="Calibri"/>
              </w:rPr>
              <w:t>%</w:t>
            </w:r>
            <w:r w:rsidRPr="00CA5202">
              <w:rPr>
                <w:rFonts w:cs="Calibri"/>
                <w:lang w:val="en-CA"/>
              </w:rPr>
              <w:t xml:space="preserve"> </w:t>
            </w:r>
          </w:p>
        </w:tc>
        <w:tc>
          <w:tcPr>
            <w:tcW w:w="118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54257B" w:rsidRPr="00CA5202" w:rsidRDefault="0054257B" w:rsidP="001A33B9">
            <w:pPr>
              <w:rPr>
                <w:rFonts w:cs="Calibri"/>
              </w:rPr>
            </w:pPr>
            <w:r>
              <w:rPr>
                <w:rFonts w:cs="Calibri"/>
              </w:rPr>
              <w:t>0.74</w:t>
            </w:r>
            <w:r w:rsidRPr="00CA5202">
              <w:rPr>
                <w:rFonts w:cs="Calibri"/>
              </w:rPr>
              <w:t>%</w:t>
            </w:r>
            <w:r w:rsidRPr="00CA5202">
              <w:rPr>
                <w:rFonts w:cs="Calibri"/>
                <w:lang w:val="en-CA"/>
              </w:rPr>
              <w:t xml:space="preserve"> </w:t>
            </w:r>
          </w:p>
        </w:tc>
      </w:tr>
      <w:tr w:rsidR="0054257B" w:rsidRPr="00CA5202" w:rsidTr="007A0FD3">
        <w:trPr>
          <w:trHeight w:val="359"/>
          <w:jc w:val="center"/>
        </w:trPr>
        <w:tc>
          <w:tcPr>
            <w:tcW w:w="2328"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54257B" w:rsidRPr="00CA5202" w:rsidRDefault="0054257B" w:rsidP="001A33B9">
            <w:pPr>
              <w:rPr>
                <w:rFonts w:cs="Calibri"/>
              </w:rPr>
            </w:pPr>
            <w:r w:rsidRPr="00CA5202">
              <w:rPr>
                <w:rFonts w:cs="Calibri"/>
              </w:rPr>
              <w:t>Road Levy</w:t>
            </w:r>
            <w:r w:rsidRPr="00CA5202">
              <w:rPr>
                <w:rFonts w:cs="Calibri"/>
                <w:lang w:val="en-CA"/>
              </w:rPr>
              <w:t xml:space="preserve"> </w:t>
            </w:r>
          </w:p>
        </w:tc>
        <w:tc>
          <w:tcPr>
            <w:tcW w:w="118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54257B" w:rsidRPr="00CA5202" w:rsidRDefault="0054257B" w:rsidP="001A33B9">
            <w:pPr>
              <w:rPr>
                <w:rFonts w:cs="Calibri"/>
              </w:rPr>
            </w:pPr>
            <w:r>
              <w:rPr>
                <w:rFonts w:cs="Calibri"/>
              </w:rPr>
              <w:t>7.64</w:t>
            </w:r>
            <w:r w:rsidRPr="00CA5202">
              <w:rPr>
                <w:rFonts w:cs="Calibri"/>
              </w:rPr>
              <w:t>%</w:t>
            </w:r>
            <w:r w:rsidRPr="00CA5202">
              <w:rPr>
                <w:rFonts w:cs="Calibri"/>
                <w:lang w:val="en-CA"/>
              </w:rPr>
              <w:t xml:space="preserve"> </w:t>
            </w:r>
          </w:p>
        </w:tc>
        <w:tc>
          <w:tcPr>
            <w:tcW w:w="118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54257B" w:rsidRPr="00CA5202" w:rsidRDefault="0054257B" w:rsidP="001A33B9">
            <w:pPr>
              <w:rPr>
                <w:rFonts w:cs="Calibri"/>
              </w:rPr>
            </w:pPr>
            <w:r>
              <w:rPr>
                <w:rFonts w:cs="Calibri"/>
              </w:rPr>
              <w:t>7.15</w:t>
            </w:r>
            <w:r w:rsidRPr="00CA5202">
              <w:rPr>
                <w:rFonts w:cs="Calibri"/>
              </w:rPr>
              <w:t>%</w:t>
            </w:r>
            <w:r w:rsidRPr="00CA5202">
              <w:rPr>
                <w:rFonts w:cs="Calibri"/>
                <w:lang w:val="en-CA"/>
              </w:rPr>
              <w:t xml:space="preserve"> </w:t>
            </w:r>
          </w:p>
        </w:tc>
        <w:tc>
          <w:tcPr>
            <w:tcW w:w="118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54257B" w:rsidRPr="00CA5202" w:rsidRDefault="0054257B" w:rsidP="001A33B9">
            <w:pPr>
              <w:rPr>
                <w:rFonts w:cs="Calibri"/>
              </w:rPr>
            </w:pPr>
            <w:r w:rsidRPr="00CA5202">
              <w:rPr>
                <w:rFonts w:cs="Calibri"/>
              </w:rPr>
              <w:t>0.00%</w:t>
            </w:r>
            <w:r w:rsidRPr="00CA5202">
              <w:rPr>
                <w:rFonts w:cs="Calibri"/>
                <w:lang w:val="en-CA"/>
              </w:rPr>
              <w:t xml:space="preserve"> </w:t>
            </w:r>
          </w:p>
        </w:tc>
      </w:tr>
      <w:tr w:rsidR="0054257B" w:rsidRPr="00CA5202" w:rsidTr="007A0FD3">
        <w:trPr>
          <w:trHeight w:val="359"/>
          <w:jc w:val="center"/>
        </w:trPr>
        <w:tc>
          <w:tcPr>
            <w:tcW w:w="2328"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54257B" w:rsidRPr="00CA5202" w:rsidRDefault="0054257B" w:rsidP="001A33B9">
            <w:pPr>
              <w:rPr>
                <w:rFonts w:cs="Calibri"/>
              </w:rPr>
            </w:pPr>
            <w:r w:rsidRPr="00CA5202">
              <w:rPr>
                <w:rFonts w:cs="Calibri"/>
              </w:rPr>
              <w:t>MBS Levy</w:t>
            </w:r>
            <w:r w:rsidRPr="00CA5202">
              <w:rPr>
                <w:rFonts w:cs="Calibri"/>
                <w:lang w:val="en-CA"/>
              </w:rPr>
              <w:t xml:space="preserve"> </w:t>
            </w:r>
          </w:p>
        </w:tc>
        <w:tc>
          <w:tcPr>
            <w:tcW w:w="118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54257B" w:rsidRPr="00CA5202" w:rsidRDefault="0054257B" w:rsidP="001A33B9">
            <w:pPr>
              <w:rPr>
                <w:rFonts w:cs="Calibri"/>
              </w:rPr>
            </w:pPr>
            <w:r>
              <w:rPr>
                <w:rFonts w:cs="Calibri"/>
              </w:rPr>
              <w:t>0.11</w:t>
            </w:r>
            <w:r w:rsidRPr="00CA5202">
              <w:rPr>
                <w:rFonts w:cs="Calibri"/>
              </w:rPr>
              <w:t>%</w:t>
            </w:r>
            <w:r w:rsidRPr="00CA5202">
              <w:rPr>
                <w:rFonts w:cs="Calibri"/>
                <w:lang w:val="en-CA"/>
              </w:rPr>
              <w:t xml:space="preserve"> </w:t>
            </w:r>
          </w:p>
        </w:tc>
        <w:tc>
          <w:tcPr>
            <w:tcW w:w="118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54257B" w:rsidRPr="00CA5202" w:rsidRDefault="0054257B" w:rsidP="001A33B9">
            <w:pPr>
              <w:rPr>
                <w:rFonts w:cs="Calibri"/>
              </w:rPr>
            </w:pPr>
            <w:r>
              <w:rPr>
                <w:rFonts w:cs="Calibri"/>
              </w:rPr>
              <w:t>0.12</w:t>
            </w:r>
            <w:r w:rsidRPr="00CA5202">
              <w:rPr>
                <w:rFonts w:cs="Calibri"/>
              </w:rPr>
              <w:t>%</w:t>
            </w:r>
            <w:r w:rsidRPr="00CA5202">
              <w:rPr>
                <w:rFonts w:cs="Calibri"/>
                <w:lang w:val="en-CA"/>
              </w:rPr>
              <w:t xml:space="preserve"> </w:t>
            </w:r>
          </w:p>
        </w:tc>
        <w:tc>
          <w:tcPr>
            <w:tcW w:w="118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54257B" w:rsidRPr="00CA5202" w:rsidRDefault="0054257B" w:rsidP="001A33B9">
            <w:pPr>
              <w:rPr>
                <w:rFonts w:cs="Calibri"/>
              </w:rPr>
            </w:pPr>
            <w:r>
              <w:rPr>
                <w:rFonts w:cs="Calibri"/>
              </w:rPr>
              <w:t>0.14</w:t>
            </w:r>
            <w:r w:rsidRPr="00CA5202">
              <w:rPr>
                <w:rFonts w:cs="Calibri"/>
              </w:rPr>
              <w:t>%</w:t>
            </w:r>
            <w:r w:rsidRPr="00CA5202">
              <w:rPr>
                <w:rFonts w:cs="Calibri"/>
                <w:lang w:val="en-CA"/>
              </w:rPr>
              <w:t xml:space="preserve"> </w:t>
            </w:r>
          </w:p>
        </w:tc>
      </w:tr>
      <w:tr w:rsidR="0054257B" w:rsidRPr="00CA5202" w:rsidTr="007A0FD3">
        <w:trPr>
          <w:trHeight w:val="710"/>
          <w:jc w:val="center"/>
        </w:trPr>
        <w:tc>
          <w:tcPr>
            <w:tcW w:w="2328"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54257B" w:rsidRPr="00CA5202" w:rsidRDefault="0054257B" w:rsidP="001A33B9">
            <w:pPr>
              <w:rPr>
                <w:rFonts w:cs="Calibri"/>
              </w:rPr>
            </w:pPr>
            <w:r w:rsidRPr="00CA5202">
              <w:rPr>
                <w:rFonts w:cs="Calibri"/>
              </w:rPr>
              <w:t>Rural Electrification Levy</w:t>
            </w:r>
            <w:r w:rsidRPr="00CA5202">
              <w:rPr>
                <w:rFonts w:cs="Calibri"/>
                <w:lang w:val="en-CA"/>
              </w:rPr>
              <w:t xml:space="preserve"> </w:t>
            </w:r>
          </w:p>
        </w:tc>
        <w:tc>
          <w:tcPr>
            <w:tcW w:w="118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54257B" w:rsidRPr="00CA5202" w:rsidRDefault="0054257B" w:rsidP="001A33B9">
            <w:pPr>
              <w:rPr>
                <w:rFonts w:cs="Calibri"/>
              </w:rPr>
            </w:pPr>
            <w:r w:rsidRPr="00CA5202">
              <w:rPr>
                <w:rFonts w:cs="Calibri"/>
              </w:rPr>
              <w:t>4.50%</w:t>
            </w:r>
            <w:r w:rsidRPr="00CA5202">
              <w:rPr>
                <w:rFonts w:cs="Calibri"/>
                <w:lang w:val="en-CA"/>
              </w:rPr>
              <w:t xml:space="preserve"> </w:t>
            </w:r>
          </w:p>
        </w:tc>
        <w:tc>
          <w:tcPr>
            <w:tcW w:w="118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54257B" w:rsidRPr="00CA5202" w:rsidRDefault="0054257B" w:rsidP="001A33B9">
            <w:pPr>
              <w:rPr>
                <w:rFonts w:cs="Calibri"/>
              </w:rPr>
            </w:pPr>
            <w:r w:rsidRPr="00CA5202">
              <w:rPr>
                <w:rFonts w:cs="Calibri"/>
              </w:rPr>
              <w:t>4.50%</w:t>
            </w:r>
            <w:r w:rsidRPr="00CA5202">
              <w:rPr>
                <w:rFonts w:cs="Calibri"/>
                <w:lang w:val="en-CA"/>
              </w:rPr>
              <w:t xml:space="preserve"> </w:t>
            </w:r>
          </w:p>
        </w:tc>
        <w:tc>
          <w:tcPr>
            <w:tcW w:w="118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54257B" w:rsidRPr="00CA5202" w:rsidRDefault="0054257B" w:rsidP="001A33B9">
            <w:pPr>
              <w:rPr>
                <w:rFonts w:cs="Calibri"/>
              </w:rPr>
            </w:pPr>
            <w:r>
              <w:rPr>
                <w:rFonts w:cs="Calibri"/>
              </w:rPr>
              <w:t>2.21</w:t>
            </w:r>
            <w:r w:rsidRPr="00CA5202">
              <w:rPr>
                <w:rFonts w:cs="Calibri"/>
              </w:rPr>
              <w:t>%</w:t>
            </w:r>
            <w:r w:rsidRPr="00CA5202">
              <w:rPr>
                <w:rFonts w:cs="Calibri"/>
                <w:lang w:val="en-CA"/>
              </w:rPr>
              <w:t xml:space="preserve"> </w:t>
            </w:r>
          </w:p>
        </w:tc>
      </w:tr>
      <w:tr w:rsidR="0054257B" w:rsidRPr="00CA5202" w:rsidTr="001A33B9">
        <w:trPr>
          <w:trHeight w:val="498"/>
          <w:jc w:val="center"/>
        </w:trPr>
        <w:tc>
          <w:tcPr>
            <w:tcW w:w="2328"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54257B" w:rsidRPr="00CA5202" w:rsidRDefault="0054257B" w:rsidP="001A33B9">
            <w:pPr>
              <w:rPr>
                <w:rFonts w:cs="Calibri"/>
              </w:rPr>
            </w:pPr>
            <w:r w:rsidRPr="00CA5202">
              <w:rPr>
                <w:rFonts w:cs="Calibri"/>
              </w:rPr>
              <w:t>Storage Levy</w:t>
            </w:r>
            <w:r w:rsidRPr="00CA5202">
              <w:rPr>
                <w:rFonts w:cs="Calibri"/>
                <w:lang w:val="en-CA"/>
              </w:rPr>
              <w:t xml:space="preserve"> </w:t>
            </w:r>
          </w:p>
        </w:tc>
        <w:tc>
          <w:tcPr>
            <w:tcW w:w="118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54257B" w:rsidRPr="00CA5202" w:rsidRDefault="0054257B" w:rsidP="001A33B9">
            <w:pPr>
              <w:rPr>
                <w:rFonts w:cs="Calibri"/>
              </w:rPr>
            </w:pPr>
            <w:r>
              <w:rPr>
                <w:rFonts w:cs="Calibri"/>
              </w:rPr>
              <w:t>0.73</w:t>
            </w:r>
            <w:r w:rsidRPr="00CA5202">
              <w:rPr>
                <w:rFonts w:cs="Calibri"/>
              </w:rPr>
              <w:t>%</w:t>
            </w:r>
            <w:r w:rsidRPr="00CA5202">
              <w:rPr>
                <w:rFonts w:cs="Calibri"/>
                <w:lang w:val="en-CA"/>
              </w:rPr>
              <w:t xml:space="preserve"> </w:t>
            </w:r>
          </w:p>
        </w:tc>
        <w:tc>
          <w:tcPr>
            <w:tcW w:w="118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54257B" w:rsidRPr="00CA5202" w:rsidRDefault="0054257B" w:rsidP="001A33B9">
            <w:pPr>
              <w:rPr>
                <w:rFonts w:cs="Calibri"/>
              </w:rPr>
            </w:pPr>
            <w:r>
              <w:rPr>
                <w:rFonts w:cs="Calibri"/>
              </w:rPr>
              <w:t>0.76</w:t>
            </w:r>
            <w:r w:rsidRPr="00CA5202">
              <w:rPr>
                <w:rFonts w:cs="Calibri"/>
              </w:rPr>
              <w:t>%</w:t>
            </w:r>
            <w:r w:rsidRPr="00CA5202">
              <w:rPr>
                <w:rFonts w:cs="Calibri"/>
                <w:lang w:val="en-CA"/>
              </w:rPr>
              <w:t xml:space="preserve"> </w:t>
            </w:r>
          </w:p>
        </w:tc>
        <w:tc>
          <w:tcPr>
            <w:tcW w:w="118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54257B" w:rsidRPr="00CA5202" w:rsidRDefault="0054257B" w:rsidP="001A33B9">
            <w:pPr>
              <w:rPr>
                <w:rFonts w:cs="Calibri"/>
              </w:rPr>
            </w:pPr>
            <w:r>
              <w:rPr>
                <w:rFonts w:cs="Calibri"/>
              </w:rPr>
              <w:t>0.00</w:t>
            </w:r>
            <w:r w:rsidRPr="00CA5202">
              <w:rPr>
                <w:rFonts w:cs="Calibri"/>
              </w:rPr>
              <w:t>%</w:t>
            </w:r>
            <w:r w:rsidRPr="00CA5202">
              <w:rPr>
                <w:rFonts w:cs="Calibri"/>
                <w:lang w:val="en-CA"/>
              </w:rPr>
              <w:t xml:space="preserve"> </w:t>
            </w:r>
          </w:p>
        </w:tc>
      </w:tr>
      <w:tr w:rsidR="0054257B" w:rsidRPr="00CA5202" w:rsidTr="001A33B9">
        <w:trPr>
          <w:trHeight w:val="644"/>
          <w:jc w:val="center"/>
        </w:trPr>
        <w:tc>
          <w:tcPr>
            <w:tcW w:w="2328"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54257B" w:rsidRPr="00CA5202" w:rsidRDefault="0054257B" w:rsidP="001A33B9">
            <w:pPr>
              <w:rPr>
                <w:rFonts w:cs="Calibri"/>
              </w:rPr>
            </w:pPr>
            <w:r>
              <w:rPr>
                <w:rFonts w:cs="Calibri"/>
              </w:rPr>
              <w:t>IBLC Loss Recovery</w:t>
            </w:r>
            <w:r w:rsidRPr="00CA5202">
              <w:rPr>
                <w:rFonts w:cs="Calibri"/>
                <w:lang w:val="en-CA"/>
              </w:rPr>
              <w:t xml:space="preserve"> </w:t>
            </w:r>
          </w:p>
        </w:tc>
        <w:tc>
          <w:tcPr>
            <w:tcW w:w="118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54257B" w:rsidRPr="00CA5202" w:rsidRDefault="0054257B" w:rsidP="001A33B9">
            <w:pPr>
              <w:rPr>
                <w:rFonts w:cs="Calibri"/>
              </w:rPr>
            </w:pPr>
            <w:r>
              <w:rPr>
                <w:rFonts w:cs="Calibri"/>
              </w:rPr>
              <w:t>9.00</w:t>
            </w:r>
            <w:r w:rsidRPr="00CA5202">
              <w:rPr>
                <w:rFonts w:cs="Calibri"/>
              </w:rPr>
              <w:t>%</w:t>
            </w:r>
            <w:r w:rsidRPr="00CA5202">
              <w:rPr>
                <w:rFonts w:cs="Calibri"/>
                <w:lang w:val="en-CA"/>
              </w:rPr>
              <w:t xml:space="preserve"> </w:t>
            </w:r>
          </w:p>
        </w:tc>
        <w:tc>
          <w:tcPr>
            <w:tcW w:w="118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54257B" w:rsidRPr="00CA5202" w:rsidRDefault="0054257B" w:rsidP="001A33B9">
            <w:pPr>
              <w:rPr>
                <w:rFonts w:cs="Calibri"/>
              </w:rPr>
            </w:pPr>
            <w:r>
              <w:rPr>
                <w:rFonts w:cs="Calibri"/>
              </w:rPr>
              <w:t>3.11</w:t>
            </w:r>
            <w:r w:rsidRPr="00CA5202">
              <w:rPr>
                <w:rFonts w:cs="Calibri"/>
              </w:rPr>
              <w:t>%</w:t>
            </w:r>
            <w:r w:rsidRPr="00CA5202">
              <w:rPr>
                <w:rFonts w:cs="Calibri"/>
                <w:lang w:val="en-CA"/>
              </w:rPr>
              <w:t xml:space="preserve"> </w:t>
            </w:r>
          </w:p>
        </w:tc>
        <w:tc>
          <w:tcPr>
            <w:tcW w:w="118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54257B" w:rsidRPr="00CA5202" w:rsidRDefault="0054257B" w:rsidP="001A33B9">
            <w:pPr>
              <w:rPr>
                <w:rFonts w:cs="Calibri"/>
              </w:rPr>
            </w:pPr>
            <w:r>
              <w:rPr>
                <w:rFonts w:cs="Calibri"/>
              </w:rPr>
              <w:t>5.21</w:t>
            </w:r>
            <w:r w:rsidRPr="00CA5202">
              <w:rPr>
                <w:rFonts w:cs="Calibri"/>
              </w:rPr>
              <w:t>%</w:t>
            </w:r>
            <w:r w:rsidRPr="00CA5202">
              <w:rPr>
                <w:rFonts w:cs="Calibri"/>
                <w:lang w:val="en-CA"/>
              </w:rPr>
              <w:t xml:space="preserve"> </w:t>
            </w:r>
          </w:p>
        </w:tc>
      </w:tr>
      <w:tr w:rsidR="0054257B" w:rsidRPr="00CA5202" w:rsidTr="001A33B9">
        <w:trPr>
          <w:trHeight w:val="498"/>
          <w:jc w:val="center"/>
        </w:trPr>
        <w:tc>
          <w:tcPr>
            <w:tcW w:w="2328"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54257B" w:rsidRPr="00CA5202" w:rsidRDefault="0054257B" w:rsidP="001A33B9">
            <w:pPr>
              <w:rPr>
                <w:rFonts w:cs="Calibri"/>
              </w:rPr>
            </w:pPr>
            <w:r w:rsidRPr="00CA5202">
              <w:rPr>
                <w:rFonts w:cs="Calibri"/>
              </w:rPr>
              <w:t>Price stabilization Fund</w:t>
            </w:r>
          </w:p>
        </w:tc>
        <w:tc>
          <w:tcPr>
            <w:tcW w:w="118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54257B" w:rsidRPr="00CA5202" w:rsidRDefault="0054257B" w:rsidP="001A33B9">
            <w:pPr>
              <w:rPr>
                <w:rFonts w:cs="Calibri"/>
              </w:rPr>
            </w:pPr>
            <w:r>
              <w:rPr>
                <w:rFonts w:cs="Calibri"/>
              </w:rPr>
              <w:t>2.64</w:t>
            </w:r>
            <w:r w:rsidRPr="00CA5202">
              <w:rPr>
                <w:rFonts w:cs="Calibri"/>
              </w:rPr>
              <w:t>%</w:t>
            </w:r>
            <w:r w:rsidRPr="00CA5202">
              <w:rPr>
                <w:rFonts w:cs="Calibri"/>
                <w:lang w:val="en-CA"/>
              </w:rPr>
              <w:t xml:space="preserve"> </w:t>
            </w:r>
          </w:p>
        </w:tc>
        <w:tc>
          <w:tcPr>
            <w:tcW w:w="118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54257B" w:rsidRPr="00CA5202" w:rsidRDefault="0054257B" w:rsidP="001A33B9">
            <w:pPr>
              <w:rPr>
                <w:rFonts w:cs="Calibri"/>
              </w:rPr>
            </w:pPr>
            <w:r>
              <w:rPr>
                <w:rFonts w:cs="Calibri"/>
              </w:rPr>
              <w:t>2.89</w:t>
            </w:r>
            <w:r w:rsidRPr="00CA5202">
              <w:rPr>
                <w:rFonts w:cs="Calibri"/>
              </w:rPr>
              <w:t>%</w:t>
            </w:r>
            <w:r w:rsidRPr="00CA5202">
              <w:rPr>
                <w:rFonts w:cs="Calibri"/>
                <w:lang w:val="en-CA"/>
              </w:rPr>
              <w:t xml:space="preserve"> </w:t>
            </w:r>
          </w:p>
        </w:tc>
        <w:tc>
          <w:tcPr>
            <w:tcW w:w="1184"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vAlign w:val="center"/>
            <w:hideMark/>
          </w:tcPr>
          <w:p w:rsidR="0054257B" w:rsidRPr="00CA5202" w:rsidRDefault="0054257B" w:rsidP="001A33B9">
            <w:pPr>
              <w:rPr>
                <w:rFonts w:cs="Calibri"/>
              </w:rPr>
            </w:pPr>
            <w:r>
              <w:rPr>
                <w:rFonts w:cs="Calibri"/>
              </w:rPr>
              <w:t>3.43</w:t>
            </w:r>
            <w:r w:rsidRPr="00CA5202">
              <w:rPr>
                <w:rFonts w:cs="Calibri"/>
              </w:rPr>
              <w:t>%</w:t>
            </w:r>
            <w:r w:rsidRPr="00CA5202">
              <w:rPr>
                <w:rFonts w:cs="Calibri"/>
                <w:lang w:val="en-CA"/>
              </w:rPr>
              <w:t xml:space="preserve"> </w:t>
            </w:r>
          </w:p>
        </w:tc>
      </w:tr>
    </w:tbl>
    <w:p w:rsidR="0025162C" w:rsidRPr="00014F20" w:rsidRDefault="00135363" w:rsidP="00014F20">
      <w:pPr>
        <w:pStyle w:val="Caption"/>
        <w:ind w:left="1440"/>
        <w:rPr>
          <w:b w:val="0"/>
          <w:color w:val="auto"/>
        </w:rPr>
      </w:pPr>
      <w:r w:rsidRPr="00EC17BD">
        <w:rPr>
          <w:b w:val="0"/>
          <w:color w:val="auto"/>
        </w:rPr>
        <w:t>Source: National Oil Company of Malawi</w:t>
      </w:r>
    </w:p>
    <w:p w:rsidR="00B861E9" w:rsidRPr="008A2145" w:rsidRDefault="008A2145" w:rsidP="008A2145">
      <w:pPr>
        <w:pStyle w:val="Caption"/>
        <w:ind w:left="1440"/>
        <w:rPr>
          <w:rFonts w:cs="Calibri"/>
          <w:sz w:val="22"/>
          <w:szCs w:val="22"/>
        </w:rPr>
      </w:pPr>
      <w:bookmarkStart w:id="1014" w:name="_Toc384908041"/>
      <w:r w:rsidRPr="008A2145">
        <w:rPr>
          <w:sz w:val="22"/>
          <w:szCs w:val="22"/>
        </w:rPr>
        <w:lastRenderedPageBreak/>
        <w:t xml:space="preserve">Figure </w:t>
      </w:r>
      <w:r w:rsidRPr="008A2145">
        <w:rPr>
          <w:sz w:val="22"/>
          <w:szCs w:val="22"/>
        </w:rPr>
        <w:fldChar w:fldCharType="begin"/>
      </w:r>
      <w:r w:rsidRPr="008A2145">
        <w:rPr>
          <w:sz w:val="22"/>
          <w:szCs w:val="22"/>
        </w:rPr>
        <w:instrText xml:space="preserve"> SEQ Figure \* ARABIC </w:instrText>
      </w:r>
      <w:r w:rsidRPr="008A2145">
        <w:rPr>
          <w:sz w:val="22"/>
          <w:szCs w:val="22"/>
        </w:rPr>
        <w:fldChar w:fldCharType="separate"/>
      </w:r>
      <w:r w:rsidR="00381BCB">
        <w:rPr>
          <w:noProof/>
          <w:sz w:val="22"/>
          <w:szCs w:val="22"/>
        </w:rPr>
        <w:t>5</w:t>
      </w:r>
      <w:r w:rsidRPr="008A2145">
        <w:rPr>
          <w:sz w:val="22"/>
          <w:szCs w:val="22"/>
        </w:rPr>
        <w:fldChar w:fldCharType="end"/>
      </w:r>
      <w:r w:rsidRPr="008A2145">
        <w:rPr>
          <w:sz w:val="22"/>
          <w:szCs w:val="22"/>
        </w:rPr>
        <w:t>: Revenue Generated from 5% Fuel Levy</w:t>
      </w:r>
      <w:bookmarkEnd w:id="1014"/>
    </w:p>
    <w:p w:rsidR="00B861E9" w:rsidRDefault="005532F3" w:rsidP="00C11D59">
      <w:pPr>
        <w:ind w:left="720" w:firstLine="720"/>
        <w:jc w:val="center"/>
        <w:rPr>
          <w:rFonts w:cs="Calibri"/>
        </w:rPr>
      </w:pPr>
      <w:r>
        <w:rPr>
          <w:rFonts w:cs="Calibri"/>
          <w:noProof/>
        </w:rPr>
        <w:drawing>
          <wp:inline distT="0" distB="0" distL="0" distR="0">
            <wp:extent cx="4335780" cy="2917190"/>
            <wp:effectExtent l="0" t="0" r="7620" b="16510"/>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35363" w:rsidRPr="00EC17BD" w:rsidRDefault="00135363" w:rsidP="00135363">
      <w:pPr>
        <w:pStyle w:val="Caption"/>
        <w:ind w:firstLine="720"/>
        <w:rPr>
          <w:b w:val="0"/>
          <w:color w:val="auto"/>
        </w:rPr>
      </w:pPr>
      <w:bookmarkStart w:id="1015" w:name="_Toc363225880"/>
      <w:r>
        <w:tab/>
      </w:r>
      <w:r>
        <w:tab/>
      </w:r>
      <w:r w:rsidRPr="00EC17BD">
        <w:rPr>
          <w:b w:val="0"/>
          <w:color w:val="auto"/>
        </w:rPr>
        <w:t>Source: Health Financing Drafting Team own estimation</w:t>
      </w:r>
    </w:p>
    <w:p w:rsidR="00B861E9" w:rsidRPr="00BD4A85" w:rsidRDefault="00773329" w:rsidP="00A12622">
      <w:pPr>
        <w:pStyle w:val="Heading3"/>
      </w:pPr>
      <w:r w:rsidRPr="00BD4A85">
        <w:t>3.</w:t>
      </w:r>
      <w:r>
        <w:t>3</w:t>
      </w:r>
      <w:r w:rsidRPr="00BD4A85">
        <w:t>.1</w:t>
      </w:r>
      <w:r w:rsidRPr="00BD4A85">
        <w:tab/>
        <w:t>STRATEGIC INTERVENTIONS</w:t>
      </w:r>
      <w:bookmarkEnd w:id="1015"/>
    </w:p>
    <w:p w:rsidR="00B861E9" w:rsidRDefault="00B861E9" w:rsidP="00FB6B5B">
      <w:pPr>
        <w:jc w:val="both"/>
        <w:rPr>
          <w:color w:val="000000"/>
        </w:rPr>
      </w:pPr>
      <w:r w:rsidRPr="00BD4A85">
        <w:rPr>
          <w:rFonts w:cs="Calibri"/>
        </w:rPr>
        <w:t xml:space="preserve">Sharing levies with health sector from the existing levies is possible. </w:t>
      </w:r>
      <w:r w:rsidRPr="00BD4A85">
        <w:rPr>
          <w:color w:val="000000"/>
        </w:rPr>
        <w:t xml:space="preserve">This would be based on the understanding that health, roads and rural electrification are all key priorities of the country and all of them face absolute inadequacy of financial resources but deserve to be developed using locally generated resources.  </w:t>
      </w:r>
      <w:r>
        <w:rPr>
          <w:color w:val="000000"/>
        </w:rPr>
        <w:t>A 5% fuel levy on health could provide enough revenue to increase the Ministry of Health budget by 37%. If this additional revenue was directed towards a specific budget item, the impact could be even greater; revenue from fuel levies could increase the drug budget by 267%.</w:t>
      </w:r>
    </w:p>
    <w:p w:rsidR="00B861E9" w:rsidRPr="00BD4A85" w:rsidRDefault="00B861E9" w:rsidP="00FB6B5B">
      <w:pPr>
        <w:jc w:val="both"/>
        <w:rPr>
          <w:color w:val="000000"/>
        </w:rPr>
      </w:pPr>
      <w:r w:rsidRPr="00BD4A85">
        <w:rPr>
          <w:color w:val="000000"/>
        </w:rPr>
        <w:t>To this end</w:t>
      </w:r>
      <w:r>
        <w:rPr>
          <w:color w:val="000000"/>
        </w:rPr>
        <w:t>,</w:t>
      </w:r>
      <w:r w:rsidRPr="00BD4A85">
        <w:rPr>
          <w:color w:val="000000"/>
        </w:rPr>
        <w:t xml:space="preserve"> in order to implement this strategy</w:t>
      </w:r>
      <w:r>
        <w:rPr>
          <w:color w:val="000000"/>
        </w:rPr>
        <w:t>,</w:t>
      </w:r>
      <w:r w:rsidRPr="00BD4A85">
        <w:rPr>
          <w:color w:val="000000"/>
        </w:rPr>
        <w:t xml:space="preserve"> the following </w:t>
      </w:r>
      <w:r>
        <w:rPr>
          <w:color w:val="000000"/>
        </w:rPr>
        <w:t xml:space="preserve">actions </w:t>
      </w:r>
      <w:r w:rsidRPr="00BD4A85">
        <w:rPr>
          <w:color w:val="000000"/>
        </w:rPr>
        <w:t>need to be done:</w:t>
      </w:r>
    </w:p>
    <w:p w:rsidR="00B861E9" w:rsidRDefault="00B861E9" w:rsidP="00564161">
      <w:pPr>
        <w:pStyle w:val="ListParagraph"/>
        <w:numPr>
          <w:ilvl w:val="0"/>
          <w:numId w:val="4"/>
        </w:numPr>
        <w:spacing w:after="120"/>
        <w:jc w:val="both"/>
        <w:rPr>
          <w:rFonts w:cs="Calibri"/>
        </w:rPr>
      </w:pPr>
      <w:r w:rsidRPr="00BD4A85">
        <w:rPr>
          <w:rFonts w:cs="Calibri"/>
        </w:rPr>
        <w:t>The M</w:t>
      </w:r>
      <w:r w:rsidR="0087688A" w:rsidRPr="00BD4A85">
        <w:rPr>
          <w:rFonts w:cs="Calibri"/>
        </w:rPr>
        <w:t>o</w:t>
      </w:r>
      <w:r w:rsidRPr="00BD4A85">
        <w:rPr>
          <w:rFonts w:cs="Calibri"/>
        </w:rPr>
        <w:t>H will undertake consultations with M</w:t>
      </w:r>
      <w:r>
        <w:rPr>
          <w:rFonts w:cs="Calibri"/>
        </w:rPr>
        <w:t xml:space="preserve">inistry of </w:t>
      </w:r>
      <w:r w:rsidRPr="00BD4A85">
        <w:rPr>
          <w:rFonts w:cs="Calibri"/>
        </w:rPr>
        <w:t>F</w:t>
      </w:r>
      <w:r>
        <w:rPr>
          <w:rFonts w:cs="Calibri"/>
        </w:rPr>
        <w:t>inance</w:t>
      </w:r>
      <w:r w:rsidRPr="00BD4A85">
        <w:rPr>
          <w:rFonts w:cs="Calibri"/>
        </w:rPr>
        <w:t>, M</w:t>
      </w:r>
      <w:r>
        <w:rPr>
          <w:rFonts w:cs="Calibri"/>
        </w:rPr>
        <w:t xml:space="preserve">alawi </w:t>
      </w:r>
      <w:r w:rsidRPr="00BD4A85">
        <w:rPr>
          <w:rFonts w:cs="Calibri"/>
        </w:rPr>
        <w:t>E</w:t>
      </w:r>
      <w:r>
        <w:rPr>
          <w:rFonts w:cs="Calibri"/>
        </w:rPr>
        <w:t xml:space="preserve">nergy </w:t>
      </w:r>
      <w:r w:rsidRPr="00BD4A85">
        <w:rPr>
          <w:rFonts w:cs="Calibri"/>
        </w:rPr>
        <w:t>R</w:t>
      </w:r>
      <w:r>
        <w:rPr>
          <w:rFonts w:cs="Calibri"/>
        </w:rPr>
        <w:t xml:space="preserve">egulatory </w:t>
      </w:r>
      <w:r w:rsidRPr="00BD4A85">
        <w:rPr>
          <w:rFonts w:cs="Calibri"/>
        </w:rPr>
        <w:t>A</w:t>
      </w:r>
      <w:r>
        <w:rPr>
          <w:rFonts w:cs="Calibri"/>
        </w:rPr>
        <w:t>uthority</w:t>
      </w:r>
      <w:r w:rsidRPr="00BD4A85">
        <w:rPr>
          <w:rFonts w:cs="Calibri"/>
        </w:rPr>
        <w:t xml:space="preserve"> and Petroleum Importers Ltd</w:t>
      </w:r>
      <w:r w:rsidR="0087688A">
        <w:rPr>
          <w:rFonts w:cs="Calibri"/>
        </w:rPr>
        <w:t>.</w:t>
      </w:r>
    </w:p>
    <w:p w:rsidR="00B861E9" w:rsidRPr="001C7880" w:rsidRDefault="00B861E9" w:rsidP="00564161">
      <w:pPr>
        <w:pStyle w:val="ListParagraph"/>
        <w:numPr>
          <w:ilvl w:val="0"/>
          <w:numId w:val="4"/>
        </w:numPr>
        <w:spacing w:after="120"/>
        <w:jc w:val="both"/>
      </w:pPr>
      <w:r>
        <w:rPr>
          <w:rFonts w:cs="Calibri"/>
        </w:rPr>
        <w:t>The M</w:t>
      </w:r>
      <w:r w:rsidR="0087688A">
        <w:rPr>
          <w:rFonts w:cs="Calibri"/>
        </w:rPr>
        <w:t>o</w:t>
      </w:r>
      <w:r>
        <w:rPr>
          <w:rFonts w:cs="Calibri"/>
        </w:rPr>
        <w:t xml:space="preserve">H </w:t>
      </w:r>
      <w:r w:rsidR="00F647FB">
        <w:rPr>
          <w:rFonts w:cs="Calibri"/>
        </w:rPr>
        <w:t>will develop</w:t>
      </w:r>
      <w:r>
        <w:rPr>
          <w:rFonts w:cs="Calibri"/>
        </w:rPr>
        <w:t xml:space="preserve"> a communication strategy on the introduction of fuel levies for health.</w:t>
      </w:r>
    </w:p>
    <w:p w:rsidR="001C7880" w:rsidRDefault="001C7880" w:rsidP="001C7880">
      <w:pPr>
        <w:pStyle w:val="ListParagraph"/>
        <w:spacing w:after="120"/>
        <w:jc w:val="both"/>
        <w:rPr>
          <w:rFonts w:cs="Calibri"/>
        </w:rPr>
      </w:pPr>
    </w:p>
    <w:p w:rsidR="001C7880" w:rsidRDefault="001C7880" w:rsidP="001C7880">
      <w:pPr>
        <w:pStyle w:val="ListParagraph"/>
        <w:spacing w:after="120"/>
        <w:jc w:val="both"/>
        <w:rPr>
          <w:rFonts w:cs="Calibri"/>
        </w:rPr>
      </w:pPr>
    </w:p>
    <w:p w:rsidR="001C7880" w:rsidRDefault="001C7880" w:rsidP="001C7880">
      <w:pPr>
        <w:pStyle w:val="ListParagraph"/>
        <w:spacing w:after="120"/>
        <w:jc w:val="both"/>
        <w:rPr>
          <w:rFonts w:cs="Calibri"/>
        </w:rPr>
      </w:pPr>
    </w:p>
    <w:p w:rsidR="001C7880" w:rsidRDefault="001C7880" w:rsidP="001C7880">
      <w:pPr>
        <w:pStyle w:val="ListParagraph"/>
        <w:spacing w:after="120"/>
        <w:jc w:val="both"/>
        <w:rPr>
          <w:rFonts w:cs="Calibri"/>
        </w:rPr>
      </w:pPr>
    </w:p>
    <w:p w:rsidR="001C7880" w:rsidRPr="00BD4A85" w:rsidRDefault="001C7880" w:rsidP="001C7880">
      <w:pPr>
        <w:pStyle w:val="ListParagraph"/>
        <w:spacing w:after="120"/>
        <w:jc w:val="both"/>
      </w:pPr>
    </w:p>
    <w:p w:rsidR="001164CB" w:rsidRDefault="001164CB" w:rsidP="00FB6B5B">
      <w:pPr>
        <w:spacing w:after="0" w:line="240" w:lineRule="auto"/>
        <w:ind w:left="1890"/>
        <w:contextualSpacing/>
        <w:jc w:val="both"/>
        <w:rPr>
          <w:rFonts w:cs="Calibri"/>
        </w:rPr>
      </w:pPr>
    </w:p>
    <w:p w:rsidR="0025162C" w:rsidRPr="00BD4A85" w:rsidRDefault="0025162C" w:rsidP="001C7880">
      <w:pPr>
        <w:pStyle w:val="Heading2"/>
      </w:pPr>
      <w:bookmarkStart w:id="1016" w:name="_Toc363225881"/>
      <w:bookmarkStart w:id="1017" w:name="_Toc384903832"/>
      <w:bookmarkStart w:id="1018" w:name="_Toc384911958"/>
      <w:bookmarkEnd w:id="999"/>
      <w:r w:rsidRPr="00BD4A85">
        <w:lastRenderedPageBreak/>
        <w:t>3.4</w:t>
      </w:r>
      <w:bookmarkEnd w:id="1016"/>
      <w:bookmarkEnd w:id="1017"/>
      <w:bookmarkEnd w:id="1018"/>
      <w:r w:rsidR="001C7880">
        <w:t xml:space="preserve">  </w:t>
      </w:r>
      <w:r w:rsidR="001C7880" w:rsidRPr="001C7880">
        <w:t>STRENGTHENING PAYING WINGS IN CENTRAL AND DISTRICT HOSPITALS AND GRADUALLY EXPAND OPTIONAL PAYING SERVICES AND MOVE TOWARDS INTRODUCTION/EXPANSION OF USER FEES AT DISTRICT AND CENTRAL HOSPITALS FOR NON-EHP SERVICES   COMBINED WITH APPROPRIATE HEALTH INSURANCE SCHEMES.</w:t>
      </w:r>
    </w:p>
    <w:p w:rsidR="0025162C" w:rsidRPr="00BD4A85" w:rsidRDefault="004D598F" w:rsidP="0025162C">
      <w:pPr>
        <w:rPr>
          <w:lang w:eastAsia="en-GB"/>
        </w:rPr>
      </w:pPr>
      <w:r>
        <w:rPr>
          <w:rFonts w:cs="Calibri"/>
        </w:rPr>
        <w:pict>
          <v:rect id="_x0000_i1033" style="width:0;height:1.5pt" o:hralign="center" o:hrstd="t" o:hr="t" fillcolor="#a0a0a0" stroked="f"/>
        </w:pict>
      </w:r>
    </w:p>
    <w:p w:rsidR="0025162C" w:rsidRDefault="0025162C" w:rsidP="0025162C">
      <w:pPr>
        <w:jc w:val="both"/>
        <w:rPr>
          <w:lang w:val="en-GB"/>
        </w:rPr>
      </w:pPr>
      <w:r>
        <w:rPr>
          <w:lang w:val="en-GB"/>
        </w:rPr>
        <w:t>Currently, the</w:t>
      </w:r>
      <w:r w:rsidRPr="00BD4A85">
        <w:rPr>
          <w:lang w:val="en-GB"/>
        </w:rPr>
        <w:t xml:space="preserve"> Government of Malawi currently provides an Essential Health Package (EHP)</w:t>
      </w:r>
      <w:r>
        <w:rPr>
          <w:lang w:val="en-GB"/>
        </w:rPr>
        <w:t xml:space="preserve"> free of charge</w:t>
      </w:r>
      <w:r w:rsidRPr="00BD4A85">
        <w:rPr>
          <w:lang w:val="en-GB"/>
        </w:rPr>
        <w:t xml:space="preserve"> </w:t>
      </w:r>
      <w:r>
        <w:rPr>
          <w:lang w:val="en-GB"/>
        </w:rPr>
        <w:t xml:space="preserve">– </w:t>
      </w:r>
      <w:r w:rsidRPr="00BD4A85">
        <w:rPr>
          <w:lang w:val="en-GB"/>
        </w:rPr>
        <w:t xml:space="preserve">a package of services targeting the ailments </w:t>
      </w:r>
      <w:r>
        <w:rPr>
          <w:lang w:val="en-GB"/>
        </w:rPr>
        <w:t xml:space="preserve">most </w:t>
      </w:r>
      <w:r w:rsidRPr="00BD4A85">
        <w:rPr>
          <w:lang w:val="en-GB"/>
        </w:rPr>
        <w:t>afflicting Malawians</w:t>
      </w:r>
      <w:r>
        <w:rPr>
          <w:lang w:val="en-GB"/>
        </w:rPr>
        <w:t xml:space="preserve"> – to everyone, regardless of socioeconomic status or the type of service provided. As such, Malawi has a low out-of-pocket expenditure rate. Only 10% of total health expenditure, including public and private expenditure, comes from out-of-pocket expenditures. On the other hand, the public health system is highly donor dependent, and there is an apparent need for more sustainable revenue generation mechanisms. The strategy proposes a two-pronged approach for gradually phasing in user fees: first starting with improved paying services, which would put the systems for the introduction of user fees for non-EHP in place, together with national health insurance to protect the poor from catastrophic expenditures on user fees. </w:t>
      </w:r>
    </w:p>
    <w:p w:rsidR="0025162C" w:rsidRDefault="0025162C" w:rsidP="0025162C">
      <w:pPr>
        <w:tabs>
          <w:tab w:val="left" w:pos="2859"/>
        </w:tabs>
        <w:jc w:val="both"/>
        <w:rPr>
          <w:lang w:val="en-GB"/>
        </w:rPr>
      </w:pPr>
      <w:r>
        <w:rPr>
          <w:lang w:val="en-GB"/>
        </w:rPr>
        <w:t>In evaluating the potential for introducing user fees, it is important to distinguish between different forms of user fees and their associated ramifications, such as the effects of introducing user fees on achieving universal access to healthcare and potential impact on poverty. While some forms of user fees, such as optional fees in paying wards, are potentially progressive (those with greater income pay proportionally more), other forms of user fees, such as user fees for all citizens regardless of income, could be regressive (those with lesser income pay proportionally more). Introduction of user fees will be informed by detailed health impact assessments and consultation with stakeholders.</w:t>
      </w:r>
      <w:r>
        <w:rPr>
          <w:lang w:val="en-GB"/>
        </w:rPr>
        <w:tab/>
        <w:t xml:space="preserve">  </w:t>
      </w:r>
      <w:r>
        <w:rPr>
          <w:lang w:val="en-GB"/>
        </w:rPr>
        <w:tab/>
      </w:r>
    </w:p>
    <w:p w:rsidR="0025162C" w:rsidRPr="00BD4A85" w:rsidRDefault="0025162C" w:rsidP="00A12622">
      <w:pPr>
        <w:pStyle w:val="Heading3"/>
      </w:pPr>
      <w:bookmarkStart w:id="1019" w:name="_Toc363225882"/>
      <w:r w:rsidRPr="00BD4A85">
        <w:t>3.4.1</w:t>
      </w:r>
      <w:r w:rsidRPr="00BD4A85">
        <w:tab/>
      </w:r>
      <w:r w:rsidRPr="002506D3">
        <w:t xml:space="preserve">IMPROVE CENTRAL HOSPITAL PAYING </w:t>
      </w:r>
      <w:r>
        <w:t>SERVICES</w:t>
      </w:r>
      <w:r w:rsidRPr="002506D3">
        <w:t xml:space="preserve"> TO OPTIMIZE EFFICIENCY AND PROFITABILITY</w:t>
      </w:r>
      <w:bookmarkEnd w:id="1019"/>
    </w:p>
    <w:p w:rsidR="0025162C" w:rsidRPr="00BD4A85" w:rsidRDefault="004D598F" w:rsidP="0025162C">
      <w:r>
        <w:pict>
          <v:rect id="_x0000_i1034" style="width:0;height:1.5pt" o:hralign="center" o:hrstd="t" o:hr="t" fillcolor="#a0a0a0" stroked="f"/>
        </w:pict>
      </w:r>
    </w:p>
    <w:p w:rsidR="0025162C" w:rsidRPr="00BD4A85" w:rsidRDefault="0025162C" w:rsidP="0025162C">
      <w:pPr>
        <w:jc w:val="both"/>
        <w:rPr>
          <w:rFonts w:cs="Calibri"/>
        </w:rPr>
      </w:pPr>
      <w:r>
        <w:rPr>
          <w:rFonts w:cs="Calibri"/>
        </w:rPr>
        <w:t xml:space="preserve"> A key first step will be to improve the availability of hospital paying services. </w:t>
      </w:r>
      <w:r w:rsidRPr="00BD4A85">
        <w:rPr>
          <w:rFonts w:cs="Calibri"/>
        </w:rPr>
        <w:t>Central Hospitals</w:t>
      </w:r>
      <w:r>
        <w:rPr>
          <w:rFonts w:cs="Calibri"/>
        </w:rPr>
        <w:t xml:space="preserve"> </w:t>
      </w:r>
      <w:r w:rsidRPr="00BD4A85">
        <w:rPr>
          <w:rFonts w:cs="Calibri"/>
        </w:rPr>
        <w:t xml:space="preserve">have an option </w:t>
      </w:r>
      <w:r>
        <w:rPr>
          <w:rFonts w:cs="Calibri"/>
        </w:rPr>
        <w:t xml:space="preserve">of </w:t>
      </w:r>
      <w:r w:rsidRPr="00BD4A85">
        <w:rPr>
          <w:rFonts w:cs="Calibri"/>
        </w:rPr>
        <w:t>providing patients with paying services which provides access to specialist doctors and drugs and offers improved non-medical services associated with beds, space</w:t>
      </w:r>
      <w:r>
        <w:rPr>
          <w:rFonts w:cs="Calibri"/>
        </w:rPr>
        <w:t xml:space="preserve">, </w:t>
      </w:r>
      <w:r w:rsidRPr="00BD4A85">
        <w:rPr>
          <w:rFonts w:cs="Calibri"/>
        </w:rPr>
        <w:t>meals</w:t>
      </w:r>
      <w:r>
        <w:rPr>
          <w:rFonts w:cs="Calibri"/>
        </w:rPr>
        <w:t>, and speed of service</w:t>
      </w:r>
      <w:r w:rsidRPr="00BD4A85">
        <w:rPr>
          <w:rFonts w:cs="Calibri"/>
        </w:rPr>
        <w:t>.</w:t>
      </w:r>
      <w:r>
        <w:rPr>
          <w:rFonts w:cs="Calibri"/>
        </w:rPr>
        <w:t xml:space="preserve"> This would be an ideal entryway to formalized user fees, as they would set up systems required for user fees in place and are self-targeting (only those who are able to pay opt in for paying services).  </w:t>
      </w:r>
    </w:p>
    <w:p w:rsidR="0025162C" w:rsidRPr="00BD4A85" w:rsidRDefault="0025162C" w:rsidP="0025162C">
      <w:pPr>
        <w:pStyle w:val="BodyText1"/>
      </w:pPr>
      <w:r w:rsidRPr="00A13E06">
        <w:t>There are opportunities associated with strengthening paying services, both in terms of revenue generation and improved efficiency.  If the cost of interventions are understood and services are priced accordingly, with full cost recovery in mind, the resources generated could be used to improve the quality of health service delivery even for free services in hospitals</w:t>
      </w:r>
      <w:r w:rsidRPr="00BD4A85">
        <w:t xml:space="preserve">.  </w:t>
      </w:r>
    </w:p>
    <w:p w:rsidR="0025162C" w:rsidRPr="00BD4A85" w:rsidRDefault="0025162C" w:rsidP="0025162C">
      <w:pPr>
        <w:jc w:val="both"/>
        <w:rPr>
          <w:rFonts w:cs="Calibri"/>
        </w:rPr>
      </w:pPr>
      <w:r w:rsidRPr="00BD4A85">
        <w:rPr>
          <w:rFonts w:cs="Calibri"/>
        </w:rPr>
        <w:t>Retaining revenue provides incentive</w:t>
      </w:r>
      <w:r>
        <w:rPr>
          <w:rFonts w:cs="Calibri"/>
        </w:rPr>
        <w:t>s</w:t>
      </w:r>
      <w:r w:rsidRPr="00BD4A85">
        <w:rPr>
          <w:rFonts w:cs="Calibri"/>
        </w:rPr>
        <w:t xml:space="preserve"> for individual hospitals to maintain or improve quality of service delivery and management systems. Central Hospitals will need to demonstrate that they have appropriate financial controls and management systems in place to accurately track transactions, manage resources, and prevent any kind of skimming or corruption.  Hospitals must provide the </w:t>
      </w:r>
      <w:r w:rsidRPr="00BD4A85">
        <w:rPr>
          <w:rFonts w:cs="Calibri"/>
        </w:rPr>
        <w:lastRenderedPageBreak/>
        <w:t>business case that revenue will be used responsibly and that certain health outcomes will be achieved if retention is permitted, thereby increasing transparency and accountability. Since staff share duties and wards do not operate in complete isolation, transparency and accountability could not only increase in paying wards, but in non-paying sections of hospitals as well.</w:t>
      </w:r>
    </w:p>
    <w:p w:rsidR="0025162C" w:rsidRPr="00BD4A85" w:rsidRDefault="0025162C" w:rsidP="00A12622">
      <w:pPr>
        <w:pStyle w:val="Heading3"/>
      </w:pPr>
      <w:bookmarkStart w:id="1020" w:name="_Toc363225883"/>
      <w:r>
        <w:t>3.4.1.1</w:t>
      </w:r>
      <w:r w:rsidRPr="00BD4A85">
        <w:tab/>
        <w:t>STRATEGIC INTERVENTIONS</w:t>
      </w:r>
      <w:bookmarkEnd w:id="1020"/>
    </w:p>
    <w:p w:rsidR="0025162C" w:rsidRPr="00BD4A85" w:rsidRDefault="0025162C" w:rsidP="0025162C">
      <w:pPr>
        <w:pStyle w:val="1-DocTextBold"/>
        <w:spacing w:before="0" w:after="0"/>
        <w:jc w:val="both"/>
        <w:rPr>
          <w:rFonts w:ascii="Calibri" w:hAnsi="Calibri"/>
          <w:b w:val="0"/>
          <w:bCs/>
          <w:szCs w:val="22"/>
        </w:rPr>
      </w:pPr>
      <w:r w:rsidRPr="00BD4A85">
        <w:rPr>
          <w:rFonts w:ascii="Calibri" w:hAnsi="Calibri"/>
          <w:b w:val="0"/>
          <w:bCs/>
          <w:szCs w:val="22"/>
        </w:rPr>
        <w:t>In order to implement this strategy</w:t>
      </w:r>
      <w:r>
        <w:rPr>
          <w:rFonts w:ascii="Calibri" w:hAnsi="Calibri"/>
          <w:b w:val="0"/>
          <w:bCs/>
          <w:szCs w:val="22"/>
        </w:rPr>
        <w:t>, t</w:t>
      </w:r>
      <w:r w:rsidRPr="00BD4A85">
        <w:rPr>
          <w:rFonts w:ascii="Calibri" w:hAnsi="Calibri"/>
          <w:b w:val="0"/>
          <w:bCs/>
          <w:szCs w:val="22"/>
        </w:rPr>
        <w:t>he done</w:t>
      </w:r>
      <w:r>
        <w:rPr>
          <w:rFonts w:ascii="Calibri" w:hAnsi="Calibri"/>
          <w:b w:val="0"/>
          <w:bCs/>
          <w:szCs w:val="22"/>
        </w:rPr>
        <w:t xml:space="preserve"> Ministry of Health will do the following</w:t>
      </w:r>
      <w:r w:rsidRPr="00BD4A85">
        <w:rPr>
          <w:rFonts w:ascii="Calibri" w:hAnsi="Calibri"/>
          <w:b w:val="0"/>
          <w:bCs/>
          <w:szCs w:val="22"/>
        </w:rPr>
        <w:t>:</w:t>
      </w:r>
    </w:p>
    <w:p w:rsidR="0025162C" w:rsidRPr="00BD4A85" w:rsidRDefault="0025162C" w:rsidP="00564161">
      <w:pPr>
        <w:pStyle w:val="1-DocTextBold"/>
        <w:numPr>
          <w:ilvl w:val="0"/>
          <w:numId w:val="13"/>
        </w:numPr>
        <w:spacing w:before="0" w:after="0"/>
        <w:jc w:val="both"/>
        <w:rPr>
          <w:rFonts w:ascii="Calibri" w:hAnsi="Calibri"/>
          <w:b w:val="0"/>
          <w:bCs/>
          <w:szCs w:val="22"/>
        </w:rPr>
      </w:pPr>
      <w:r>
        <w:rPr>
          <w:rFonts w:ascii="Calibri" w:hAnsi="Calibri"/>
          <w:b w:val="0"/>
          <w:bCs/>
          <w:szCs w:val="22"/>
        </w:rPr>
        <w:t>Develop</w:t>
      </w:r>
      <w:r w:rsidRPr="00BD4A85">
        <w:rPr>
          <w:rFonts w:ascii="Calibri" w:hAnsi="Calibri"/>
          <w:b w:val="0"/>
          <w:bCs/>
          <w:szCs w:val="22"/>
        </w:rPr>
        <w:t xml:space="preserve"> and put in place a Paying Services Operational plan</w:t>
      </w:r>
      <w:r>
        <w:rPr>
          <w:rFonts w:ascii="Calibri" w:hAnsi="Calibri"/>
          <w:b w:val="0"/>
          <w:bCs/>
          <w:szCs w:val="22"/>
        </w:rPr>
        <w:t>, which includes E</w:t>
      </w:r>
      <w:r w:rsidRPr="00BD4A85">
        <w:rPr>
          <w:rFonts w:ascii="Calibri" w:hAnsi="Calibri"/>
          <w:b w:val="0"/>
          <w:bCs/>
          <w:szCs w:val="22"/>
        </w:rPr>
        <w:t xml:space="preserve">ffective financial management procedures </w:t>
      </w:r>
      <w:r>
        <w:rPr>
          <w:rFonts w:ascii="Calibri" w:hAnsi="Calibri"/>
          <w:b w:val="0"/>
          <w:bCs/>
          <w:szCs w:val="22"/>
        </w:rPr>
        <w:t xml:space="preserve">such as </w:t>
      </w:r>
      <w:r w:rsidRPr="00BD4A85">
        <w:rPr>
          <w:rFonts w:ascii="Calibri" w:hAnsi="Calibri"/>
          <w:b w:val="0"/>
          <w:bCs/>
          <w:szCs w:val="22"/>
        </w:rPr>
        <w:t>including retention and utilization of resources, accounting and billing systems</w:t>
      </w:r>
      <w:r>
        <w:rPr>
          <w:rFonts w:ascii="Calibri" w:hAnsi="Calibri"/>
          <w:b w:val="0"/>
          <w:bCs/>
          <w:szCs w:val="22"/>
        </w:rPr>
        <w:t>.</w:t>
      </w:r>
    </w:p>
    <w:p w:rsidR="0025162C" w:rsidRPr="00BD4A85" w:rsidRDefault="0025162C" w:rsidP="00564161">
      <w:pPr>
        <w:pStyle w:val="1-DocTextBold"/>
        <w:numPr>
          <w:ilvl w:val="0"/>
          <w:numId w:val="13"/>
        </w:numPr>
        <w:spacing w:before="0" w:after="0"/>
        <w:jc w:val="both"/>
        <w:rPr>
          <w:rFonts w:ascii="Calibri" w:hAnsi="Calibri"/>
          <w:b w:val="0"/>
          <w:bCs/>
          <w:szCs w:val="22"/>
        </w:rPr>
      </w:pPr>
      <w:r w:rsidRPr="00BD4A85">
        <w:rPr>
          <w:rFonts w:ascii="Calibri" w:hAnsi="Calibri"/>
          <w:b w:val="0"/>
          <w:bCs/>
          <w:szCs w:val="22"/>
          <w:lang w:val="en-US"/>
        </w:rPr>
        <w:t>Establish banking facilities at the hospital premises</w:t>
      </w:r>
      <w:r>
        <w:rPr>
          <w:rFonts w:ascii="Calibri" w:hAnsi="Calibri"/>
          <w:b w:val="0"/>
          <w:bCs/>
          <w:szCs w:val="22"/>
          <w:lang w:val="en-US"/>
        </w:rPr>
        <w:t>.</w:t>
      </w:r>
    </w:p>
    <w:p w:rsidR="0025162C" w:rsidRPr="00BD4A85" w:rsidRDefault="0025162C" w:rsidP="00564161">
      <w:pPr>
        <w:pStyle w:val="1-DocTextBold"/>
        <w:numPr>
          <w:ilvl w:val="0"/>
          <w:numId w:val="13"/>
        </w:numPr>
        <w:spacing w:before="0" w:after="0"/>
        <w:jc w:val="both"/>
        <w:rPr>
          <w:rFonts w:ascii="Calibri" w:hAnsi="Calibri"/>
          <w:b w:val="0"/>
          <w:bCs/>
          <w:szCs w:val="22"/>
        </w:rPr>
      </w:pPr>
      <w:r>
        <w:rPr>
          <w:rFonts w:ascii="Calibri" w:hAnsi="Calibri"/>
          <w:b w:val="0"/>
          <w:bCs/>
          <w:szCs w:val="22"/>
        </w:rPr>
        <w:t>I</w:t>
      </w:r>
      <w:r w:rsidRPr="00BD4A85">
        <w:rPr>
          <w:rFonts w:ascii="Calibri" w:hAnsi="Calibri"/>
          <w:b w:val="0"/>
          <w:bCs/>
          <w:szCs w:val="22"/>
        </w:rPr>
        <w:t xml:space="preserve">mprove the </w:t>
      </w:r>
      <w:r>
        <w:rPr>
          <w:rFonts w:ascii="Calibri" w:hAnsi="Calibri"/>
          <w:b w:val="0"/>
          <w:bCs/>
          <w:szCs w:val="22"/>
        </w:rPr>
        <w:t xml:space="preserve">current poor </w:t>
      </w:r>
      <w:r w:rsidRPr="00BD4A85">
        <w:rPr>
          <w:rFonts w:ascii="Calibri" w:hAnsi="Calibri"/>
          <w:b w:val="0"/>
          <w:bCs/>
          <w:szCs w:val="22"/>
        </w:rPr>
        <w:t>standards of the health facilities</w:t>
      </w:r>
      <w:r>
        <w:rPr>
          <w:rFonts w:ascii="Calibri" w:hAnsi="Calibri"/>
          <w:b w:val="0"/>
          <w:bCs/>
          <w:szCs w:val="22"/>
        </w:rPr>
        <w:t>.</w:t>
      </w:r>
      <w:r w:rsidRPr="00BD4A85">
        <w:rPr>
          <w:rFonts w:ascii="Calibri" w:hAnsi="Calibri"/>
          <w:b w:val="0"/>
          <w:bCs/>
          <w:szCs w:val="22"/>
        </w:rPr>
        <w:t xml:space="preserve"> </w:t>
      </w:r>
    </w:p>
    <w:p w:rsidR="0025162C" w:rsidRPr="00BD4A85" w:rsidRDefault="0025162C" w:rsidP="00564161">
      <w:pPr>
        <w:pStyle w:val="1-DocTextBold"/>
        <w:numPr>
          <w:ilvl w:val="0"/>
          <w:numId w:val="13"/>
        </w:numPr>
        <w:spacing w:before="0" w:after="0"/>
        <w:jc w:val="both"/>
        <w:rPr>
          <w:rFonts w:ascii="Calibri" w:hAnsi="Calibri"/>
          <w:b w:val="0"/>
          <w:bCs/>
          <w:szCs w:val="22"/>
        </w:rPr>
      </w:pPr>
      <w:r w:rsidRPr="00BD4A85">
        <w:rPr>
          <w:rFonts w:ascii="Calibri" w:hAnsi="Calibri"/>
          <w:b w:val="0"/>
          <w:bCs/>
          <w:szCs w:val="22"/>
        </w:rPr>
        <w:t>Prioritiz</w:t>
      </w:r>
      <w:r>
        <w:rPr>
          <w:rFonts w:ascii="Calibri" w:hAnsi="Calibri"/>
          <w:b w:val="0"/>
          <w:bCs/>
          <w:szCs w:val="22"/>
        </w:rPr>
        <w:t xml:space="preserve">e </w:t>
      </w:r>
      <w:r w:rsidRPr="00BD4A85">
        <w:rPr>
          <w:rFonts w:ascii="Calibri" w:hAnsi="Calibri"/>
          <w:b w:val="0"/>
          <w:bCs/>
          <w:szCs w:val="22"/>
        </w:rPr>
        <w:t>re-costing of paying services</w:t>
      </w:r>
      <w:r>
        <w:rPr>
          <w:rFonts w:ascii="Calibri" w:hAnsi="Calibri"/>
          <w:b w:val="0"/>
          <w:bCs/>
          <w:szCs w:val="22"/>
        </w:rPr>
        <w:t>.</w:t>
      </w:r>
    </w:p>
    <w:p w:rsidR="0025162C" w:rsidRPr="00BD4A85" w:rsidRDefault="0025162C" w:rsidP="00564161">
      <w:pPr>
        <w:pStyle w:val="1-DocTextBold"/>
        <w:numPr>
          <w:ilvl w:val="0"/>
          <w:numId w:val="13"/>
        </w:numPr>
        <w:spacing w:before="0" w:after="0"/>
        <w:jc w:val="both"/>
        <w:rPr>
          <w:rFonts w:ascii="Calibri" w:hAnsi="Calibri"/>
          <w:b w:val="0"/>
          <w:bCs/>
          <w:szCs w:val="22"/>
        </w:rPr>
      </w:pPr>
      <w:r w:rsidRPr="00BD4A85">
        <w:rPr>
          <w:rFonts w:ascii="Calibri" w:hAnsi="Calibri"/>
          <w:b w:val="0"/>
          <w:bCs/>
          <w:szCs w:val="22"/>
        </w:rPr>
        <w:t>Ensur</w:t>
      </w:r>
      <w:r>
        <w:rPr>
          <w:rFonts w:ascii="Calibri" w:hAnsi="Calibri"/>
          <w:b w:val="0"/>
          <w:bCs/>
          <w:szCs w:val="22"/>
        </w:rPr>
        <w:t>e</w:t>
      </w:r>
      <w:r w:rsidRPr="00BD4A85">
        <w:rPr>
          <w:rFonts w:ascii="Calibri" w:hAnsi="Calibri"/>
          <w:b w:val="0"/>
          <w:bCs/>
          <w:szCs w:val="22"/>
        </w:rPr>
        <w:t xml:space="preserve"> that paying services are improved or implemented in a consistent manner across all central hospitals</w:t>
      </w:r>
      <w:r>
        <w:rPr>
          <w:rFonts w:ascii="Calibri" w:hAnsi="Calibri"/>
          <w:b w:val="0"/>
          <w:bCs/>
          <w:szCs w:val="22"/>
        </w:rPr>
        <w:t>.</w:t>
      </w:r>
    </w:p>
    <w:p w:rsidR="0025162C" w:rsidRPr="00BD4A85" w:rsidRDefault="0025162C" w:rsidP="00564161">
      <w:pPr>
        <w:pStyle w:val="1-DocTextBold"/>
        <w:numPr>
          <w:ilvl w:val="0"/>
          <w:numId w:val="13"/>
        </w:numPr>
        <w:spacing w:before="0" w:after="0"/>
        <w:jc w:val="both"/>
        <w:rPr>
          <w:rFonts w:ascii="Calibri" w:hAnsi="Calibri"/>
          <w:b w:val="0"/>
          <w:bCs/>
          <w:szCs w:val="22"/>
        </w:rPr>
      </w:pPr>
      <w:r w:rsidRPr="00BD4A85">
        <w:rPr>
          <w:rFonts w:ascii="Calibri" w:hAnsi="Calibri"/>
          <w:b w:val="0"/>
          <w:bCs/>
          <w:szCs w:val="22"/>
        </w:rPr>
        <w:t>Monitor financial performance as well as quality of service provision in paying wards and non-paying wards to ensure that high quality services are provided in both</w:t>
      </w:r>
      <w:r>
        <w:rPr>
          <w:rFonts w:ascii="Calibri" w:hAnsi="Calibri"/>
          <w:b w:val="0"/>
          <w:bCs/>
          <w:szCs w:val="22"/>
        </w:rPr>
        <w:t>.</w:t>
      </w:r>
    </w:p>
    <w:p w:rsidR="0025162C" w:rsidRDefault="0025162C" w:rsidP="0025162C">
      <w:pPr>
        <w:tabs>
          <w:tab w:val="left" w:pos="2859"/>
        </w:tabs>
        <w:jc w:val="both"/>
        <w:rPr>
          <w:lang w:val="en-GB"/>
        </w:rPr>
      </w:pPr>
    </w:p>
    <w:p w:rsidR="0025162C" w:rsidRDefault="0025162C" w:rsidP="00A12622">
      <w:pPr>
        <w:pStyle w:val="Heading3"/>
      </w:pPr>
      <w:bookmarkStart w:id="1021" w:name="_Toc363225884"/>
      <w:r>
        <w:t>3.4.2</w:t>
      </w:r>
      <w:r w:rsidRPr="00BD4A85">
        <w:tab/>
      </w:r>
      <w:r>
        <w:t>EXPLORE EXPANSION OF MANDATORY USER FEES AT CENTRAL AND DISTRICT HOSPITALS FOR NON-EHP SERVICES IN COMBINATION WITH HEALTH INSURANCE TO PROTECT VULNERABLE POPULATIONS</w:t>
      </w:r>
      <w:bookmarkEnd w:id="1021"/>
    </w:p>
    <w:p w:rsidR="00F5752B" w:rsidRPr="00BD4A85" w:rsidRDefault="004D598F" w:rsidP="00F5752B">
      <w:r>
        <w:pict>
          <v:rect id="_x0000_i1035" style="width:0;height:1.5pt" o:hralign="center" o:hrstd="t" o:hr="t" fillcolor="#a0a0a0" stroked="f"/>
        </w:pict>
      </w:r>
    </w:p>
    <w:p w:rsidR="0025162C" w:rsidRPr="00BD4A85" w:rsidRDefault="0025162C" w:rsidP="0025162C">
      <w:pPr>
        <w:jc w:val="both"/>
        <w:rPr>
          <w:lang w:val="en-GB"/>
        </w:rPr>
      </w:pPr>
      <w:r>
        <w:rPr>
          <w:lang w:val="en-GB"/>
        </w:rPr>
        <w:t xml:space="preserve">User fees have the potential to raise revenue, which could help ensure the long term sustainability of the health system. The </w:t>
      </w:r>
      <w:r w:rsidRPr="00BD4A85">
        <w:rPr>
          <w:lang w:val="en-GB"/>
        </w:rPr>
        <w:t>government</w:t>
      </w:r>
      <w:r>
        <w:rPr>
          <w:lang w:val="en-GB"/>
        </w:rPr>
        <w:t xml:space="preserve"> of Malawi</w:t>
      </w:r>
      <w:r w:rsidRPr="00BD4A85">
        <w:rPr>
          <w:lang w:val="en-GB"/>
        </w:rPr>
        <w:t xml:space="preserve"> </w:t>
      </w:r>
      <w:r>
        <w:rPr>
          <w:lang w:val="en-GB"/>
        </w:rPr>
        <w:t xml:space="preserve">could consider introducing and systemizing </w:t>
      </w:r>
      <w:r w:rsidRPr="00BD4A85">
        <w:rPr>
          <w:lang w:val="en-GB"/>
        </w:rPr>
        <w:t xml:space="preserve">user fees </w:t>
      </w:r>
      <w:r>
        <w:rPr>
          <w:lang w:val="en-GB"/>
        </w:rPr>
        <w:t xml:space="preserve">for non-EHP services </w:t>
      </w:r>
      <w:r w:rsidRPr="00BD4A85">
        <w:rPr>
          <w:lang w:val="en-GB"/>
        </w:rPr>
        <w:t xml:space="preserve">in central and district hospitals and concurrently </w:t>
      </w:r>
      <w:r>
        <w:rPr>
          <w:lang w:val="en-GB"/>
        </w:rPr>
        <w:t>explore</w:t>
      </w:r>
      <w:r w:rsidRPr="00BD4A85">
        <w:rPr>
          <w:lang w:val="en-GB"/>
        </w:rPr>
        <w:t xml:space="preserve"> mandatory health insurance for the formal sector –public and private sectors</w:t>
      </w:r>
      <w:r>
        <w:rPr>
          <w:lang w:val="en-GB"/>
        </w:rPr>
        <w:t>.</w:t>
      </w:r>
    </w:p>
    <w:p w:rsidR="0025162C" w:rsidRPr="00BD4A85" w:rsidRDefault="0025162C" w:rsidP="0025162C">
      <w:pPr>
        <w:jc w:val="both"/>
        <w:rPr>
          <w:rFonts w:cs="Calibri"/>
        </w:rPr>
      </w:pPr>
      <w:r w:rsidRPr="00BD4A85">
        <w:rPr>
          <w:rFonts w:cs="Calibri"/>
        </w:rPr>
        <w:t>It is estimated that a net revenue (after taking away administrative costs) close to US$20 million could be generated at Central and District Hospitals in 2013-14. This would increase the overall Central Hospital budget by 65% and the District Hospital budget by 22%.  In a situation where hospitals are frequently stocking out of commodities and are indebted to the Central Medical Stores Trust because they have inadequate resources, supplementary income could ensure more continuous provision of essential health services.  By 2016/17 and 2020/21, it is estimated that about US$20.5 million and US$25.5million respectively would be raised through user fees instituted at central and district hospitals</w:t>
      </w:r>
    </w:p>
    <w:p w:rsidR="0025162C" w:rsidRPr="00BD4A85" w:rsidRDefault="0025162C" w:rsidP="0025162C">
      <w:pPr>
        <w:jc w:val="both"/>
      </w:pPr>
      <w:r>
        <w:t>In parallel to introduction of user fees, a national health insurance scheme c</w:t>
      </w:r>
      <w:r w:rsidRPr="009104F6">
        <w:t>ould</w:t>
      </w:r>
      <w:r w:rsidRPr="00BD4A85">
        <w:t xml:space="preserve"> collect revenue through an automatic contribution from members’ salaries in the public and private formal sector. It is estimated that for the scheme to </w:t>
      </w:r>
      <w:r>
        <w:t>remain sustainable over time</w:t>
      </w:r>
      <w:r w:rsidRPr="00BD4A85">
        <w:t xml:space="preserve">, it would require each member’s contribution to be at </w:t>
      </w:r>
      <w:r>
        <w:t>6</w:t>
      </w:r>
      <w:r w:rsidRPr="00BD4A85">
        <w:t>%</w:t>
      </w:r>
      <w:r>
        <w:t xml:space="preserve">, a substantial portion of an employee’s salary. </w:t>
      </w:r>
    </w:p>
    <w:p w:rsidR="0025162C" w:rsidRPr="00556D97" w:rsidRDefault="0025162C" w:rsidP="00A12622">
      <w:pPr>
        <w:pStyle w:val="Heading3"/>
      </w:pPr>
      <w:bookmarkStart w:id="1022" w:name="_Toc363225885"/>
      <w:r w:rsidRPr="00BD4A85">
        <w:lastRenderedPageBreak/>
        <w:t>3.4.</w:t>
      </w:r>
      <w:r>
        <w:t>2.1</w:t>
      </w:r>
      <w:r>
        <w:tab/>
      </w:r>
      <w:r w:rsidRPr="00BD4A85">
        <w:t>STRATEGIC INTERVENTIONS</w:t>
      </w:r>
      <w:bookmarkEnd w:id="1022"/>
    </w:p>
    <w:p w:rsidR="0025162C" w:rsidRPr="00BD4A85" w:rsidRDefault="0025162C" w:rsidP="0025162C">
      <w:pPr>
        <w:jc w:val="both"/>
      </w:pPr>
      <w:r w:rsidRPr="00BD4A85">
        <w:t xml:space="preserve">Introducing user fees requires serious consultations with major stakeholders and technical capacity for its design and implementation. </w:t>
      </w:r>
      <w:r>
        <w:t>User fees and national health insurance are complex health financing mechanisms with wide-reaching effects requiring in-depth analysis.</w:t>
      </w:r>
      <w:r w:rsidRPr="00BD4A85">
        <w:t xml:space="preserve"> Compounding the situation is the fact that developing and managing a health insurance scheme also requires significant technical and institutional capacity. This is because contributions must be collected from members, financial risks closely managed, and expenditures monitored on a continuous basis. </w:t>
      </w:r>
      <w:r>
        <w:t xml:space="preserve">Additionally, it will be difficult to design an insurance scheme that is able to protect the majority of the population who are employed in the informal sector and include some of the poorest Malawians. </w:t>
      </w:r>
      <w:r w:rsidRPr="00BD4A85">
        <w:t xml:space="preserve">Thus the way forward is for MOH </w:t>
      </w:r>
      <w:r>
        <w:t>to appoint Officers in Department of Planning and Policy Development</w:t>
      </w:r>
      <w:r w:rsidRPr="00BD4A85">
        <w:t xml:space="preserve"> </w:t>
      </w:r>
      <w:r>
        <w:t>r</w:t>
      </w:r>
      <w:r w:rsidRPr="00BD4A85">
        <w:t>esponsible for:</w:t>
      </w:r>
    </w:p>
    <w:p w:rsidR="0025162C" w:rsidRPr="00BD4A85" w:rsidRDefault="0025162C" w:rsidP="00564161">
      <w:pPr>
        <w:pStyle w:val="ListParagraph"/>
        <w:numPr>
          <w:ilvl w:val="0"/>
          <w:numId w:val="5"/>
        </w:numPr>
        <w:spacing w:after="0" w:line="240" w:lineRule="auto"/>
        <w:jc w:val="both"/>
      </w:pPr>
      <w:r>
        <w:rPr>
          <w:b/>
        </w:rPr>
        <w:t>C</w:t>
      </w:r>
      <w:r w:rsidRPr="00C11D59">
        <w:rPr>
          <w:b/>
        </w:rPr>
        <w:t>onducting in-depth assessment of central and district hospitals</w:t>
      </w:r>
      <w:r>
        <w:t xml:space="preserve">. Analysis should be undertaken to calculate the </w:t>
      </w:r>
      <w:r w:rsidRPr="00BD4A85">
        <w:t>costs of providing health services, costs of administration of the scheme, identifying services to be charged and fees to be charged; identifying services and population groups to be exempted, and willingness to pay amounts etc.</w:t>
      </w:r>
    </w:p>
    <w:p w:rsidR="0025162C" w:rsidRPr="00C11D59" w:rsidRDefault="0025162C" w:rsidP="00564161">
      <w:pPr>
        <w:pStyle w:val="ListParagraph"/>
        <w:numPr>
          <w:ilvl w:val="0"/>
          <w:numId w:val="5"/>
        </w:numPr>
        <w:spacing w:after="0" w:line="240" w:lineRule="auto"/>
        <w:jc w:val="both"/>
        <w:rPr>
          <w:b/>
        </w:rPr>
      </w:pPr>
      <w:r w:rsidRPr="00C11D59">
        <w:rPr>
          <w:b/>
        </w:rPr>
        <w:t>Undertaking detailed insurance actuarial studies, insurance design studies and consultations with all major stakeholders in the health system</w:t>
      </w:r>
      <w:r>
        <w:rPr>
          <w:b/>
        </w:rPr>
        <w:t xml:space="preserve">. </w:t>
      </w:r>
      <w:r>
        <w:t>While the targeting of those employed in the public sector is relatively straightforward, the challenge is to identify and target informal workers and the poor and vulnerable who are not formally employed. Detailed studies should be undertaken in order to address these challenges. These studies should also be informed by Demographic and Health Surveys (DHS) to identify regions with highest concentrations of poor, vulnerable and unemployed populations, as well as regions where out of pocket expenditures are highest. This analysis could enable selecting certain districts for insurance schemes.</w:t>
      </w:r>
    </w:p>
    <w:p w:rsidR="0025162C" w:rsidRDefault="0025162C" w:rsidP="00564161">
      <w:pPr>
        <w:pStyle w:val="ListParagraph"/>
        <w:numPr>
          <w:ilvl w:val="0"/>
          <w:numId w:val="5"/>
        </w:numPr>
        <w:spacing w:after="0" w:line="240" w:lineRule="auto"/>
        <w:jc w:val="both"/>
      </w:pPr>
      <w:r>
        <w:rPr>
          <w:b/>
        </w:rPr>
        <w:t>Educate stakeholders</w:t>
      </w:r>
      <w:r w:rsidRPr="00BD4A85">
        <w:t xml:space="preserve"> </w:t>
      </w:r>
      <w:r w:rsidRPr="00C11D59">
        <w:rPr>
          <w:b/>
        </w:rPr>
        <w:t>on the costs, and benefits operations of the twin proposed reforms</w:t>
      </w:r>
      <w:r>
        <w:t xml:space="preserve">. Explain </w:t>
      </w:r>
      <w:r w:rsidRPr="00BD4A85">
        <w:t>how user fees in central and district hospitals and health insurance schemes would operate</w:t>
      </w:r>
    </w:p>
    <w:p w:rsidR="0025162C" w:rsidRPr="00BD4A85" w:rsidRDefault="0025162C" w:rsidP="0025162C">
      <w:pPr>
        <w:pStyle w:val="ListParagraph"/>
        <w:spacing w:after="0" w:line="240" w:lineRule="auto"/>
        <w:ind w:left="765"/>
        <w:jc w:val="both"/>
      </w:pPr>
    </w:p>
    <w:p w:rsidR="0025162C" w:rsidRPr="00BD4A85" w:rsidRDefault="0025162C" w:rsidP="001C7880">
      <w:pPr>
        <w:pStyle w:val="Heading2"/>
      </w:pPr>
      <w:bookmarkStart w:id="1023" w:name="_Toc363225886"/>
      <w:bookmarkStart w:id="1024" w:name="_Toc384903833"/>
      <w:bookmarkStart w:id="1025" w:name="_Toc384911959"/>
      <w:r>
        <w:t>3.5</w:t>
      </w:r>
      <w:r>
        <w:tab/>
        <w:t>INSTITUTE</w:t>
      </w:r>
      <w:r w:rsidRPr="00BD4A85">
        <w:t xml:space="preserve"> CORPORATE TAX FOR HEALTH</w:t>
      </w:r>
      <w:bookmarkEnd w:id="1023"/>
      <w:bookmarkEnd w:id="1024"/>
      <w:bookmarkEnd w:id="1025"/>
    </w:p>
    <w:p w:rsidR="0025162C" w:rsidRPr="00BD4A85" w:rsidRDefault="004D598F" w:rsidP="0025162C">
      <w:pPr>
        <w:rPr>
          <w:lang w:eastAsia="en-GB"/>
        </w:rPr>
      </w:pPr>
      <w:r>
        <w:rPr>
          <w:rFonts w:cs="Calibri"/>
        </w:rPr>
        <w:pict>
          <v:rect id="_x0000_i1036" style="width:0;height:1.5pt" o:hralign="center" o:hrstd="t" o:hr="t" fillcolor="#a0a0a0" stroked="f"/>
        </w:pict>
      </w:r>
    </w:p>
    <w:p w:rsidR="0025162C" w:rsidRPr="00BD4A85" w:rsidRDefault="0025162C" w:rsidP="0025162C">
      <w:pPr>
        <w:jc w:val="both"/>
        <w:rPr>
          <w:rFonts w:cs="Calibri"/>
        </w:rPr>
      </w:pPr>
      <w:r w:rsidRPr="00BD4A85">
        <w:rPr>
          <w:rFonts w:cs="Calibri"/>
        </w:rPr>
        <w:t xml:space="preserve">As health is a national priority and can directly impact economic growth and productivity, a “health tax” could be seen as corporations’ contribution toward ensuring that Malawi has a healthy and productive population.  Many countries, while not instituting a general tax for health, do fund nationwide insurance schemes through additional taxes (i.e. Britain, South Africa, Ghana, </w:t>
      </w:r>
      <w:r w:rsidR="00EE6BAB" w:rsidRPr="00BD4A85">
        <w:rPr>
          <w:rFonts w:cs="Calibri"/>
        </w:rPr>
        <w:t>etc.</w:t>
      </w:r>
      <w:r w:rsidRPr="00BD4A85">
        <w:rPr>
          <w:rFonts w:cs="Calibri"/>
        </w:rPr>
        <w:t xml:space="preserve">).  As Malawi has a public health system in which medical services are offered free of charge, it is reasonable to expect that companies should in some way contribute additional resources to the health system. </w:t>
      </w:r>
    </w:p>
    <w:p w:rsidR="0025162C" w:rsidRPr="00BD4A85" w:rsidRDefault="0025162C" w:rsidP="0025162C">
      <w:pPr>
        <w:pStyle w:val="ListParagraph"/>
        <w:ind w:left="0"/>
        <w:jc w:val="both"/>
        <w:rPr>
          <w:rFonts w:cs="Calibri"/>
        </w:rPr>
      </w:pPr>
      <w:r w:rsidRPr="00BD4A85">
        <w:rPr>
          <w:rFonts w:cs="Calibri"/>
        </w:rPr>
        <w:t xml:space="preserve">Introducing </w:t>
      </w:r>
      <w:r>
        <w:rPr>
          <w:rFonts w:cs="Calibri"/>
        </w:rPr>
        <w:t>a</w:t>
      </w:r>
      <w:r w:rsidRPr="00BD4A85">
        <w:rPr>
          <w:rFonts w:cs="Calibri"/>
        </w:rPr>
        <w:t xml:space="preserve"> 3% corporate tax devoted to health – could either be taken from existing rates or added to rates as an additional corporate tax, it would generate between US$9 million in 2013/14, US$10.5 million by 2016/17 and US$14.5 million by 2020/21.</w:t>
      </w:r>
    </w:p>
    <w:p w:rsidR="0025162C" w:rsidRPr="00BD4A85" w:rsidRDefault="0025162C" w:rsidP="0025162C">
      <w:pPr>
        <w:pStyle w:val="ListParagraph"/>
        <w:ind w:left="0"/>
        <w:jc w:val="both"/>
        <w:rPr>
          <w:rFonts w:cs="Calibri"/>
        </w:rPr>
      </w:pPr>
    </w:p>
    <w:p w:rsidR="0025162C" w:rsidRPr="00BD4A85" w:rsidRDefault="0025162C" w:rsidP="00A12622">
      <w:pPr>
        <w:pStyle w:val="Heading3"/>
      </w:pPr>
      <w:bookmarkStart w:id="1026" w:name="_Toc363225887"/>
      <w:r w:rsidRPr="00BD4A85">
        <w:t>3.5.1</w:t>
      </w:r>
      <w:r w:rsidRPr="00BD4A85">
        <w:tab/>
        <w:t>STRATEGIC INTERVENTIONS</w:t>
      </w:r>
      <w:bookmarkEnd w:id="1026"/>
    </w:p>
    <w:p w:rsidR="0025162C" w:rsidRPr="00BD4A85" w:rsidRDefault="0025162C" w:rsidP="0025162C">
      <w:pPr>
        <w:jc w:val="both"/>
        <w:rPr>
          <w:rFonts w:cs="Calibri"/>
        </w:rPr>
      </w:pPr>
      <w:r w:rsidRPr="00BD4A85">
        <w:rPr>
          <w:rFonts w:cs="Calibri"/>
        </w:rPr>
        <w:t>In order to implement this strategy the following need to be done:</w:t>
      </w:r>
    </w:p>
    <w:p w:rsidR="0025162C" w:rsidRPr="00F979ED" w:rsidRDefault="0025162C" w:rsidP="00564161">
      <w:pPr>
        <w:pStyle w:val="ListParagraph"/>
        <w:numPr>
          <w:ilvl w:val="0"/>
          <w:numId w:val="6"/>
        </w:numPr>
        <w:spacing w:after="0" w:line="240" w:lineRule="auto"/>
        <w:jc w:val="both"/>
        <w:rPr>
          <w:rFonts w:cs="Calibri"/>
        </w:rPr>
      </w:pPr>
      <w:r w:rsidRPr="00BD4A85">
        <w:rPr>
          <w:rFonts w:cs="Calibri"/>
        </w:rPr>
        <w:lastRenderedPageBreak/>
        <w:t>The MOH will hold key stakeholder consultations with companies, Malawi Chambers of Commerce, Society of Accounta</w:t>
      </w:r>
      <w:r>
        <w:rPr>
          <w:rFonts w:cs="Calibri"/>
        </w:rPr>
        <w:t>nts</w:t>
      </w:r>
      <w:r w:rsidRPr="00BD4A85">
        <w:rPr>
          <w:rFonts w:cs="Calibri"/>
        </w:rPr>
        <w:t xml:space="preserve"> Auditors, Economics Association of Malawi; and the general public etc</w:t>
      </w:r>
      <w:r>
        <w:rPr>
          <w:rFonts w:cs="Calibri"/>
        </w:rPr>
        <w:t>.</w:t>
      </w:r>
    </w:p>
    <w:p w:rsidR="0025162C" w:rsidRDefault="0025162C" w:rsidP="00564161">
      <w:pPr>
        <w:pStyle w:val="ListParagraph"/>
        <w:numPr>
          <w:ilvl w:val="0"/>
          <w:numId w:val="6"/>
        </w:numPr>
        <w:spacing w:after="0" w:line="240" w:lineRule="auto"/>
        <w:jc w:val="both"/>
        <w:rPr>
          <w:rFonts w:cs="Calibri"/>
        </w:rPr>
      </w:pPr>
      <w:r w:rsidRPr="00BD4A85">
        <w:rPr>
          <w:rFonts w:cs="Calibri"/>
        </w:rPr>
        <w:t xml:space="preserve">The MOH </w:t>
      </w:r>
      <w:r>
        <w:rPr>
          <w:rFonts w:cs="Calibri"/>
        </w:rPr>
        <w:t>will</w:t>
      </w:r>
      <w:r w:rsidRPr="00BD4A85">
        <w:rPr>
          <w:rFonts w:cs="Calibri"/>
        </w:rPr>
        <w:t xml:space="preserve"> consult with the Ministry of Finance for consideration of the proposed corporate tax</w:t>
      </w:r>
      <w:r>
        <w:rPr>
          <w:rFonts w:cs="Calibri"/>
        </w:rPr>
        <w:t>.</w:t>
      </w:r>
    </w:p>
    <w:p w:rsidR="0025162C" w:rsidRPr="00BD4A85" w:rsidRDefault="0025162C" w:rsidP="0025162C">
      <w:pPr>
        <w:pStyle w:val="ListParagraph"/>
        <w:jc w:val="both"/>
        <w:rPr>
          <w:rFonts w:cs="Calibri"/>
        </w:rPr>
      </w:pPr>
    </w:p>
    <w:p w:rsidR="0025162C" w:rsidRPr="00BD4A85" w:rsidRDefault="0025162C" w:rsidP="001C7880">
      <w:pPr>
        <w:pStyle w:val="Heading2"/>
      </w:pPr>
      <w:bookmarkStart w:id="1027" w:name="_Toc363225888"/>
      <w:bookmarkStart w:id="1028" w:name="_Toc384903834"/>
      <w:bookmarkStart w:id="1029" w:name="_Toc384911960"/>
      <w:r w:rsidRPr="00BD4A85">
        <w:t>3.6</w:t>
      </w:r>
      <w:r w:rsidRPr="00BD4A85">
        <w:tab/>
        <w:t>INCREASE PRIVATE SECTOR INVESTMENTS IN HEALTH</w:t>
      </w:r>
      <w:bookmarkEnd w:id="1027"/>
      <w:bookmarkEnd w:id="1028"/>
      <w:bookmarkEnd w:id="1029"/>
    </w:p>
    <w:p w:rsidR="0025162C" w:rsidRPr="00BD4A85" w:rsidRDefault="004D598F" w:rsidP="0025162C">
      <w:r>
        <w:pict>
          <v:rect id="_x0000_i1037" style="width:0;height:1.5pt" o:hralign="center" o:hrstd="t" o:hr="t" fillcolor="#a0a0a0" stroked="f"/>
        </w:pict>
      </w:r>
    </w:p>
    <w:p w:rsidR="0025162C" w:rsidRDefault="0025162C" w:rsidP="0025162C">
      <w:pPr>
        <w:jc w:val="both"/>
        <w:rPr>
          <w:rFonts w:cs="Calibri"/>
        </w:rPr>
      </w:pPr>
      <w:r>
        <w:rPr>
          <w:rFonts w:cs="Calibri"/>
        </w:rPr>
        <w:t>The government</w:t>
      </w:r>
      <w:r w:rsidRPr="00BD4A85">
        <w:rPr>
          <w:rFonts w:cs="Calibri"/>
        </w:rPr>
        <w:t xml:space="preserve"> will work with the private sector to ensure that health is a national priority and that investments not only improve the general health of the population but also have tangible economic benefits. </w:t>
      </w:r>
    </w:p>
    <w:p w:rsidR="0025162C" w:rsidRPr="00BD4A85" w:rsidRDefault="0025162C" w:rsidP="0025162C">
      <w:pPr>
        <w:jc w:val="both"/>
        <w:rPr>
          <w:rFonts w:cs="Calibri"/>
        </w:rPr>
      </w:pPr>
      <w:r w:rsidRPr="00BD4A85">
        <w:rPr>
          <w:rFonts w:cs="Calibri"/>
        </w:rPr>
        <w:t>It is estimated that an average of US$15.5 million will be invested in health from employers between 2012/13 and 2020/21.  These investments include reimbursements for employees</w:t>
      </w:r>
      <w:r>
        <w:rPr>
          <w:rFonts w:cs="Calibri"/>
        </w:rPr>
        <w:t>’</w:t>
      </w:r>
      <w:r w:rsidRPr="00BD4A85">
        <w:rPr>
          <w:rFonts w:cs="Calibri"/>
        </w:rPr>
        <w:t xml:space="preserve"> medical expenses, contributions by employers to </w:t>
      </w:r>
      <w:r w:rsidR="00EE6BAB" w:rsidRPr="00BD4A85">
        <w:rPr>
          <w:rFonts w:cs="Calibri"/>
        </w:rPr>
        <w:t>employee’s</w:t>
      </w:r>
      <w:r w:rsidRPr="00BD4A85">
        <w:rPr>
          <w:rFonts w:cs="Calibri"/>
        </w:rPr>
        <w:t xml:space="preserve"> health insurance, construction &amp; rehabilitation of buildings, purchase of medical equipment, health workers’ training, HIV/AIDS workplace programmes, and on-site provision of health services.  From private companies and individuals investments, it is estimated between 2013/14 -2020/21, an average of US$5 million will be spent – 27% from loans and 73% from their own funds.  </w:t>
      </w:r>
    </w:p>
    <w:p w:rsidR="0025162C" w:rsidRPr="00BD4A85" w:rsidRDefault="0025162C" w:rsidP="0025162C">
      <w:pPr>
        <w:jc w:val="both"/>
        <w:rPr>
          <w:rFonts w:cs="Calibri"/>
        </w:rPr>
      </w:pPr>
      <w:r w:rsidRPr="00BD4A85">
        <w:rPr>
          <w:rFonts w:cs="Calibri"/>
        </w:rPr>
        <w:t xml:space="preserve">Furthermore, it is estimated that if 50% of the 1% Corporate Social Responsibility contribution could go to health (clearly there are CSR efforts outside of health),US$22 million could be invested in 2013-14, and gradually increase to US$25.3 million by 2016/17 and over US$30 million USD in 2020-21 </w:t>
      </w:r>
    </w:p>
    <w:p w:rsidR="0025162C" w:rsidRPr="00BD4A85" w:rsidRDefault="0025162C" w:rsidP="00A12622">
      <w:pPr>
        <w:pStyle w:val="Heading3"/>
      </w:pPr>
      <w:bookmarkStart w:id="1030" w:name="_Toc363225889"/>
      <w:r w:rsidRPr="00BD4A85">
        <w:t>3.6.1</w:t>
      </w:r>
      <w:r w:rsidRPr="00BD4A85">
        <w:tab/>
        <w:t>STRATEGIC INTERVENTIONS</w:t>
      </w:r>
      <w:bookmarkEnd w:id="1030"/>
    </w:p>
    <w:p w:rsidR="0025162C" w:rsidRPr="00BD4A85" w:rsidRDefault="0025162C" w:rsidP="0025162C">
      <w:pPr>
        <w:jc w:val="both"/>
        <w:rPr>
          <w:rFonts w:cs="Calibri"/>
        </w:rPr>
      </w:pPr>
      <w:r w:rsidRPr="00BD4A85">
        <w:rPr>
          <w:rFonts w:cs="Calibri"/>
        </w:rPr>
        <w:t>In order to implement this strategy the following need to take place:</w:t>
      </w:r>
    </w:p>
    <w:p w:rsidR="0025162C" w:rsidRPr="00BD4A85" w:rsidRDefault="0025162C" w:rsidP="00564161">
      <w:pPr>
        <w:pStyle w:val="1-DocTextBold"/>
        <w:numPr>
          <w:ilvl w:val="0"/>
          <w:numId w:val="7"/>
        </w:numPr>
        <w:spacing w:line="240" w:lineRule="auto"/>
        <w:jc w:val="both"/>
        <w:rPr>
          <w:rFonts w:ascii="Calibri" w:hAnsi="Calibri"/>
          <w:b w:val="0"/>
          <w:bCs/>
          <w:szCs w:val="22"/>
        </w:rPr>
      </w:pPr>
      <w:r w:rsidRPr="00BD4A85">
        <w:rPr>
          <w:rFonts w:ascii="Calibri" w:hAnsi="Calibri"/>
          <w:b w:val="0"/>
          <w:bCs/>
          <w:szCs w:val="22"/>
        </w:rPr>
        <w:t>The MOH will organize advocacy events for the private sector to invest in health as part of social responsibility and also raising awareness on the need for financing workplace health programmes and benefits for the employees; for examples:</w:t>
      </w:r>
    </w:p>
    <w:p w:rsidR="0025162C" w:rsidRPr="00BD4A85" w:rsidRDefault="0025162C" w:rsidP="00564161">
      <w:pPr>
        <w:pStyle w:val="1-DocTextBold"/>
        <w:numPr>
          <w:ilvl w:val="1"/>
          <w:numId w:val="7"/>
        </w:numPr>
        <w:spacing w:line="240" w:lineRule="auto"/>
        <w:jc w:val="both"/>
        <w:rPr>
          <w:rFonts w:ascii="Calibri" w:hAnsi="Calibri"/>
          <w:b w:val="0"/>
          <w:bCs/>
          <w:szCs w:val="22"/>
        </w:rPr>
      </w:pPr>
      <w:r w:rsidRPr="00BD4A85">
        <w:rPr>
          <w:rFonts w:ascii="Calibri" w:hAnsi="Calibri" w:cs="Calibri"/>
          <w:b w:val="0"/>
        </w:rPr>
        <w:t>that their employees have health insurance cover -increase coverage of premiums for their employees</w:t>
      </w:r>
      <w:r>
        <w:rPr>
          <w:rFonts w:ascii="Calibri" w:hAnsi="Calibri" w:cs="Calibri"/>
          <w:b w:val="0"/>
        </w:rPr>
        <w:t>;</w:t>
      </w:r>
    </w:p>
    <w:p w:rsidR="0025162C" w:rsidRPr="00BD4A85" w:rsidRDefault="0025162C" w:rsidP="00564161">
      <w:pPr>
        <w:pStyle w:val="1-DocTextBold"/>
        <w:numPr>
          <w:ilvl w:val="1"/>
          <w:numId w:val="7"/>
        </w:numPr>
        <w:spacing w:line="240" w:lineRule="auto"/>
        <w:jc w:val="both"/>
        <w:rPr>
          <w:rFonts w:ascii="Calibri" w:hAnsi="Calibri"/>
          <w:b w:val="0"/>
          <w:bCs/>
          <w:szCs w:val="22"/>
        </w:rPr>
      </w:pPr>
      <w:r w:rsidRPr="00BD4A85">
        <w:rPr>
          <w:rFonts w:ascii="Calibri" w:hAnsi="Calibri" w:cs="Calibri"/>
          <w:b w:val="0"/>
        </w:rPr>
        <w:t xml:space="preserve">increase financing of on-site health facilities and health programmes using their own funds; </w:t>
      </w:r>
    </w:p>
    <w:p w:rsidR="0025162C" w:rsidRPr="00BD4A85" w:rsidRDefault="0025162C" w:rsidP="00564161">
      <w:pPr>
        <w:pStyle w:val="1-DocTextBold"/>
        <w:numPr>
          <w:ilvl w:val="1"/>
          <w:numId w:val="7"/>
        </w:numPr>
        <w:spacing w:line="240" w:lineRule="auto"/>
        <w:jc w:val="both"/>
        <w:rPr>
          <w:rFonts w:ascii="Calibri" w:hAnsi="Calibri"/>
          <w:b w:val="0"/>
          <w:bCs/>
          <w:szCs w:val="22"/>
        </w:rPr>
      </w:pPr>
      <w:r w:rsidRPr="00BD4A85">
        <w:rPr>
          <w:rFonts w:ascii="Calibri" w:hAnsi="Calibri" w:cs="Calibri"/>
          <w:b w:val="0"/>
        </w:rPr>
        <w:t xml:space="preserve">reimburse employees medical expenses in cases whereby employees are not covered by health insurance or there is no on-site health facilities; and </w:t>
      </w:r>
    </w:p>
    <w:p w:rsidR="0025162C" w:rsidRPr="00BD4A85" w:rsidRDefault="0025162C" w:rsidP="00564161">
      <w:pPr>
        <w:pStyle w:val="1-DocTextBold"/>
        <w:numPr>
          <w:ilvl w:val="1"/>
          <w:numId w:val="7"/>
        </w:numPr>
        <w:spacing w:line="240" w:lineRule="auto"/>
        <w:jc w:val="both"/>
        <w:rPr>
          <w:rFonts w:ascii="Calibri" w:hAnsi="Calibri"/>
          <w:b w:val="0"/>
          <w:bCs/>
          <w:szCs w:val="22"/>
        </w:rPr>
      </w:pPr>
      <w:r w:rsidRPr="00BD4A85">
        <w:rPr>
          <w:rFonts w:ascii="Calibri" w:hAnsi="Calibri" w:cs="Calibri"/>
          <w:b w:val="0"/>
        </w:rPr>
        <w:t>employers invest 1% of their taxable revenue into Corporate Social Responsibility (CSR) projects – 50% of which would be allocated to health</w:t>
      </w:r>
      <w:r>
        <w:rPr>
          <w:rFonts w:ascii="Calibri" w:hAnsi="Calibri" w:cs="Calibri"/>
          <w:b w:val="0"/>
        </w:rPr>
        <w:t>.</w:t>
      </w:r>
    </w:p>
    <w:p w:rsidR="0025162C" w:rsidRPr="00BD4A85" w:rsidRDefault="0025162C" w:rsidP="00564161">
      <w:pPr>
        <w:pStyle w:val="1-DocTextBold"/>
        <w:numPr>
          <w:ilvl w:val="0"/>
          <w:numId w:val="7"/>
        </w:numPr>
        <w:spacing w:line="240" w:lineRule="auto"/>
        <w:jc w:val="both"/>
        <w:rPr>
          <w:rFonts w:ascii="Calibri" w:hAnsi="Calibri"/>
          <w:b w:val="0"/>
          <w:bCs/>
          <w:szCs w:val="22"/>
        </w:rPr>
      </w:pPr>
      <w:r w:rsidRPr="00BD4A85">
        <w:rPr>
          <w:rFonts w:ascii="Calibri" w:hAnsi="Calibri"/>
          <w:b w:val="0"/>
          <w:bCs/>
          <w:szCs w:val="22"/>
        </w:rPr>
        <w:t>The MOH will produce all relevant information for the private sector with regard to the potential investments in health and ways of accessing local and international capital for health development</w:t>
      </w:r>
      <w:r w:rsidRPr="00BD4A85">
        <w:rPr>
          <w:rFonts w:ascii="Calibri" w:hAnsi="Calibri" w:cs="Calibri"/>
        </w:rPr>
        <w:t xml:space="preserve"> </w:t>
      </w:r>
    </w:p>
    <w:p w:rsidR="0025162C" w:rsidRPr="00BD4A85" w:rsidRDefault="0025162C" w:rsidP="0025162C">
      <w:pPr>
        <w:rPr>
          <w:b/>
          <w:bCs/>
          <w:sz w:val="28"/>
          <w:szCs w:val="28"/>
          <w:lang w:val="en-GB"/>
        </w:rPr>
      </w:pPr>
    </w:p>
    <w:p w:rsidR="0025162C" w:rsidRPr="00BD4A85" w:rsidRDefault="0025162C" w:rsidP="001C7880">
      <w:pPr>
        <w:pStyle w:val="Heading2"/>
      </w:pPr>
      <w:bookmarkStart w:id="1031" w:name="_Toc363225890"/>
      <w:bookmarkStart w:id="1032" w:name="_Toc384903835"/>
      <w:bookmarkStart w:id="1033" w:name="_Toc384911961"/>
      <w:r w:rsidRPr="00BD4A85">
        <w:t>3.7</w:t>
      </w:r>
      <w:r w:rsidRPr="00BD4A85">
        <w:tab/>
        <w:t>LOBBY WITH MINISTRY OF FINANCE TO MEET ABUJA TARGET OF 15% ALLOCATION TO THE HEALTH SECTOR AS A SHARE OF TOTAL GOVERNMENT EXPENDITURE</w:t>
      </w:r>
      <w:bookmarkEnd w:id="1031"/>
      <w:bookmarkEnd w:id="1032"/>
      <w:bookmarkEnd w:id="1033"/>
    </w:p>
    <w:p w:rsidR="0025162C" w:rsidRPr="00BD4A85" w:rsidRDefault="004D598F" w:rsidP="0025162C">
      <w:pPr>
        <w:rPr>
          <w:lang w:eastAsia="en-GB"/>
        </w:rPr>
      </w:pPr>
      <w:r>
        <w:rPr>
          <w:rFonts w:cs="Calibri"/>
        </w:rPr>
        <w:pict>
          <v:rect id="_x0000_i1038" style="width:0;height:1.5pt" o:hralign="center" o:hrstd="t" o:hr="t" fillcolor="#a0a0a0" stroked="f"/>
        </w:pict>
      </w:r>
    </w:p>
    <w:p w:rsidR="0025162C" w:rsidRPr="00BD4A85" w:rsidRDefault="0025162C" w:rsidP="0025162C">
      <w:pPr>
        <w:jc w:val="both"/>
      </w:pPr>
      <w:r>
        <w:rPr>
          <w:bCs/>
        </w:rPr>
        <w:t>The</w:t>
      </w:r>
      <w:r w:rsidRPr="00BD4A85">
        <w:rPr>
          <w:bCs/>
        </w:rPr>
        <w:t xml:space="preserve"> Government of Malawi </w:t>
      </w:r>
      <w:r>
        <w:rPr>
          <w:bCs/>
        </w:rPr>
        <w:t xml:space="preserve">has committed </w:t>
      </w:r>
      <w:r w:rsidRPr="00BD4A85">
        <w:rPr>
          <w:bCs/>
        </w:rPr>
        <w:t xml:space="preserve">to the Abuja Declaration (2001) target of spending 15% of the government budget on health. </w:t>
      </w:r>
      <w:r>
        <w:rPr>
          <w:bCs/>
        </w:rPr>
        <w:t>While Malawi has been reported as ‘making progress’</w:t>
      </w:r>
      <w:r>
        <w:rPr>
          <w:rStyle w:val="FootnoteReference"/>
          <w:bCs/>
        </w:rPr>
        <w:footnoteReference w:id="7"/>
      </w:r>
      <w:r>
        <w:rPr>
          <w:bCs/>
        </w:rPr>
        <w:t>,</w:t>
      </w:r>
      <w:r w:rsidRPr="00BD4A85">
        <w:rPr>
          <w:bCs/>
        </w:rPr>
        <w:t xml:space="preserve"> this target has consistently not been met. In 2007/2008, the MoH </w:t>
      </w:r>
      <w:r>
        <w:rPr>
          <w:bCs/>
        </w:rPr>
        <w:t xml:space="preserve">did </w:t>
      </w:r>
      <w:r w:rsidRPr="00BD4A85">
        <w:rPr>
          <w:bCs/>
        </w:rPr>
        <w:t>hit th</w:t>
      </w:r>
      <w:r>
        <w:rPr>
          <w:bCs/>
        </w:rPr>
        <w:t xml:space="preserve">e </w:t>
      </w:r>
      <w:r w:rsidRPr="00BD4A85">
        <w:rPr>
          <w:bCs/>
        </w:rPr>
        <w:t>target with an allocation of 15%</w:t>
      </w:r>
      <w:r>
        <w:rPr>
          <w:bCs/>
        </w:rPr>
        <w:t xml:space="preserve"> of government resources directed at health</w:t>
      </w:r>
      <w:r w:rsidRPr="00BD4A85">
        <w:rPr>
          <w:bCs/>
        </w:rPr>
        <w:t>; however, in 2012/2013</w:t>
      </w:r>
      <w:r>
        <w:rPr>
          <w:bCs/>
        </w:rPr>
        <w:t>, that percentage fell to 8.9% due to donor volatility and lack of internal resources.</w:t>
      </w:r>
    </w:p>
    <w:p w:rsidR="0025162C" w:rsidRPr="00BD4A85" w:rsidRDefault="0025162C" w:rsidP="0025162C">
      <w:r w:rsidRPr="00BD4A85">
        <w:t xml:space="preserve">Assuming that Government increase MoH Budget allocation by 1% yearly from 2013/14 and meets Abuja target in year 2016/2017 and that Government revenues grows at 15.3% year, resources to </w:t>
      </w:r>
      <w:r>
        <w:t xml:space="preserve">the </w:t>
      </w:r>
      <w:r w:rsidRPr="00BD4A85">
        <w:t>Ministry of Health would dramatically increase by 100%.</w:t>
      </w:r>
    </w:p>
    <w:p w:rsidR="0025162C" w:rsidRPr="00BD4A85" w:rsidRDefault="0025162C" w:rsidP="00A12622">
      <w:pPr>
        <w:pStyle w:val="Heading3"/>
      </w:pPr>
      <w:bookmarkStart w:id="1034" w:name="_Toc363225891"/>
      <w:r w:rsidRPr="00BD4A85">
        <w:t>3.7.1</w:t>
      </w:r>
      <w:r w:rsidRPr="00BD4A85">
        <w:tab/>
        <w:t>Strategic Interventions</w:t>
      </w:r>
      <w:bookmarkEnd w:id="1034"/>
    </w:p>
    <w:p w:rsidR="0025162C" w:rsidRPr="00BD4A85" w:rsidRDefault="0025162C" w:rsidP="0025162C">
      <w:pPr>
        <w:pStyle w:val="1-DocTextBold"/>
        <w:spacing w:before="0" w:after="0"/>
        <w:jc w:val="both"/>
        <w:rPr>
          <w:rFonts w:ascii="Calibri" w:hAnsi="Calibri"/>
          <w:b w:val="0"/>
          <w:bCs/>
          <w:szCs w:val="22"/>
          <w:lang w:val="en-US"/>
        </w:rPr>
      </w:pPr>
      <w:r w:rsidRPr="00BD4A85">
        <w:rPr>
          <w:rFonts w:ascii="Calibri" w:hAnsi="Calibri"/>
          <w:b w:val="0"/>
          <w:bCs/>
          <w:szCs w:val="22"/>
        </w:rPr>
        <w:t>In order to achieve this strategy, t</w:t>
      </w:r>
      <w:r w:rsidRPr="00BD4A85">
        <w:rPr>
          <w:rFonts w:ascii="Calibri" w:hAnsi="Calibri"/>
          <w:b w:val="0"/>
          <w:bCs/>
          <w:szCs w:val="22"/>
          <w:lang w:val="en-US"/>
        </w:rPr>
        <w:t>he Ministry of Health and partners need to do the following:</w:t>
      </w:r>
    </w:p>
    <w:p w:rsidR="0025162C" w:rsidRPr="00BD4A85" w:rsidRDefault="0025162C" w:rsidP="0025162C">
      <w:pPr>
        <w:pStyle w:val="1-DocTextBold"/>
        <w:numPr>
          <w:ilvl w:val="0"/>
          <w:numId w:val="1"/>
        </w:numPr>
        <w:spacing w:before="0" w:after="0"/>
        <w:jc w:val="both"/>
        <w:rPr>
          <w:rFonts w:ascii="Calibri" w:hAnsi="Calibri"/>
          <w:b w:val="0"/>
          <w:bCs/>
          <w:szCs w:val="22"/>
          <w:lang w:val="en-US"/>
        </w:rPr>
      </w:pPr>
      <w:r w:rsidRPr="00BD4A85">
        <w:rPr>
          <w:rFonts w:ascii="Calibri" w:hAnsi="Calibri"/>
          <w:b w:val="0"/>
          <w:bCs/>
          <w:szCs w:val="22"/>
          <w:lang w:val="en-US"/>
        </w:rPr>
        <w:t xml:space="preserve">The MOH will organize high level meetings with the Ministry of Finance to ensure that they formally recognize the HSSP and key international commitments in health care financing – i.e. the Abuja target of allocating at least 15 percent of the government budget to health.  </w:t>
      </w:r>
    </w:p>
    <w:p w:rsidR="0025162C" w:rsidRPr="00BD4A85" w:rsidRDefault="0025162C" w:rsidP="0025162C">
      <w:pPr>
        <w:pStyle w:val="1-DocTextBold"/>
        <w:numPr>
          <w:ilvl w:val="0"/>
          <w:numId w:val="1"/>
        </w:numPr>
        <w:spacing w:before="0" w:after="0"/>
        <w:jc w:val="both"/>
        <w:rPr>
          <w:rFonts w:ascii="Calibri" w:hAnsi="Calibri"/>
          <w:b w:val="0"/>
          <w:bCs/>
          <w:szCs w:val="22"/>
          <w:lang w:val="en-US"/>
        </w:rPr>
      </w:pPr>
      <w:r w:rsidRPr="00BD4A85">
        <w:rPr>
          <w:rFonts w:ascii="Calibri" w:hAnsi="Calibri"/>
          <w:b w:val="0"/>
          <w:bCs/>
          <w:szCs w:val="22"/>
          <w:lang w:val="en-US"/>
        </w:rPr>
        <w:t xml:space="preserve">The MOH will annually conduct modeling of expected resource needs versus expected resource availability via gap analyses, generating to evidence with which to lobby Treasury for added funding. </w:t>
      </w:r>
    </w:p>
    <w:p w:rsidR="0025162C" w:rsidRPr="00BD4A85" w:rsidRDefault="0025162C" w:rsidP="0025162C">
      <w:pPr>
        <w:pStyle w:val="ListParagraph"/>
        <w:numPr>
          <w:ilvl w:val="0"/>
          <w:numId w:val="1"/>
        </w:numPr>
        <w:jc w:val="both"/>
        <w:rPr>
          <w:b/>
        </w:rPr>
      </w:pPr>
      <w:r w:rsidRPr="00BD4A85">
        <w:rPr>
          <w:bCs/>
        </w:rPr>
        <w:t>The MOH will develop tools and models that show the causal link between health investments and macroeconomic performance, allowing the MoH to present a strong business case for increased resource allocation.</w:t>
      </w:r>
    </w:p>
    <w:p w:rsidR="0025162C" w:rsidRDefault="0025162C" w:rsidP="001C7880">
      <w:pPr>
        <w:pStyle w:val="Heading2"/>
      </w:pPr>
      <w:bookmarkStart w:id="1035" w:name="_Toc384903836"/>
      <w:bookmarkStart w:id="1036" w:name="_Toc384911962"/>
      <w:r>
        <w:t>3.8</w:t>
      </w:r>
      <w:r w:rsidRPr="00BD4A85">
        <w:tab/>
        <w:t>INTRODUCE LEVY ON TELECOMMUNICATION</w:t>
      </w:r>
      <w:bookmarkEnd w:id="1035"/>
      <w:bookmarkEnd w:id="1036"/>
    </w:p>
    <w:p w:rsidR="00BD06B9" w:rsidRPr="00BD4A85" w:rsidRDefault="004D598F" w:rsidP="00BD06B9">
      <w:r>
        <w:pict>
          <v:rect id="_x0000_i1039" style="width:0;height:1.5pt" o:hralign="center" o:hrstd="t" o:hr="t" fillcolor="#a0a0a0" stroked="f"/>
        </w:pict>
      </w:r>
    </w:p>
    <w:p w:rsidR="0025162C" w:rsidRPr="001B572B" w:rsidRDefault="0025162C" w:rsidP="0025162C">
      <w:pPr>
        <w:jc w:val="both"/>
        <w:rPr>
          <w:rFonts w:cs="Calibri"/>
        </w:rPr>
      </w:pPr>
      <w:r w:rsidRPr="001B572B">
        <w:rPr>
          <w:rFonts w:cs="Calibri"/>
        </w:rPr>
        <w:t xml:space="preserve">The strategy aims at introduction of health excise telecom tax. There is potential of generating relatively high revenue is the region of (US3.5 million in 2013/14) and if that is applied to health will make significant impact in certain specific disease areas. The MoH budget will increase by 5 percent if 3 percent is applied as excise telecom tax. These percentages will likely to increase due to the fact that telecom industry growth is faster than government budgets in Malawi. </w:t>
      </w:r>
      <w:r>
        <w:rPr>
          <w:rFonts w:cs="Calibri"/>
        </w:rPr>
        <w:t>Although, t</w:t>
      </w:r>
      <w:r w:rsidRPr="00EB435F">
        <w:rPr>
          <w:rFonts w:cstheme="minorHAnsi"/>
          <w:lang w:val="en-GB"/>
        </w:rPr>
        <w:t>he telecommunications industry is amongst the most profitable industries in Malawi</w:t>
      </w:r>
      <w:r>
        <w:rPr>
          <w:rFonts w:cstheme="minorHAnsi"/>
          <w:lang w:val="en-GB"/>
        </w:rPr>
        <w:t>, it is</w:t>
      </w:r>
      <w:r w:rsidRPr="00EB435F">
        <w:rPr>
          <w:rFonts w:cstheme="minorHAnsi"/>
          <w:lang w:val="en-GB"/>
        </w:rPr>
        <w:t xml:space="preserve"> also one of the most heavily taxed</w:t>
      </w:r>
      <w:r>
        <w:rPr>
          <w:rFonts w:cstheme="minorHAnsi"/>
          <w:lang w:val="en-GB"/>
        </w:rPr>
        <w:t>.</w:t>
      </w:r>
    </w:p>
    <w:p w:rsidR="0025162C" w:rsidRPr="001B572B" w:rsidRDefault="0025162C" w:rsidP="0025162C">
      <w:r w:rsidRPr="001B572B">
        <w:lastRenderedPageBreak/>
        <w:t>The objective is to make a more sustainable source of funding for the health through health excise telecom tax.</w:t>
      </w:r>
    </w:p>
    <w:p w:rsidR="0025162C" w:rsidRPr="00BD4A85" w:rsidRDefault="0025162C" w:rsidP="00A12622">
      <w:pPr>
        <w:pStyle w:val="Heading3"/>
      </w:pPr>
      <w:r>
        <w:t>3.8.1</w:t>
      </w:r>
      <w:r w:rsidRPr="00BD4A85">
        <w:tab/>
        <w:t>STRATEGIC INTERVENTIONS</w:t>
      </w:r>
    </w:p>
    <w:p w:rsidR="0025162C" w:rsidRPr="001B572B" w:rsidRDefault="0025162C" w:rsidP="00564161">
      <w:pPr>
        <w:pStyle w:val="1-DocTextBold"/>
        <w:numPr>
          <w:ilvl w:val="2"/>
          <w:numId w:val="9"/>
        </w:numPr>
        <w:spacing w:before="0" w:after="0"/>
        <w:jc w:val="both"/>
        <w:rPr>
          <w:rFonts w:ascii="Calibri" w:hAnsi="Calibri"/>
          <w:b w:val="0"/>
          <w:bCs/>
          <w:szCs w:val="22"/>
          <w:lang w:val="en-US"/>
        </w:rPr>
      </w:pPr>
      <w:r w:rsidRPr="001B572B">
        <w:rPr>
          <w:rFonts w:ascii="Calibri" w:hAnsi="Calibri"/>
          <w:b w:val="0"/>
          <w:bCs/>
          <w:szCs w:val="22"/>
          <w:lang w:val="en-US"/>
        </w:rPr>
        <w:t>Assess the feasibility of implementing a health levy on telecommunications revenue.</w:t>
      </w:r>
    </w:p>
    <w:p w:rsidR="0025162C" w:rsidRPr="001B572B" w:rsidRDefault="0025162C" w:rsidP="00564161">
      <w:pPr>
        <w:pStyle w:val="1-DocTextBold"/>
        <w:numPr>
          <w:ilvl w:val="2"/>
          <w:numId w:val="9"/>
        </w:numPr>
        <w:spacing w:before="0" w:after="0"/>
        <w:jc w:val="both"/>
        <w:rPr>
          <w:rFonts w:ascii="Calibri" w:hAnsi="Calibri"/>
          <w:b w:val="0"/>
          <w:bCs/>
          <w:szCs w:val="22"/>
          <w:lang w:val="en-US"/>
        </w:rPr>
      </w:pPr>
      <w:r w:rsidRPr="001B572B">
        <w:rPr>
          <w:rFonts w:ascii="Calibri" w:hAnsi="Calibri"/>
          <w:b w:val="0"/>
          <w:bCs/>
          <w:szCs w:val="22"/>
          <w:lang w:val="en-US"/>
        </w:rPr>
        <w:t>Analyze the revenue that could be received and identify the possible implications of a levy on both industries</w:t>
      </w:r>
    </w:p>
    <w:p w:rsidR="0025162C" w:rsidRDefault="0025162C" w:rsidP="00564161">
      <w:pPr>
        <w:pStyle w:val="1-DocTextBold"/>
        <w:numPr>
          <w:ilvl w:val="2"/>
          <w:numId w:val="9"/>
        </w:numPr>
        <w:spacing w:before="0" w:after="0"/>
        <w:jc w:val="both"/>
        <w:rPr>
          <w:rFonts w:ascii="Calibri" w:hAnsi="Calibri"/>
          <w:b w:val="0"/>
          <w:bCs/>
          <w:szCs w:val="22"/>
          <w:lang w:val="en-US"/>
        </w:rPr>
      </w:pPr>
      <w:r w:rsidRPr="001B572B">
        <w:rPr>
          <w:rFonts w:ascii="Calibri" w:hAnsi="Calibri"/>
          <w:b w:val="0"/>
          <w:bCs/>
          <w:szCs w:val="22"/>
          <w:lang w:val="en-US"/>
        </w:rPr>
        <w:t>Earmarking the levy rather than general government revenue</w:t>
      </w:r>
    </w:p>
    <w:p w:rsidR="0025162C" w:rsidRDefault="0025162C" w:rsidP="0025162C">
      <w:pPr>
        <w:pStyle w:val="Caption"/>
      </w:pPr>
    </w:p>
    <w:p w:rsidR="0025162C" w:rsidRDefault="0025162C" w:rsidP="0025162C">
      <w:pPr>
        <w:pStyle w:val="Caption"/>
      </w:pPr>
    </w:p>
    <w:p w:rsidR="0025162C" w:rsidRDefault="0025162C" w:rsidP="0025162C">
      <w:pPr>
        <w:pStyle w:val="Caption"/>
      </w:pPr>
    </w:p>
    <w:p w:rsidR="0025162C" w:rsidRDefault="0025162C" w:rsidP="0025162C">
      <w:pPr>
        <w:pStyle w:val="Caption"/>
      </w:pPr>
    </w:p>
    <w:p w:rsidR="0025162C" w:rsidRPr="00422BE4" w:rsidRDefault="0025162C" w:rsidP="0025162C">
      <w:pPr>
        <w:pStyle w:val="Caption"/>
        <w:rPr>
          <w:b w:val="0"/>
          <w:bCs w:val="0"/>
          <w:sz w:val="22"/>
          <w:szCs w:val="22"/>
        </w:rPr>
      </w:pPr>
      <w:bookmarkStart w:id="1037" w:name="_Toc384903766"/>
      <w:bookmarkStart w:id="1038" w:name="_Toc384908042"/>
      <w:r w:rsidRPr="00422BE4">
        <w:rPr>
          <w:sz w:val="22"/>
          <w:szCs w:val="22"/>
        </w:rPr>
        <w:t xml:space="preserve">Figure </w:t>
      </w:r>
      <w:r w:rsidRPr="00422BE4">
        <w:rPr>
          <w:sz w:val="22"/>
          <w:szCs w:val="22"/>
        </w:rPr>
        <w:fldChar w:fldCharType="begin"/>
      </w:r>
      <w:r w:rsidRPr="00422BE4">
        <w:rPr>
          <w:sz w:val="22"/>
          <w:szCs w:val="22"/>
        </w:rPr>
        <w:instrText xml:space="preserve"> SEQ Figure \* ARABIC </w:instrText>
      </w:r>
      <w:r w:rsidRPr="00422BE4">
        <w:rPr>
          <w:sz w:val="22"/>
          <w:szCs w:val="22"/>
        </w:rPr>
        <w:fldChar w:fldCharType="separate"/>
      </w:r>
      <w:r w:rsidR="00381BCB">
        <w:rPr>
          <w:noProof/>
          <w:sz w:val="22"/>
          <w:szCs w:val="22"/>
        </w:rPr>
        <w:t>6</w:t>
      </w:r>
      <w:r w:rsidRPr="00422BE4">
        <w:rPr>
          <w:sz w:val="22"/>
          <w:szCs w:val="22"/>
        </w:rPr>
        <w:fldChar w:fldCharType="end"/>
      </w:r>
      <w:r w:rsidRPr="00422BE4">
        <w:rPr>
          <w:sz w:val="22"/>
          <w:szCs w:val="22"/>
        </w:rPr>
        <w:t>: Revenue Generated from Telecommunication Levy</w:t>
      </w:r>
      <w:bookmarkEnd w:id="1037"/>
      <w:bookmarkEnd w:id="1038"/>
    </w:p>
    <w:p w:rsidR="0025162C" w:rsidRPr="00BD4A85" w:rsidRDefault="0025162C" w:rsidP="0025162C">
      <w:pPr>
        <w:rPr>
          <w:lang w:eastAsia="en-GB"/>
        </w:rPr>
      </w:pPr>
      <w:r w:rsidRPr="00EB435F">
        <w:rPr>
          <w:noProof/>
        </w:rPr>
        <w:drawing>
          <wp:inline distT="0" distB="0" distL="0" distR="0" wp14:anchorId="7B682265" wp14:editId="64FC87D5">
            <wp:extent cx="5200650" cy="2857500"/>
            <wp:effectExtent l="38100" t="38100" r="95250" b="952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5162C" w:rsidRPr="00EC17BD" w:rsidRDefault="0025162C" w:rsidP="0025162C">
      <w:pPr>
        <w:pStyle w:val="Caption"/>
        <w:ind w:firstLine="720"/>
        <w:rPr>
          <w:b w:val="0"/>
          <w:color w:val="auto"/>
        </w:rPr>
      </w:pPr>
      <w:r w:rsidRPr="00EC17BD">
        <w:rPr>
          <w:b w:val="0"/>
          <w:color w:val="auto"/>
        </w:rPr>
        <w:t>Source: Health Financing Drafting Team own estimation</w:t>
      </w:r>
    </w:p>
    <w:p w:rsidR="0025162C" w:rsidRPr="00BD4A85" w:rsidRDefault="0025162C" w:rsidP="0025162C">
      <w:pPr>
        <w:rPr>
          <w:lang w:eastAsia="en-GB"/>
        </w:rPr>
      </w:pPr>
    </w:p>
    <w:p w:rsidR="0025162C" w:rsidRDefault="0025162C" w:rsidP="0025162C">
      <w:pPr>
        <w:rPr>
          <w:lang w:eastAsia="en-GB"/>
        </w:rPr>
      </w:pPr>
    </w:p>
    <w:p w:rsidR="0025162C" w:rsidRDefault="0025162C" w:rsidP="0025162C">
      <w:pPr>
        <w:rPr>
          <w:lang w:eastAsia="en-GB"/>
        </w:rPr>
      </w:pPr>
    </w:p>
    <w:p w:rsidR="0025162C" w:rsidRDefault="0025162C" w:rsidP="0025162C">
      <w:pPr>
        <w:rPr>
          <w:lang w:eastAsia="en-GB"/>
        </w:rPr>
      </w:pPr>
    </w:p>
    <w:p w:rsidR="0025162C" w:rsidRDefault="0025162C" w:rsidP="0025162C">
      <w:pPr>
        <w:rPr>
          <w:lang w:eastAsia="en-GB"/>
        </w:rPr>
      </w:pPr>
    </w:p>
    <w:p w:rsidR="0025162C" w:rsidRDefault="0025162C" w:rsidP="0025162C">
      <w:pPr>
        <w:rPr>
          <w:lang w:eastAsia="en-GB"/>
        </w:rPr>
      </w:pPr>
    </w:p>
    <w:p w:rsidR="0025162C" w:rsidRDefault="0025162C" w:rsidP="0025162C">
      <w:pPr>
        <w:rPr>
          <w:lang w:eastAsia="en-GB"/>
        </w:rPr>
      </w:pPr>
    </w:p>
    <w:p w:rsidR="0025162C" w:rsidRDefault="0025162C" w:rsidP="0025162C">
      <w:pPr>
        <w:rPr>
          <w:lang w:eastAsia="en-GB"/>
        </w:rPr>
      </w:pPr>
    </w:p>
    <w:p w:rsidR="0025162C" w:rsidRDefault="0025162C" w:rsidP="0025162C">
      <w:pPr>
        <w:rPr>
          <w:lang w:eastAsia="en-GB"/>
        </w:rPr>
      </w:pPr>
    </w:p>
    <w:p w:rsidR="0025162C" w:rsidRDefault="0025162C" w:rsidP="0025162C">
      <w:pPr>
        <w:rPr>
          <w:lang w:eastAsia="en-GB"/>
        </w:rPr>
      </w:pPr>
    </w:p>
    <w:p w:rsidR="0025162C" w:rsidRDefault="0025162C" w:rsidP="0025162C">
      <w:pPr>
        <w:rPr>
          <w:lang w:eastAsia="en-GB"/>
        </w:rPr>
      </w:pPr>
    </w:p>
    <w:p w:rsidR="0025162C" w:rsidRDefault="0025162C" w:rsidP="0025162C">
      <w:pPr>
        <w:rPr>
          <w:lang w:eastAsia="en-GB"/>
        </w:rPr>
      </w:pPr>
    </w:p>
    <w:p w:rsidR="0025162C" w:rsidRDefault="0025162C" w:rsidP="0025162C">
      <w:pPr>
        <w:rPr>
          <w:lang w:eastAsia="en-GB"/>
        </w:rPr>
      </w:pPr>
    </w:p>
    <w:p w:rsidR="0025162C" w:rsidRDefault="0025162C" w:rsidP="00CF0449">
      <w:pPr>
        <w:pStyle w:val="HeadingO"/>
      </w:pPr>
      <w:bookmarkStart w:id="1039" w:name="_Toc363225892"/>
      <w:bookmarkStart w:id="1040" w:name="_Toc384903837"/>
      <w:bookmarkStart w:id="1041" w:name="_Toc384911963"/>
      <w:r w:rsidRPr="00BD4A85">
        <w:rPr>
          <w:lang w:val="en-US"/>
        </w:rPr>
        <w:t>4</w:t>
      </w:r>
      <w:r w:rsidRPr="00BD4A85">
        <w:t>.0</w:t>
      </w:r>
      <w:r>
        <w:tab/>
      </w:r>
      <w:r w:rsidRPr="00BD4A85">
        <w:tab/>
        <w:t>OBJECTIVE 2: IMPROVE EFFICIENCY IN HOW FINANCIAL RESOURCES ARE ALLOCATED, MANAGED AND LIQUIDATED</w:t>
      </w:r>
      <w:bookmarkEnd w:id="1039"/>
      <w:bookmarkEnd w:id="1040"/>
      <w:bookmarkEnd w:id="1041"/>
    </w:p>
    <w:p w:rsidR="0025162C" w:rsidRPr="00BD4A85" w:rsidRDefault="0025162C" w:rsidP="0025162C">
      <w:bookmarkStart w:id="1042" w:name="_Toc363225893"/>
      <w:bookmarkStart w:id="1043" w:name="_Toc384903838"/>
      <w:bookmarkStart w:id="1044" w:name="_Toc384911964"/>
      <w:r w:rsidRPr="00BD4A85">
        <w:rPr>
          <w:rStyle w:val="Heading2Char"/>
          <w:rFonts w:eastAsia="Calibri"/>
        </w:rPr>
        <w:t>4.</w:t>
      </w:r>
      <w:r>
        <w:rPr>
          <w:rStyle w:val="Heading2Char"/>
          <w:rFonts w:eastAsia="Calibri"/>
        </w:rPr>
        <w:t>1</w:t>
      </w:r>
      <w:r w:rsidRPr="00BD4A85">
        <w:rPr>
          <w:rStyle w:val="Heading2Char"/>
          <w:rFonts w:eastAsia="Calibri"/>
        </w:rPr>
        <w:tab/>
      </w:r>
      <w:r>
        <w:rPr>
          <w:rStyle w:val="Heading2Char"/>
          <w:rFonts w:eastAsia="Calibri"/>
        </w:rPr>
        <w:t>ALIGN</w:t>
      </w:r>
      <w:r w:rsidRPr="00BD4A85">
        <w:rPr>
          <w:rStyle w:val="Heading2Char"/>
          <w:rFonts w:eastAsia="Calibri"/>
        </w:rPr>
        <w:t xml:space="preserve"> MORE DONOR RESOURCES TOWARD</w:t>
      </w:r>
      <w:r w:rsidR="000F20C5">
        <w:rPr>
          <w:rStyle w:val="Heading2Char"/>
          <w:rFonts w:eastAsia="Calibri"/>
        </w:rPr>
        <w:t>S</w:t>
      </w:r>
      <w:r w:rsidRPr="00BD4A85">
        <w:rPr>
          <w:rStyle w:val="Heading2Char"/>
          <w:rFonts w:eastAsia="Calibri"/>
        </w:rPr>
        <w:t xml:space="preserve"> </w:t>
      </w:r>
      <w:r w:rsidR="000F20C5">
        <w:rPr>
          <w:rStyle w:val="Heading2Char"/>
          <w:rFonts w:eastAsia="Calibri"/>
        </w:rPr>
        <w:t xml:space="preserve">GOVERNMENT </w:t>
      </w:r>
      <w:r w:rsidRPr="00BD4A85">
        <w:rPr>
          <w:rStyle w:val="Heading2Char"/>
          <w:rFonts w:eastAsia="Calibri"/>
        </w:rPr>
        <w:t>PLANS</w:t>
      </w:r>
      <w:r>
        <w:rPr>
          <w:rStyle w:val="Heading2Char"/>
          <w:rFonts w:eastAsia="Calibri"/>
        </w:rPr>
        <w:t xml:space="preserve"> (AIP, CHIP, ZIP, OR DIP)</w:t>
      </w:r>
      <w:bookmarkEnd w:id="1042"/>
      <w:bookmarkEnd w:id="1043"/>
      <w:bookmarkEnd w:id="1044"/>
      <w:r w:rsidR="004D598F">
        <w:pict>
          <v:rect id="_x0000_i1040" style="width:0;height:1.5pt" o:hralign="center" o:hrstd="t" o:hr="t" fillcolor="#a0a0a0" stroked="f"/>
        </w:pict>
      </w:r>
    </w:p>
    <w:p w:rsidR="0025162C" w:rsidRPr="00BD4A85" w:rsidRDefault="0025162C" w:rsidP="0025162C">
      <w:pPr>
        <w:jc w:val="both"/>
        <w:rPr>
          <w:lang w:val="en-CA"/>
        </w:rPr>
      </w:pPr>
      <w:r>
        <w:rPr>
          <w:lang w:val="en-CA"/>
        </w:rPr>
        <w:t xml:space="preserve">Currently, donor funding supplies 89% of Malawi’s healthcare funding; however, not </w:t>
      </w:r>
      <w:r w:rsidR="00EE6BAB">
        <w:rPr>
          <w:lang w:val="en-CA"/>
        </w:rPr>
        <w:t>this entire</w:t>
      </w:r>
      <w:r>
        <w:rPr>
          <w:lang w:val="en-CA"/>
        </w:rPr>
        <w:t xml:space="preserve"> donor funding is aligned with government priorities. Donors can align their funding more toward MoH priorities by consulting the relevant AIPs, CHIPs, DIPs, and ZIPs, and conversely, MoH can actively advocate for greater alignment using these plans. </w:t>
      </w:r>
      <w:r w:rsidRPr="00BD4A85">
        <w:rPr>
          <w:lang w:val="en-CA"/>
        </w:rPr>
        <w:t>Greater alignment of donor grants to national and district strategic plans has the potential to improve health system coordination and efficient resource allocation as well as increase the ability to review sectoral performance based on jointly agreed milestones and targets. Additionally, improved planning and coordination between stakeholders could assist in ensuring that resources are distributed to populations and areas most in need, thereby increasing equity and access.</w:t>
      </w:r>
    </w:p>
    <w:p w:rsidR="0025162C" w:rsidRPr="00BD4A85" w:rsidRDefault="0025162C" w:rsidP="0025162C">
      <w:pPr>
        <w:pStyle w:val="Default"/>
        <w:spacing w:after="200" w:line="276" w:lineRule="auto"/>
        <w:jc w:val="both"/>
        <w:rPr>
          <w:rFonts w:ascii="Calibri" w:hAnsi="Calibri" w:cs="Arial"/>
          <w:sz w:val="22"/>
          <w:szCs w:val="22"/>
        </w:rPr>
      </w:pPr>
      <w:r w:rsidRPr="00BD4A85">
        <w:rPr>
          <w:rFonts w:ascii="Calibri" w:hAnsi="Calibri" w:cs="Arial"/>
          <w:sz w:val="22"/>
          <w:szCs w:val="22"/>
        </w:rPr>
        <w:t>The Government of Malawi has moved in this direction by establishing coordination mechanisms for the health sector</w:t>
      </w:r>
      <w:r>
        <w:rPr>
          <w:rFonts w:ascii="Calibri" w:hAnsi="Calibri" w:cs="Arial"/>
          <w:sz w:val="22"/>
          <w:szCs w:val="22"/>
        </w:rPr>
        <w:t>, managed by the MoH SWAp Secretariat</w:t>
      </w:r>
      <w:r w:rsidRPr="00BD4A85">
        <w:rPr>
          <w:rFonts w:ascii="Calibri" w:hAnsi="Calibri" w:cs="Arial"/>
          <w:sz w:val="22"/>
          <w:szCs w:val="22"/>
        </w:rPr>
        <w:t xml:space="preserve">. </w:t>
      </w:r>
      <w:r>
        <w:rPr>
          <w:rFonts w:ascii="Calibri" w:hAnsi="Calibri" w:cs="Arial"/>
          <w:sz w:val="22"/>
          <w:szCs w:val="22"/>
        </w:rPr>
        <w:t>More broadly</w:t>
      </w:r>
      <w:r w:rsidRPr="00BD4A85">
        <w:rPr>
          <w:rFonts w:ascii="Calibri" w:hAnsi="Calibri" w:cs="Arial"/>
          <w:sz w:val="22"/>
          <w:szCs w:val="22"/>
        </w:rPr>
        <w:t xml:space="preserve">, the Government of Malawi has created sector working groups in all ministries in recognition that better coordination of aid and alignment to government strategies enhances efficiency and effectiveness, reduces duplication and ultimately improves health outcomes.  </w:t>
      </w:r>
    </w:p>
    <w:p w:rsidR="0025162C" w:rsidRPr="00773329" w:rsidRDefault="0025162C" w:rsidP="0025162C">
      <w:pPr>
        <w:jc w:val="both"/>
        <w:rPr>
          <w:lang w:val="en-CA"/>
        </w:rPr>
      </w:pPr>
      <w:r w:rsidRPr="00BD4A85">
        <w:rPr>
          <w:lang w:val="en-CA"/>
        </w:rPr>
        <w:t>Alignment of donor grants with national and district strategic planning</w:t>
      </w:r>
      <w:r>
        <w:rPr>
          <w:lang w:val="en-CA"/>
        </w:rPr>
        <w:t xml:space="preserve"> </w:t>
      </w:r>
      <w:r w:rsidRPr="00BD4A85">
        <w:rPr>
          <w:lang w:val="en-CA"/>
        </w:rPr>
        <w:t xml:space="preserve">would promote transparency and accountability if careful monitoring procedures and strict accounting policies were established. </w:t>
      </w:r>
      <w:r>
        <w:rPr>
          <w:lang w:val="en-CA"/>
        </w:rPr>
        <w:t>This could be accomplished through a district SWAp, which is a coordinating mechanism allowing districts to keep closer track of budget and spending.</w:t>
      </w:r>
      <w:r w:rsidRPr="00BD4A85">
        <w:rPr>
          <w:lang w:val="en-CA"/>
        </w:rPr>
        <w:t xml:space="preserve"> Districts would be held accountable to report to government, donors and the general population regarding where resources have com</w:t>
      </w:r>
      <w:r>
        <w:rPr>
          <w:lang w:val="en-CA"/>
        </w:rPr>
        <w:t xml:space="preserve">e from and how they are used. </w:t>
      </w:r>
    </w:p>
    <w:p w:rsidR="0025162C" w:rsidRPr="00BD4A85" w:rsidRDefault="0025162C" w:rsidP="00A12622">
      <w:pPr>
        <w:pStyle w:val="Heading3"/>
      </w:pPr>
      <w:bookmarkStart w:id="1045" w:name="_Toc363225894"/>
      <w:r w:rsidRPr="00BD4A85">
        <w:lastRenderedPageBreak/>
        <w:t>4.</w:t>
      </w:r>
      <w:r>
        <w:t>1</w:t>
      </w:r>
      <w:r w:rsidRPr="00BD4A85">
        <w:t>.1</w:t>
      </w:r>
      <w:r w:rsidRPr="00BD4A85">
        <w:tab/>
        <w:t>STRATEGIC INTERVENTIONS</w:t>
      </w:r>
      <w:bookmarkEnd w:id="1045"/>
    </w:p>
    <w:p w:rsidR="0025162C" w:rsidRDefault="0025162C" w:rsidP="00564161">
      <w:pPr>
        <w:pStyle w:val="ListParagraph"/>
        <w:numPr>
          <w:ilvl w:val="0"/>
          <w:numId w:val="17"/>
        </w:numPr>
        <w:jc w:val="both"/>
      </w:pPr>
      <w:r w:rsidRPr="00BD4A85">
        <w:t xml:space="preserve">Development of clear </w:t>
      </w:r>
      <w:r>
        <w:t>guidelines</w:t>
      </w:r>
      <w:r w:rsidRPr="00BD4A85">
        <w:t xml:space="preserve"> outlining responsibilities for district level coordination in order to clarify the responsibility of DHOs to communicate and coordinate with partners working in their respective districts</w:t>
      </w:r>
      <w:r>
        <w:t>.</w:t>
      </w:r>
    </w:p>
    <w:p w:rsidR="0025162C" w:rsidRPr="00A67F70" w:rsidRDefault="0025162C" w:rsidP="00564161">
      <w:pPr>
        <w:pStyle w:val="ListParagraph"/>
        <w:numPr>
          <w:ilvl w:val="0"/>
          <w:numId w:val="17"/>
        </w:numPr>
        <w:jc w:val="both"/>
      </w:pPr>
      <w:r>
        <w:t>Align donor resources to district plans, potentially though the c</w:t>
      </w:r>
      <w:r w:rsidRPr="00BD4A85">
        <w:t>reation</w:t>
      </w:r>
      <w:r>
        <w:t xml:space="preserve"> </w:t>
      </w:r>
      <w:r w:rsidRPr="00BD4A85">
        <w:t>of district level SWAp mechanisms</w:t>
      </w:r>
      <w:r>
        <w:t>,</w:t>
      </w:r>
      <w:r w:rsidRPr="00BD4A85">
        <w:t xml:space="preserve"> and designate a group to investigate technical </w:t>
      </w:r>
      <w:r>
        <w:t>challenges.</w:t>
      </w:r>
    </w:p>
    <w:p w:rsidR="0025162C" w:rsidRDefault="0025162C" w:rsidP="0025162C">
      <w:pPr>
        <w:jc w:val="both"/>
      </w:pPr>
    </w:p>
    <w:p w:rsidR="0025162C" w:rsidRDefault="0025162C" w:rsidP="0025162C">
      <w:pPr>
        <w:jc w:val="both"/>
      </w:pPr>
    </w:p>
    <w:p w:rsidR="00692C1C" w:rsidRPr="00BD4A85" w:rsidRDefault="00692C1C" w:rsidP="0025162C">
      <w:pPr>
        <w:jc w:val="both"/>
      </w:pPr>
    </w:p>
    <w:p w:rsidR="0025162C" w:rsidRPr="00BD4A85" w:rsidRDefault="0025162C" w:rsidP="0025162C">
      <w:bookmarkStart w:id="1046" w:name="_Toc363225895"/>
      <w:bookmarkStart w:id="1047" w:name="_Toc384903839"/>
      <w:bookmarkStart w:id="1048" w:name="_Toc384911965"/>
      <w:bookmarkStart w:id="1049" w:name="_Toc354005639"/>
      <w:r w:rsidRPr="00BD4A85">
        <w:rPr>
          <w:rStyle w:val="Heading2Char"/>
          <w:rFonts w:eastAsia="Calibri"/>
        </w:rPr>
        <w:t>4.</w:t>
      </w:r>
      <w:r>
        <w:rPr>
          <w:rStyle w:val="Heading2Char"/>
          <w:rFonts w:eastAsia="Calibri"/>
        </w:rPr>
        <w:t>2</w:t>
      </w:r>
      <w:r w:rsidRPr="00BD4A85">
        <w:rPr>
          <w:rStyle w:val="Heading2Char"/>
          <w:rFonts w:eastAsia="Calibri"/>
        </w:rPr>
        <w:tab/>
      </w:r>
      <w:bookmarkEnd w:id="1046"/>
      <w:bookmarkEnd w:id="1047"/>
      <w:bookmarkEnd w:id="1048"/>
      <w:r w:rsidR="000F20C5" w:rsidRPr="000F20C5">
        <w:rPr>
          <w:b/>
          <w:bCs/>
          <w:sz w:val="24"/>
          <w:szCs w:val="26"/>
          <w:lang w:eastAsia="en-GB"/>
        </w:rPr>
        <w:t>ALLOCATING EFFECTIVELY CAPACITY-BUILDING AND TRAINING RESOURCES TO AREAS OF GREATEST NEED</w:t>
      </w:r>
      <w:r w:rsidR="000F20C5" w:rsidRPr="000F20C5">
        <w:rPr>
          <w:b/>
          <w:sz w:val="24"/>
          <w:szCs w:val="26"/>
          <w:lang w:eastAsia="en-GB"/>
        </w:rPr>
        <w:t xml:space="preserve"> </w:t>
      </w:r>
      <w:r w:rsidR="004D598F">
        <w:pict>
          <v:rect id="_x0000_i1041" style="width:0;height:1.5pt" o:hralign="center" o:hrstd="t" o:hr="t" fillcolor="#a0a0a0" stroked="f"/>
        </w:pict>
      </w:r>
    </w:p>
    <w:p w:rsidR="0025162C" w:rsidRPr="00BD4A85" w:rsidRDefault="0025162C" w:rsidP="0025162C">
      <w:pPr>
        <w:jc w:val="both"/>
        <w:rPr>
          <w:rFonts w:cs="Arial"/>
        </w:rPr>
      </w:pPr>
      <w:r w:rsidRPr="00BD4A85">
        <w:t xml:space="preserve">Malawi continues to suffer from significant shortages of healthcare workers (HCWs). Despite the creation of a six-year Emergency Human Resource Plan (EHRP) in 2004 and an increase in the number of healthcare workers (HCWs), Malawi still lacks sufficient HCWs to effectively deliver the EHP. </w:t>
      </w:r>
      <w:r w:rsidRPr="00BD4A85">
        <w:rPr>
          <w:rFonts w:cs="Arial"/>
        </w:rPr>
        <w:t xml:space="preserve">The current shortage of health workers limits the effectiveness of other health programs and interventions and requires immediate attention. </w:t>
      </w:r>
    </w:p>
    <w:p w:rsidR="0025162C" w:rsidRPr="00BD4A85" w:rsidRDefault="0025162C" w:rsidP="0025162C">
      <w:pPr>
        <w:jc w:val="both"/>
        <w:rPr>
          <w:rFonts w:cs="Arial"/>
        </w:rPr>
      </w:pPr>
      <w:r w:rsidRPr="00BD4A85">
        <w:rPr>
          <w:rFonts w:cs="Arial"/>
        </w:rPr>
        <w:t xml:space="preserve">Despite this shortfall, resource mapping data indicates that donor and corporate organizations in Malawi prioritize training of existing </w:t>
      </w:r>
      <w:r>
        <w:rPr>
          <w:rFonts w:cs="Arial"/>
        </w:rPr>
        <w:t>HCWs over generation of new HCWs</w:t>
      </w:r>
      <w:r w:rsidRPr="00BD4A85">
        <w:rPr>
          <w:rFonts w:cs="Arial"/>
        </w:rPr>
        <w:t xml:space="preserve">. Specifically, organizations plan to spend $111M on in-service training and only $29M on pre-service training over the next 3 fiscal years (FY 2013-2016). Redirecting resources from in-service training and workshops towards pre-service training of new HCWs may be a more effective use of limited resources as Malawi works to address its critical HCW shortage. </w:t>
      </w:r>
    </w:p>
    <w:p w:rsidR="0025162C" w:rsidRPr="00BD4A85" w:rsidRDefault="0025162C" w:rsidP="0025162C">
      <w:pPr>
        <w:jc w:val="both"/>
        <w:rPr>
          <w:rFonts w:cs="Arial"/>
        </w:rPr>
      </w:pPr>
      <w:r w:rsidRPr="00BD4A85">
        <w:rPr>
          <w:rFonts w:cs="Arial"/>
        </w:rPr>
        <w:t xml:space="preserve">Reallocating resources from in-service training to pre-service training would facilitate the provision of adequate numbers </w:t>
      </w:r>
      <w:r w:rsidRPr="00BD4A85">
        <w:t xml:space="preserve">of new nurses, clinical officers, medical assistants, allied health professionals, and physicians. </w:t>
      </w:r>
      <w:r w:rsidRPr="00BD4A85">
        <w:rPr>
          <w:rFonts w:cs="Arial"/>
        </w:rPr>
        <w:t xml:space="preserve">Shifting funding from in-service training to pre-service training does not necessarily involve significantly impacting the overall availability of resources. In fact, implementation of the Nurse/Midwife Training Operational Plan aims to double student intake by 2016 and has been costed at $26.5M, well under the $111M dollars available for in-service training, a portion of which could be redirected. </w:t>
      </w:r>
    </w:p>
    <w:p w:rsidR="0025162C" w:rsidRPr="00BD4A85" w:rsidRDefault="0025162C" w:rsidP="00A12622">
      <w:pPr>
        <w:pStyle w:val="Heading3"/>
      </w:pPr>
      <w:bookmarkStart w:id="1050" w:name="_Toc363225896"/>
      <w:r w:rsidRPr="00BD4A85">
        <w:t>4.</w:t>
      </w:r>
      <w:r>
        <w:t>2</w:t>
      </w:r>
      <w:r w:rsidRPr="00BD4A85">
        <w:tab/>
        <w:t>STRATEGIC INTERVENTIONS</w:t>
      </w:r>
      <w:bookmarkEnd w:id="1050"/>
    </w:p>
    <w:p w:rsidR="0025162C" w:rsidRPr="00BD4A85" w:rsidRDefault="0025162C" w:rsidP="00564161">
      <w:pPr>
        <w:pStyle w:val="ListParagraph"/>
        <w:numPr>
          <w:ilvl w:val="0"/>
          <w:numId w:val="18"/>
        </w:numPr>
        <w:jc w:val="both"/>
      </w:pPr>
      <w:r w:rsidRPr="00BD4A85">
        <w:t>Increasing the number of HCWs requires not only resources for training, but the availability of infrastructure in the form of training institutions as well as the availability of tutors</w:t>
      </w:r>
      <w:r>
        <w:t>.</w:t>
      </w:r>
    </w:p>
    <w:p w:rsidR="0025162C" w:rsidRPr="00BD4A85" w:rsidRDefault="0025162C" w:rsidP="00564161">
      <w:pPr>
        <w:pStyle w:val="ListParagraph"/>
        <w:numPr>
          <w:ilvl w:val="0"/>
          <w:numId w:val="18"/>
        </w:numPr>
        <w:jc w:val="both"/>
      </w:pPr>
      <w:r w:rsidRPr="00BD4A85">
        <w:t>Clearly advocate for reallocation of in-service training funds towards pre-service training resources at mid-term SWAp review and HDG meetings.</w:t>
      </w:r>
    </w:p>
    <w:p w:rsidR="0025162C" w:rsidRPr="00BD4A85" w:rsidRDefault="0025162C" w:rsidP="00564161">
      <w:pPr>
        <w:pStyle w:val="ListParagraph"/>
        <w:numPr>
          <w:ilvl w:val="0"/>
          <w:numId w:val="18"/>
        </w:numPr>
        <w:jc w:val="both"/>
      </w:pPr>
      <w:r w:rsidRPr="00BD4A85">
        <w:t>HR</w:t>
      </w:r>
      <w:r>
        <w:t>H</w:t>
      </w:r>
      <w:r w:rsidRPr="00BD4A85">
        <w:t xml:space="preserve"> department should develop clear </w:t>
      </w:r>
      <w:r>
        <w:t>guidelines</w:t>
      </w:r>
      <w:r w:rsidRPr="00BD4A85">
        <w:t xml:space="preserve"> to coordinate numerous stakeholders and align resources to long term strategic plans</w:t>
      </w:r>
      <w:r>
        <w:t>.</w:t>
      </w:r>
    </w:p>
    <w:p w:rsidR="0025162C" w:rsidRPr="00773329" w:rsidRDefault="0025162C" w:rsidP="00564161">
      <w:pPr>
        <w:pStyle w:val="ListParagraph"/>
        <w:numPr>
          <w:ilvl w:val="0"/>
          <w:numId w:val="18"/>
        </w:numPr>
        <w:jc w:val="both"/>
        <w:rPr>
          <w:rStyle w:val="Heading2Char"/>
          <w:rFonts w:eastAsia="Calibri"/>
          <w:b w:val="0"/>
          <w:sz w:val="22"/>
          <w:szCs w:val="22"/>
          <w:lang w:eastAsia="en-US"/>
        </w:rPr>
      </w:pPr>
      <w:r w:rsidRPr="00BD4A85">
        <w:lastRenderedPageBreak/>
        <w:t>Re-evaluate training institution funding procedures and improve CHAM, government and donor coordination, responsibility and financial management.</w:t>
      </w:r>
    </w:p>
    <w:p w:rsidR="0025162C" w:rsidRPr="00385997" w:rsidRDefault="0025162C" w:rsidP="0025162C">
      <w:pPr>
        <w:spacing w:line="240" w:lineRule="auto"/>
        <w:jc w:val="both"/>
        <w:rPr>
          <w:rStyle w:val="Heading2Char"/>
          <w:rFonts w:eastAsia="Calibri"/>
        </w:rPr>
      </w:pPr>
      <w:bookmarkStart w:id="1051" w:name="_Toc384903840"/>
      <w:bookmarkStart w:id="1052" w:name="_Toc384911966"/>
      <w:bookmarkStart w:id="1053" w:name="_Toc363225897"/>
      <w:r w:rsidRPr="00BD4A85">
        <w:rPr>
          <w:rStyle w:val="Heading2Char"/>
          <w:rFonts w:eastAsia="Calibri"/>
        </w:rPr>
        <w:t>4.</w:t>
      </w:r>
      <w:r>
        <w:rPr>
          <w:rStyle w:val="Heading2Char"/>
          <w:rFonts w:eastAsia="Calibri"/>
        </w:rPr>
        <w:t>3</w:t>
      </w:r>
      <w:r w:rsidRPr="00BD4A85">
        <w:rPr>
          <w:rStyle w:val="Heading2Char"/>
          <w:rFonts w:eastAsia="Calibri"/>
        </w:rPr>
        <w:tab/>
      </w:r>
      <w:bookmarkEnd w:id="1051"/>
      <w:bookmarkEnd w:id="1052"/>
      <w:r w:rsidR="00C334A3" w:rsidRPr="00C334A3">
        <w:rPr>
          <w:rStyle w:val="Heading2Char"/>
          <w:rFonts w:eastAsia="Calibri"/>
        </w:rPr>
        <w:t>INTRODUCING STRATEGIC PURCHASING MECHANISMS IN THE PUBLIC HEALTH SECTOR SUCH AS PROGRAMME BASED BUDGETING AND PERFORMANCE-BASED FINANCING.</w:t>
      </w:r>
    </w:p>
    <w:bookmarkEnd w:id="1053"/>
    <w:p w:rsidR="0025162C" w:rsidRPr="00BD4A85" w:rsidRDefault="004D598F" w:rsidP="0025162C">
      <w:pPr>
        <w:jc w:val="both"/>
        <w:rPr>
          <w:rFonts w:cs="Calibri"/>
        </w:rPr>
      </w:pPr>
      <w:r>
        <w:pict>
          <v:rect id="_x0000_i1042" style="width:0;height:1.5pt" o:hralign="center" o:hrstd="t" o:hr="t" fillcolor="#a0a0a0" stroked="f"/>
        </w:pict>
      </w:r>
      <w:bookmarkEnd w:id="1049"/>
    </w:p>
    <w:p w:rsidR="0025162C" w:rsidRDefault="0025162C" w:rsidP="0025162C">
      <w:pPr>
        <w:tabs>
          <w:tab w:val="left" w:pos="0"/>
        </w:tabs>
        <w:jc w:val="both"/>
        <w:rPr>
          <w:rFonts w:cs="Calibri"/>
        </w:rPr>
      </w:pPr>
      <w:r>
        <w:t>The Ministry currently uses the input-based line item budget payment systems</w:t>
      </w:r>
      <w:r w:rsidRPr="00BD4A85">
        <w:rPr>
          <w:rFonts w:cs="Calibri"/>
        </w:rPr>
        <w:t>.</w:t>
      </w:r>
      <w:r>
        <w:rPr>
          <w:rFonts w:cs="Calibri"/>
        </w:rPr>
        <w:t xml:space="preserve"> </w:t>
      </w:r>
      <w:r>
        <w:t xml:space="preserve">However, with this system it is virtually impossible to prioritize the EHP if the payment system for health budget funds does not directly match provider payment to EHP services, and a line-item budget paying for health facilities or infrastructure generally will not allow this matching of payment and EHP services.  In other words, if the health </w:t>
      </w:r>
      <w:r w:rsidRPr="00EB0567">
        <w:t>budget level is not sufficient to pay for all services for all individuals, to make sure the</w:t>
      </w:r>
      <w:r>
        <w:t xml:space="preserve"> EHP services are prioritized, </w:t>
      </w:r>
      <w:r w:rsidRPr="00EB0567">
        <w:t xml:space="preserve">payment should be made for </w:t>
      </w:r>
      <w:r>
        <w:t xml:space="preserve">these services </w:t>
      </w:r>
      <w:r w:rsidRPr="00EB0567">
        <w:t xml:space="preserve">rather than </w:t>
      </w:r>
      <w:r>
        <w:t xml:space="preserve">for </w:t>
      </w:r>
      <w:r w:rsidRPr="00EB0567">
        <w:t xml:space="preserve">entire health facilities or buildings.  </w:t>
      </w:r>
      <w:r>
        <w:t>Globally, the input-based payment system for health services provision has been found to provide little incentives to health providers to improve the performance – quantity and quality of health care services.</w:t>
      </w:r>
    </w:p>
    <w:p w:rsidR="0025162C" w:rsidRPr="001A33B9" w:rsidRDefault="0025162C" w:rsidP="0025162C">
      <w:pPr>
        <w:jc w:val="both"/>
        <w:rPr>
          <w:rFonts w:cs="Calibri"/>
        </w:rPr>
      </w:pPr>
      <w:r w:rsidRPr="00BD4A85">
        <w:rPr>
          <w:rFonts w:cs="Calibri"/>
        </w:rPr>
        <w:t>The Health Sector Strategic Plan (2011-16) endorsed PBF as one of the strategies to be explored in financing health in Malawi.  This official endorsement coupled with the commencement of two PBF projects illustrates that there is some political will regarding PBF.</w:t>
      </w:r>
      <w:r>
        <w:rPr>
          <w:rFonts w:cs="Calibri"/>
        </w:rPr>
        <w:t xml:space="preserve"> </w:t>
      </w:r>
    </w:p>
    <w:p w:rsidR="0025162C" w:rsidRPr="00BD4A85" w:rsidRDefault="0025162C" w:rsidP="00A12622">
      <w:pPr>
        <w:pStyle w:val="Heading3"/>
      </w:pPr>
      <w:bookmarkStart w:id="1054" w:name="_Toc363225898"/>
      <w:r w:rsidRPr="00BD4A85">
        <w:t>4.</w:t>
      </w:r>
      <w:r>
        <w:t>3</w:t>
      </w:r>
      <w:r w:rsidRPr="00BD4A85">
        <w:t>.1</w:t>
      </w:r>
      <w:r w:rsidRPr="00BD4A85">
        <w:tab/>
        <w:t>STRATEGIC INTERVENTIONS</w:t>
      </w:r>
      <w:bookmarkEnd w:id="1054"/>
    </w:p>
    <w:p w:rsidR="0025162C" w:rsidRPr="00BD4A85" w:rsidRDefault="0025162C" w:rsidP="0025162C">
      <w:pPr>
        <w:jc w:val="both"/>
        <w:rPr>
          <w:rFonts w:cs="Calibri"/>
          <w:szCs w:val="28"/>
        </w:rPr>
      </w:pPr>
      <w:r>
        <w:rPr>
          <w:rFonts w:cs="Calibri"/>
          <w:szCs w:val="28"/>
        </w:rPr>
        <w:t>The following will be specific strategic interventions</w:t>
      </w:r>
      <w:r w:rsidRPr="00BD4A85">
        <w:rPr>
          <w:rFonts w:cs="Calibri"/>
          <w:szCs w:val="28"/>
        </w:rPr>
        <w:t>:</w:t>
      </w:r>
    </w:p>
    <w:p w:rsidR="0025162C" w:rsidRPr="00EB1871" w:rsidRDefault="0025162C" w:rsidP="00564161">
      <w:pPr>
        <w:pStyle w:val="ListParagraph"/>
        <w:numPr>
          <w:ilvl w:val="0"/>
          <w:numId w:val="12"/>
        </w:numPr>
        <w:jc w:val="both"/>
        <w:rPr>
          <w:rFonts w:cs="Calibri"/>
          <w:szCs w:val="28"/>
        </w:rPr>
      </w:pPr>
      <w:r w:rsidRPr="00EB1871">
        <w:rPr>
          <w:rFonts w:cs="Calibri"/>
          <w:szCs w:val="28"/>
        </w:rPr>
        <w:t xml:space="preserve">Introduce </w:t>
      </w:r>
      <w:r>
        <w:t xml:space="preserve">programmme based budgeting or </w:t>
      </w:r>
      <w:r w:rsidRPr="00EB1871">
        <w:rPr>
          <w:rFonts w:cs="Calibri"/>
          <w:szCs w:val="28"/>
        </w:rPr>
        <w:t xml:space="preserve">cased based budgeting for </w:t>
      </w:r>
      <w:r>
        <w:t xml:space="preserve">paying district and central hospitals, capitation for paying for primary health care facilities – both public and private and services.  </w:t>
      </w:r>
    </w:p>
    <w:p w:rsidR="0025162C" w:rsidRPr="00EB1871" w:rsidRDefault="0025162C" w:rsidP="00564161">
      <w:pPr>
        <w:pStyle w:val="ListParagraph"/>
        <w:numPr>
          <w:ilvl w:val="0"/>
          <w:numId w:val="12"/>
        </w:numPr>
        <w:jc w:val="both"/>
        <w:rPr>
          <w:rFonts w:cs="Calibri"/>
          <w:szCs w:val="28"/>
        </w:rPr>
      </w:pPr>
      <w:r>
        <w:t>Introduce performance based financing, public private partnerships, among others for paying health providers –both public and private – for profit and not profit contracted by the MOH and National Local Government Finance Committee for providing EHP.</w:t>
      </w:r>
    </w:p>
    <w:p w:rsidR="0025162C" w:rsidRPr="00A81853" w:rsidRDefault="0025162C" w:rsidP="00564161">
      <w:pPr>
        <w:pStyle w:val="ListParagraph"/>
        <w:numPr>
          <w:ilvl w:val="0"/>
          <w:numId w:val="12"/>
        </w:numPr>
        <w:jc w:val="both"/>
        <w:rPr>
          <w:rFonts w:cs="Calibri"/>
          <w:szCs w:val="28"/>
        </w:rPr>
      </w:pPr>
      <w:r>
        <w:t>Establish robust monitoring and evaluation systems.</w:t>
      </w:r>
    </w:p>
    <w:p w:rsidR="0025162C" w:rsidRPr="00BD4A85" w:rsidRDefault="0025162C" w:rsidP="0025162C">
      <w:pPr>
        <w:jc w:val="both"/>
      </w:pPr>
      <w:bookmarkStart w:id="1055" w:name="_Toc384903841"/>
      <w:bookmarkStart w:id="1056" w:name="_Toc384911967"/>
      <w:bookmarkStart w:id="1057" w:name="_Toc363225899"/>
      <w:bookmarkStart w:id="1058" w:name="_Toc354005641"/>
      <w:r w:rsidRPr="00BD4A85">
        <w:rPr>
          <w:rStyle w:val="Heading2Char"/>
          <w:rFonts w:eastAsia="Calibri"/>
        </w:rPr>
        <w:t>4.</w:t>
      </w:r>
      <w:r>
        <w:rPr>
          <w:rStyle w:val="Heading2Char"/>
          <w:rFonts w:eastAsia="Calibri"/>
        </w:rPr>
        <w:t>4</w:t>
      </w:r>
      <w:r w:rsidRPr="00BD4A85">
        <w:rPr>
          <w:rStyle w:val="Heading2Char"/>
          <w:rFonts w:eastAsia="Calibri"/>
        </w:rPr>
        <w:tab/>
        <w:t xml:space="preserve"> </w:t>
      </w:r>
      <w:r w:rsidRPr="00C334A3">
        <w:rPr>
          <w:rStyle w:val="Heading2Char"/>
          <w:rFonts w:eastAsia="Calibri"/>
          <w:highlight w:val="yellow"/>
        </w:rPr>
        <w:t>SEPARATE DISTRICTS AND HEALTH CENTRES BUDGETS AND PILOT ESTABLISHMENT OF HEALTH CENTERS</w:t>
      </w:r>
      <w:bookmarkEnd w:id="1055"/>
      <w:bookmarkEnd w:id="1056"/>
      <w:r w:rsidR="00E256BA">
        <w:rPr>
          <w:rStyle w:val="Heading2Char"/>
          <w:rFonts w:eastAsia="Calibri"/>
        </w:rPr>
        <w:t xml:space="preserve"> </w:t>
      </w:r>
      <w:r w:rsidR="00E256BA" w:rsidRPr="00E256BA">
        <w:rPr>
          <w:rStyle w:val="Heading2Char"/>
          <w:rFonts w:eastAsia="Calibri"/>
          <w:highlight w:val="yellow"/>
        </w:rPr>
        <w:t>AUTONOMY</w:t>
      </w:r>
      <w:r w:rsidRPr="00385997">
        <w:rPr>
          <w:rStyle w:val="Heading2Char"/>
          <w:rFonts w:eastAsia="Calibri"/>
        </w:rPr>
        <w:t xml:space="preserve"> </w:t>
      </w:r>
      <w:bookmarkEnd w:id="1057"/>
      <w:r w:rsidR="004D598F">
        <w:pict>
          <v:rect id="_x0000_i1043" style="width:0;height:1.5pt" o:hralign="center" o:hrstd="t" o:hr="t" fillcolor="#a0a0a0" stroked="f"/>
        </w:pict>
      </w:r>
      <w:bookmarkEnd w:id="1058"/>
    </w:p>
    <w:p w:rsidR="0025162C" w:rsidRPr="00BD4A85" w:rsidRDefault="0025162C" w:rsidP="0025162C">
      <w:pPr>
        <w:pStyle w:val="ListParagraph"/>
        <w:ind w:left="0"/>
        <w:jc w:val="both"/>
        <w:rPr>
          <w:rFonts w:cs="Calibri"/>
        </w:rPr>
      </w:pPr>
      <w:r>
        <w:t xml:space="preserve">Currently, rural health centers must order supplies and pay workers through their affiliated DHO, as they are not individual cost centers and do not have control over their own budget. Designating a health center as a cost center would give the health center its own budget and control over that budget. </w:t>
      </w:r>
      <w:r w:rsidRPr="00BD4A85">
        <w:t xml:space="preserve">By designating health centers as cost centers in Malawi, there is potential for improvement in efficiency of overall resource allocation and utilization. </w:t>
      </w:r>
      <w:r>
        <w:t>Designating health centers as cost centers would allow for the implementation of PBF, as individual health centers could then be financially rewarded for their good performance.</w:t>
      </w:r>
      <w:r w:rsidRPr="00BD4A85">
        <w:t xml:space="preserve"> Additionally, by providing health centre management the freedom to manage the </w:t>
      </w:r>
      <w:r w:rsidRPr="00BD4A85">
        <w:lastRenderedPageBreak/>
        <w:t xml:space="preserve">resources under their control, managers may increase their ability to ensure high performance of their staff and overall provision of quality care in health facilities. </w:t>
      </w:r>
      <w:r w:rsidRPr="00BD4A85">
        <w:rPr>
          <w:rFonts w:cs="Calibri"/>
        </w:rPr>
        <w:t>Direct transfer of resources to health centers and rural hospitals in Malawi could also lead to improved transparency and accountability regarding resource utilization as health centers and rural hospitals would have a greater level of involvement in budgeting, resource tracking and financial management.</w:t>
      </w:r>
    </w:p>
    <w:p w:rsidR="0025162C" w:rsidRPr="00BD4A85" w:rsidRDefault="0025162C" w:rsidP="0025162C">
      <w:pPr>
        <w:pStyle w:val="ListParagraph"/>
        <w:ind w:left="0"/>
        <w:jc w:val="both"/>
        <w:rPr>
          <w:rFonts w:cs="Calibri"/>
        </w:rPr>
      </w:pPr>
    </w:p>
    <w:p w:rsidR="0025162C" w:rsidRPr="00BD4A85" w:rsidRDefault="0025162C" w:rsidP="0025162C">
      <w:pPr>
        <w:pStyle w:val="ListParagraph"/>
        <w:ind w:left="0"/>
        <w:jc w:val="both"/>
        <w:rPr>
          <w:rFonts w:cs="Calibri"/>
        </w:rPr>
      </w:pPr>
      <w:r w:rsidRPr="00BD4A85">
        <w:t>The MOH and Ministry of Local Government and Rural Development could draw the lessons from the Ministry of Education, Science and Technology which under the Education Sector Support Project had a component on direct support to primary schools. Under this component, small amounts of funds were given, through the district education office, directly to primary schools for relatively small routine maintenance and purchases of school items. Management of funds was facilitated by the local school committee. An audit and monitoring mechanism was put in place and those schools that demonstrated good management of funds were rewarded with a higher second tranche. The MOH and Ministry of Local Government and Rural Development should consult with Ministry of Education, Science and Technology to find out the problems and successes of the exercise.</w:t>
      </w:r>
    </w:p>
    <w:p w:rsidR="0025162C" w:rsidRPr="00BD4A85" w:rsidRDefault="0025162C" w:rsidP="00A12622">
      <w:pPr>
        <w:pStyle w:val="Heading3"/>
      </w:pPr>
      <w:bookmarkStart w:id="1059" w:name="_Toc363225900"/>
      <w:r w:rsidRPr="00BD4A85">
        <w:t>4.</w:t>
      </w:r>
      <w:r>
        <w:t>4</w:t>
      </w:r>
      <w:r w:rsidRPr="00BD4A85">
        <w:t>.</w:t>
      </w:r>
      <w:r>
        <w:t>1</w:t>
      </w:r>
      <w:r>
        <w:tab/>
      </w:r>
      <w:r w:rsidRPr="00BD4A85">
        <w:t>STRATEGIC INTERVENTIONS</w:t>
      </w:r>
      <w:bookmarkEnd w:id="1059"/>
    </w:p>
    <w:p w:rsidR="0025162C" w:rsidRPr="00BD4A85" w:rsidRDefault="0025162C" w:rsidP="0025162C">
      <w:pPr>
        <w:jc w:val="both"/>
      </w:pPr>
      <w:r w:rsidRPr="00BD4A85">
        <w:t xml:space="preserve">There is a current movement towards designating health centers that are involved in pilot PBF projects as cost centers in order to improve their control of resources. Stakeholders, including the National Local Government Finance Committee, the Ministry of Finance and the Accountant General should: </w:t>
      </w:r>
    </w:p>
    <w:p w:rsidR="0025162C" w:rsidRPr="00BD4A85" w:rsidRDefault="0025162C" w:rsidP="00564161">
      <w:pPr>
        <w:pStyle w:val="ListParagraph"/>
        <w:numPr>
          <w:ilvl w:val="0"/>
          <w:numId w:val="14"/>
        </w:numPr>
        <w:jc w:val="both"/>
      </w:pPr>
      <w:r w:rsidRPr="00BD4A85">
        <w:t>Build additional managerial capacity and financial expertise at the local level</w:t>
      </w:r>
      <w:r>
        <w:t>.</w:t>
      </w:r>
    </w:p>
    <w:p w:rsidR="0025162C" w:rsidRPr="00BD4A85" w:rsidRDefault="0025162C" w:rsidP="00564161">
      <w:pPr>
        <w:pStyle w:val="ListParagraph"/>
        <w:numPr>
          <w:ilvl w:val="0"/>
          <w:numId w:val="14"/>
        </w:numPr>
        <w:jc w:val="both"/>
      </w:pPr>
      <w:r w:rsidRPr="00BD4A85">
        <w:t>Monitor the implementation of these pilot health centers</w:t>
      </w:r>
      <w:r>
        <w:t>.</w:t>
      </w:r>
    </w:p>
    <w:p w:rsidR="0025162C" w:rsidRPr="001A33B9" w:rsidRDefault="0025162C" w:rsidP="00564161">
      <w:pPr>
        <w:pStyle w:val="ListParagraph"/>
        <w:numPr>
          <w:ilvl w:val="0"/>
          <w:numId w:val="14"/>
        </w:numPr>
        <w:jc w:val="both"/>
        <w:rPr>
          <w:rStyle w:val="Heading2Char"/>
          <w:rFonts w:eastAsia="Calibri"/>
          <w:b w:val="0"/>
          <w:sz w:val="22"/>
          <w:szCs w:val="22"/>
          <w:lang w:eastAsia="en-US"/>
        </w:rPr>
      </w:pPr>
      <w:r w:rsidRPr="00BD4A85">
        <w:t>Pending the results of the pilots, identify successful elements of the projects, and investigate the relationship between PBF and designation of health centers as cost centers as well as opportunities for scale-up</w:t>
      </w:r>
      <w:bookmarkStart w:id="1060" w:name="_Toc354005642"/>
      <w:r>
        <w:t>.</w:t>
      </w:r>
    </w:p>
    <w:p w:rsidR="0025162C" w:rsidRPr="00BD4A85" w:rsidRDefault="0025162C" w:rsidP="0025162C">
      <w:pPr>
        <w:jc w:val="both"/>
      </w:pPr>
      <w:bookmarkStart w:id="1061" w:name="_Toc363225901"/>
      <w:bookmarkStart w:id="1062" w:name="_Toc384903842"/>
      <w:bookmarkStart w:id="1063" w:name="_Toc384911968"/>
      <w:r w:rsidRPr="00BD4A85">
        <w:rPr>
          <w:rStyle w:val="Heading2Char"/>
          <w:rFonts w:eastAsia="Calibri"/>
        </w:rPr>
        <w:t>4.</w:t>
      </w:r>
      <w:r>
        <w:rPr>
          <w:rStyle w:val="Heading2Char"/>
          <w:rFonts w:eastAsia="Calibri"/>
        </w:rPr>
        <w:t>5</w:t>
      </w:r>
      <w:r>
        <w:rPr>
          <w:rStyle w:val="Heading2Char"/>
          <w:rFonts w:eastAsia="Calibri"/>
        </w:rPr>
        <w:tab/>
      </w:r>
      <w:r w:rsidRPr="00BD4A85">
        <w:rPr>
          <w:rStyle w:val="Heading2Char"/>
          <w:rFonts w:eastAsia="Calibri"/>
        </w:rPr>
        <w:t>STRENGTHEN PUBLIC-PRIVATE PARTNERSHIPS TO MAKE EFFICIENT USE OF RESOURCES</w:t>
      </w:r>
      <w:bookmarkEnd w:id="1061"/>
      <w:bookmarkEnd w:id="1062"/>
      <w:bookmarkEnd w:id="1063"/>
      <w:r w:rsidR="004D598F">
        <w:pict>
          <v:rect id="_x0000_i1044" style="width:0;height:1.5pt" o:hralign="center" o:hrstd="t" o:hr="t" fillcolor="#a0a0a0" stroked="f"/>
        </w:pict>
      </w:r>
      <w:bookmarkEnd w:id="1060"/>
    </w:p>
    <w:p w:rsidR="0025162C" w:rsidRDefault="0025162C" w:rsidP="0025162C">
      <w:pPr>
        <w:jc w:val="both"/>
      </w:pPr>
      <w:bookmarkStart w:id="1064" w:name="_Toc354005648"/>
      <w:r>
        <w:t>The Malawi Health Sector Strategic Plan (2011-2016) recognizes Public Private Partnerships as one of the key guiding principles in the delivery of health services in Malawi. The health sector in Malawi is increasingly facing twin problems of limited resources and increased need for the resources to address health needs for its population. For instance, delivery of EHP interventions within the period of HSSP; 2011 and 2016 is expected to have a gap of US$</w:t>
      </w:r>
      <w:r w:rsidRPr="0054654F">
        <w:t>0.8</w:t>
      </w:r>
      <w:r>
        <w:t xml:space="preserve"> billion. This then calls not only for additional resources but also efficient use of the available resources.</w:t>
      </w:r>
    </w:p>
    <w:p w:rsidR="0025162C" w:rsidRDefault="0025162C" w:rsidP="0025162C">
      <w:pPr>
        <w:jc w:val="both"/>
      </w:pPr>
      <w:r>
        <w:t xml:space="preserve">Public Private Partnerships have the potential to contribute to the efficient use of the limited resources in the country. Under PPPs, the private party is contracted to provide a service under its own institutional arrangement. Unlike public health organizations in Malawi, private providers are characterized by autonomous structures. The ability to streamline operations and cut red tape in the private implementer reduces costs per output, and hence leads to both technical and cost efficiency. The ability of PPPs to allocate risk to the party that is best able to handle them is also an efficiency </w:t>
      </w:r>
      <w:r>
        <w:lastRenderedPageBreak/>
        <w:t>enhancer. Thus the PPP contrasts with public provision only, in the sense that risks are handled by the public sector and are usually not quantified.</w:t>
      </w:r>
    </w:p>
    <w:p w:rsidR="0025162C" w:rsidRDefault="0025162C" w:rsidP="0025162C">
      <w:pPr>
        <w:jc w:val="both"/>
      </w:pPr>
      <w:r>
        <w:t>Private sector involvement in the provision of public health services introduces competition and improves contestability of the public health services markets. Increased competition and improved market contestability have been shown to improve efficiency in the delivery of services. The expectation from introducing well designed PPPs is the improvement of competition and contestability with possible impact on efficiency.  In addition, PPPs may increase cost efficiency through bundling of contracts and employment of highly skilled staff, which the public health sector may not have.</w:t>
      </w:r>
    </w:p>
    <w:p w:rsidR="0025162C" w:rsidRPr="00BD4A85" w:rsidRDefault="0025162C" w:rsidP="0025162C">
      <w:pPr>
        <w:jc w:val="both"/>
      </w:pPr>
      <w:r w:rsidRPr="00BD4A85">
        <w:t>The Ministry of Health currently has public-private partnerships (PPPs) in the form of contracts with 78 facilities in the network of the Christian Health Association of Malawi (CHAM).</w:t>
      </w:r>
      <w:r>
        <w:t xml:space="preserve"> </w:t>
      </w:r>
      <w:r w:rsidRPr="00BD4A85">
        <w:t xml:space="preserve">Through these Service Level Agreements first initiated in 2005, CHAM facilities receive </w:t>
      </w:r>
      <w:r>
        <w:t xml:space="preserve">output based </w:t>
      </w:r>
      <w:r w:rsidRPr="00BD4A85">
        <w:t>payment</w:t>
      </w:r>
      <w:r>
        <w:t>s</w:t>
      </w:r>
      <w:r w:rsidRPr="00BD4A85">
        <w:t xml:space="preserve"> from the Ministry of Health to provide free health services to all mothers, regardless of their ability to pay.  The delivery of care free-of-charge has increased demand for services, and thus the amounts required by CHAM facilities to provide services. The CHAM Strategic Plan estimates that CHAM facilities now provide approximately 40% of health services in Malawi.</w:t>
      </w:r>
      <w:r>
        <w:t xml:space="preserve"> Currently, the public private engagement, although highly valued, is rarely designed to get efficiency gains. </w:t>
      </w:r>
      <w:r w:rsidRPr="00BD4A85">
        <w:t>The 2011-2016 HSSP encourages and calls for the strengthening of public-private partnerships and there may be opportunities for increasing the number of PPPs through partnerships with a wider range of private entities (ex: privately run clinics on agricultural estates) and through partnerships in other health sector areas (ex: health worker training, food and laundry services, waste management).</w:t>
      </w:r>
      <w:r>
        <w:t xml:space="preserve"> One way to strengthen the PPPs would be to maximize efficiency gains through well thought through and properly designed PPPs.</w:t>
      </w:r>
    </w:p>
    <w:p w:rsidR="0025162C" w:rsidRPr="00BD4A85" w:rsidRDefault="0025162C" w:rsidP="0025162C">
      <w:pPr>
        <w:jc w:val="both"/>
        <w:rPr>
          <w:b/>
          <w:sz w:val="24"/>
        </w:rPr>
      </w:pPr>
      <w:r w:rsidRPr="00BD4A85">
        <w:t>The government is committed to increasing the health of its citizens and work towards meeting the Millennium Development Goals. However, there are limited public resources to support this ambition. Partnering with private sector, and thereby leveraging private sector expertise, resources and infrastructure, may help to increase efficiency and effectiveness in the health sector.</w:t>
      </w:r>
    </w:p>
    <w:p w:rsidR="0025162C" w:rsidRPr="00BD4A85" w:rsidRDefault="0025162C" w:rsidP="00A12622">
      <w:pPr>
        <w:pStyle w:val="Heading3"/>
      </w:pPr>
      <w:bookmarkStart w:id="1065" w:name="_Toc363225902"/>
      <w:r>
        <w:t>4.4.1</w:t>
      </w:r>
      <w:r>
        <w:tab/>
      </w:r>
      <w:r w:rsidRPr="00BD4A85">
        <w:t>STRATEGIC INTERVENTIONS</w:t>
      </w:r>
      <w:bookmarkEnd w:id="1065"/>
    </w:p>
    <w:p w:rsidR="0025162C" w:rsidRPr="00BD4A85" w:rsidRDefault="0025162C" w:rsidP="0025162C">
      <w:pPr>
        <w:jc w:val="both"/>
      </w:pPr>
      <w:r w:rsidRPr="00BD4A85">
        <w:t xml:space="preserve">A PPP </w:t>
      </w:r>
      <w:r>
        <w:t>unit</w:t>
      </w:r>
      <w:r w:rsidRPr="00BD4A85">
        <w:t xml:space="preserve"> has been established within the MOH planning department to provide technical expertise to support and encourage private sector partnership. </w:t>
      </w:r>
      <w:r>
        <w:t>The PPP node has clearly defined</w:t>
      </w:r>
      <w:r w:rsidRPr="00BD4A85">
        <w:t xml:space="preserve"> terms of reference </w:t>
      </w:r>
      <w:r>
        <w:t xml:space="preserve">but requires </w:t>
      </w:r>
      <w:r w:rsidRPr="00BD4A85">
        <w:t>resources to fulfill role in supporting PPP. Support should include reviewing policy to ensure that it facilitates interaction with private sector, investigating opportunities to increase dialogue between public and private sectors, and making certain that public and private sectors are aligned on goals and objectives. Additionally, guidelines should be established to ensure that private partners have the expertise, capacity and finances available to act as meaningful partners in achieving Malawi’s health objectives.</w:t>
      </w:r>
    </w:p>
    <w:p w:rsidR="0025162C" w:rsidRPr="00BD4A85" w:rsidRDefault="0025162C" w:rsidP="0025162C">
      <w:pPr>
        <w:jc w:val="both"/>
      </w:pPr>
      <w:r w:rsidRPr="00BD4A85">
        <w:t>Specifically there is need for the following:</w:t>
      </w:r>
    </w:p>
    <w:p w:rsidR="0025162C" w:rsidRDefault="0025162C" w:rsidP="00564161">
      <w:pPr>
        <w:pStyle w:val="ListParagraph"/>
        <w:numPr>
          <w:ilvl w:val="0"/>
          <w:numId w:val="16"/>
        </w:numPr>
        <w:jc w:val="both"/>
      </w:pPr>
      <w:r w:rsidRPr="00BD4A85">
        <w:t xml:space="preserve">Ensure sufficient resources and staff capacity are available for the newly created PPP </w:t>
      </w:r>
      <w:r>
        <w:t>node</w:t>
      </w:r>
      <w:r w:rsidRPr="00BD4A85">
        <w:t xml:space="preserve"> within the</w:t>
      </w:r>
      <w:r>
        <w:t xml:space="preserve"> Department of P</w:t>
      </w:r>
      <w:r w:rsidRPr="00BD4A85">
        <w:t>lanning</w:t>
      </w:r>
      <w:r>
        <w:t xml:space="preserve"> and Policy Development</w:t>
      </w:r>
      <w:r w:rsidRPr="00BD4A85">
        <w:t xml:space="preserve">  of the Ministry of Health</w:t>
      </w:r>
    </w:p>
    <w:p w:rsidR="0025162C" w:rsidRDefault="0025162C" w:rsidP="00564161">
      <w:pPr>
        <w:pStyle w:val="ListParagraph"/>
        <w:numPr>
          <w:ilvl w:val="0"/>
          <w:numId w:val="16"/>
        </w:numPr>
        <w:jc w:val="both"/>
      </w:pPr>
      <w:r>
        <w:lastRenderedPageBreak/>
        <w:t>Develop and implement guidelines for undertaking PPPs in the health sector that include all stages in the PPP life cycle.</w:t>
      </w:r>
    </w:p>
    <w:p w:rsidR="0025162C" w:rsidRDefault="0025162C" w:rsidP="00564161">
      <w:pPr>
        <w:pStyle w:val="ListParagraph"/>
        <w:numPr>
          <w:ilvl w:val="0"/>
          <w:numId w:val="16"/>
        </w:numPr>
        <w:jc w:val="both"/>
      </w:pPr>
      <w:r>
        <w:t>Stakeholder involvement in the PPP life Cycle for each potential PPP project in order to come up with an appropriate contract model that yields efficiency.</w:t>
      </w:r>
    </w:p>
    <w:p w:rsidR="0025162C" w:rsidRPr="007E3D80" w:rsidRDefault="0025162C" w:rsidP="00564161">
      <w:pPr>
        <w:pStyle w:val="ListParagraph"/>
        <w:numPr>
          <w:ilvl w:val="0"/>
          <w:numId w:val="16"/>
        </w:numPr>
        <w:jc w:val="both"/>
        <w:rPr>
          <w:rFonts w:ascii="Gill Sans MT" w:hAnsi="Gill Sans MT"/>
        </w:rPr>
      </w:pPr>
      <w:r w:rsidRPr="007E3D80">
        <w:rPr>
          <w:rFonts w:ascii="Gill Sans MT" w:hAnsi="Gill Sans MT"/>
        </w:rPr>
        <w:t>Undertake regular market analysis to understand, changes in private sector attitudes and perspectives in partnering with the public sector with the aim of designing attractive efficiency enhancing PPPs.</w:t>
      </w:r>
    </w:p>
    <w:p w:rsidR="0025162C" w:rsidRPr="002D0A00" w:rsidRDefault="0025162C" w:rsidP="00564161">
      <w:pPr>
        <w:pStyle w:val="ListParagraph"/>
        <w:numPr>
          <w:ilvl w:val="0"/>
          <w:numId w:val="16"/>
        </w:numPr>
        <w:jc w:val="both"/>
        <w:rPr>
          <w:rFonts w:ascii="Gill Sans MT" w:hAnsi="Gill Sans MT"/>
        </w:rPr>
      </w:pPr>
      <w:r w:rsidRPr="002D0A00">
        <w:rPr>
          <w:rFonts w:ascii="Gill Sans MT" w:hAnsi="Gill Sans MT"/>
        </w:rPr>
        <w:t>Identify and maintain transaction advisers to work on various PPP assignments in health with clear efficiency seeking mandates.</w:t>
      </w:r>
    </w:p>
    <w:p w:rsidR="0025162C" w:rsidRPr="00BD4A85" w:rsidRDefault="0025162C" w:rsidP="00564161">
      <w:pPr>
        <w:numPr>
          <w:ilvl w:val="0"/>
          <w:numId w:val="16"/>
        </w:numPr>
        <w:shd w:val="clear" w:color="auto" w:fill="FFFFFF"/>
        <w:autoSpaceDE w:val="0"/>
        <w:autoSpaceDN w:val="0"/>
        <w:adjustRightInd w:val="0"/>
        <w:spacing w:after="0" w:line="240" w:lineRule="auto"/>
        <w:jc w:val="both"/>
        <w:rPr>
          <w:rFonts w:cs="Arial"/>
          <w:color w:val="000000"/>
        </w:rPr>
      </w:pPr>
      <w:r w:rsidRPr="00BD4A85">
        <w:rPr>
          <w:rFonts w:cs="Arial"/>
          <w:color w:val="000000"/>
        </w:rPr>
        <w:t>Conduct a partner mapping exercise in all the districts in order to determine districts and areas which are underserved.</w:t>
      </w:r>
    </w:p>
    <w:p w:rsidR="0025162C" w:rsidRPr="00BD4A85" w:rsidRDefault="0025162C" w:rsidP="00564161">
      <w:pPr>
        <w:numPr>
          <w:ilvl w:val="0"/>
          <w:numId w:val="16"/>
        </w:numPr>
        <w:shd w:val="clear" w:color="auto" w:fill="FFFFFF"/>
        <w:autoSpaceDE w:val="0"/>
        <w:autoSpaceDN w:val="0"/>
        <w:adjustRightInd w:val="0"/>
        <w:spacing w:after="0" w:line="240" w:lineRule="auto"/>
        <w:jc w:val="both"/>
        <w:rPr>
          <w:rFonts w:cs="Arial"/>
          <w:color w:val="000000"/>
        </w:rPr>
      </w:pPr>
      <w:r w:rsidRPr="00BD4A85">
        <w:rPr>
          <w:rFonts w:cs="Arial"/>
          <w:color w:val="000000"/>
        </w:rPr>
        <w:t xml:space="preserve">Review and sign a new </w:t>
      </w:r>
      <w:r>
        <w:rPr>
          <w:rFonts w:cs="Arial"/>
          <w:color w:val="000000"/>
        </w:rPr>
        <w:t xml:space="preserve">performance based </w:t>
      </w:r>
      <w:r w:rsidRPr="00BD4A85">
        <w:rPr>
          <w:rFonts w:cs="Arial"/>
          <w:color w:val="000000"/>
        </w:rPr>
        <w:t>MoU with CHAM regarding delivery of EHP services</w:t>
      </w:r>
      <w:r>
        <w:rPr>
          <w:rFonts w:cs="Arial"/>
          <w:color w:val="000000"/>
        </w:rPr>
        <w:t>.</w:t>
      </w:r>
      <w:r w:rsidRPr="00BD4A85" w:rsidDel="006F708F">
        <w:rPr>
          <w:rFonts w:cs="Arial"/>
          <w:color w:val="000000"/>
        </w:rPr>
        <w:t xml:space="preserve"> </w:t>
      </w:r>
      <w:r w:rsidRPr="00BD4A85">
        <w:rPr>
          <w:rFonts w:cs="Arial"/>
          <w:color w:val="000000"/>
        </w:rPr>
        <w:t>Revisit SLAs signed with the private sector in order to get value for money.</w:t>
      </w:r>
    </w:p>
    <w:p w:rsidR="0025162C" w:rsidRPr="00BD4A85" w:rsidRDefault="0025162C" w:rsidP="00564161">
      <w:pPr>
        <w:numPr>
          <w:ilvl w:val="0"/>
          <w:numId w:val="16"/>
        </w:numPr>
        <w:shd w:val="clear" w:color="auto" w:fill="FFFFFF"/>
        <w:autoSpaceDE w:val="0"/>
        <w:autoSpaceDN w:val="0"/>
        <w:adjustRightInd w:val="0"/>
        <w:spacing w:after="0" w:line="240" w:lineRule="auto"/>
        <w:jc w:val="both"/>
        <w:rPr>
          <w:rFonts w:cs="Arial"/>
          <w:color w:val="000000"/>
        </w:rPr>
      </w:pPr>
      <w:r w:rsidRPr="00BD4A85">
        <w:rPr>
          <w:rFonts w:cs="Arial"/>
          <w:color w:val="000000"/>
        </w:rPr>
        <w:t>Develop innovative mechanisms that would attract private for profit practitioners to under-served and difficult to reach areas.</w:t>
      </w:r>
    </w:p>
    <w:p w:rsidR="0025162C" w:rsidRDefault="0025162C" w:rsidP="0025162C">
      <w:pPr>
        <w:jc w:val="both"/>
        <w:rPr>
          <w:rStyle w:val="Heading2Char"/>
          <w:rFonts w:eastAsia="Calibri"/>
        </w:rPr>
      </w:pPr>
      <w:bookmarkStart w:id="1066" w:name="_Toc363225903"/>
      <w:bookmarkStart w:id="1067" w:name="_Toc354005650"/>
      <w:bookmarkEnd w:id="1064"/>
    </w:p>
    <w:p w:rsidR="0025162C" w:rsidRPr="00BD4A85" w:rsidRDefault="0025162C" w:rsidP="0025162C">
      <w:pPr>
        <w:jc w:val="both"/>
      </w:pPr>
      <w:bookmarkStart w:id="1068" w:name="_Toc384903843"/>
      <w:bookmarkStart w:id="1069" w:name="_Toc384911969"/>
      <w:r w:rsidRPr="00BD4A85">
        <w:rPr>
          <w:rStyle w:val="Heading2Char"/>
          <w:rFonts w:eastAsia="Calibri"/>
        </w:rPr>
        <w:t>4.</w:t>
      </w:r>
      <w:r>
        <w:rPr>
          <w:rStyle w:val="Heading2Char"/>
          <w:rFonts w:eastAsia="Calibri"/>
        </w:rPr>
        <w:t>6</w:t>
      </w:r>
      <w:r w:rsidRPr="00BD4A85">
        <w:rPr>
          <w:rStyle w:val="Heading2Char"/>
          <w:rFonts w:eastAsia="Calibri"/>
        </w:rPr>
        <w:tab/>
      </w:r>
      <w:r>
        <w:rPr>
          <w:rStyle w:val="Heading2Char"/>
          <w:rFonts w:eastAsia="Calibri"/>
        </w:rPr>
        <w:t>IMPROVE THE EFFICIENCY OF CENTRAL HOSPITALS THROUGH THE INTRODUCTION OF BYPASS FEES</w:t>
      </w:r>
      <w:bookmarkEnd w:id="1066"/>
      <w:bookmarkEnd w:id="1068"/>
      <w:bookmarkEnd w:id="1069"/>
      <w:r w:rsidR="004D598F">
        <w:pict>
          <v:rect id="_x0000_i1045" style="width:0;height:1.5pt" o:hralign="center" o:hrstd="t" o:hr="t" fillcolor="#a0a0a0" stroked="f"/>
        </w:pict>
      </w:r>
      <w:bookmarkEnd w:id="1067"/>
    </w:p>
    <w:p w:rsidR="0025162C" w:rsidRPr="00BD4A85" w:rsidRDefault="0025162C" w:rsidP="0025162C">
      <w:pPr>
        <w:jc w:val="both"/>
        <w:rPr>
          <w:rFonts w:cs="Arial"/>
        </w:rPr>
      </w:pPr>
      <w:r w:rsidRPr="00BD4A85">
        <w:rPr>
          <w:rFonts w:cs="Arial"/>
        </w:rPr>
        <w:t xml:space="preserve">Congestion in Malawi’s central hospitals presents a challenge. While the public health system is designed for most effective delivery of primary and secondary care at health centers and district hospitals respectively, patients often bypass these facilities to seek non-emergency care directly at central hospitals. This unnecessarily congests the central hospitals, which are obliged to provide primary or secondary care to these patients – often to the detriment of the tertiary care which is their core mandate. Bypass fees would help address this problem by dissuading patients from seeking primary care at central hospitals. A nominal bypass fee would be charged to anyone who seeks non-emergency care without a referral note from a facility at the primary or secondary level of care. This would incentivize patients to first visit health centers, community hospitals, and district hospitals before they go to a central hospital. Congestion at central hospitals would thereby be reduced, freeing clinicians to focus on tertiary care. The quality of care might improve, and costs could be potentially lowered, as central hospitals’ fixed costs are necessarily higher than facilities at the primary and secondary levels. </w:t>
      </w:r>
    </w:p>
    <w:p w:rsidR="0025162C" w:rsidRPr="00BD4A85" w:rsidRDefault="0025162C" w:rsidP="00A12622">
      <w:pPr>
        <w:pStyle w:val="Heading3"/>
      </w:pPr>
      <w:bookmarkStart w:id="1070" w:name="_Toc363225904"/>
      <w:r w:rsidRPr="00BD4A85">
        <w:t>4.</w:t>
      </w:r>
      <w:r>
        <w:t>6</w:t>
      </w:r>
      <w:r w:rsidRPr="00BD4A85">
        <w:t>.1</w:t>
      </w:r>
      <w:r w:rsidRPr="00BD4A85">
        <w:tab/>
        <w:t xml:space="preserve"> STRATEGIC INTERVENTIONS</w:t>
      </w:r>
      <w:bookmarkEnd w:id="1070"/>
    </w:p>
    <w:p w:rsidR="0025162C" w:rsidRPr="00BD4A85" w:rsidRDefault="0025162C" w:rsidP="0025162C">
      <w:pPr>
        <w:jc w:val="both"/>
      </w:pPr>
      <w:r w:rsidRPr="00BD4A85">
        <w:t>The Ministry of Health Dep</w:t>
      </w:r>
      <w:r>
        <w:t>ar</w:t>
      </w:r>
      <w:r w:rsidRPr="00BD4A85">
        <w:t>t</w:t>
      </w:r>
      <w:r>
        <w:t>ment</w:t>
      </w:r>
      <w:r w:rsidRPr="00BD4A85">
        <w:t xml:space="preserve"> of Planning &amp; Policy Development as well as the Dep</w:t>
      </w:r>
      <w:r>
        <w:t>ar</w:t>
      </w:r>
      <w:r w:rsidRPr="00BD4A85">
        <w:t>t</w:t>
      </w:r>
      <w:r>
        <w:t>ment</w:t>
      </w:r>
      <w:r w:rsidRPr="00BD4A85">
        <w:t xml:space="preserve"> of Clinical Services will need to take the following steps:</w:t>
      </w:r>
    </w:p>
    <w:p w:rsidR="0025162C" w:rsidRPr="00BD4A85" w:rsidRDefault="0025162C" w:rsidP="00564161">
      <w:pPr>
        <w:pStyle w:val="ListParagraph"/>
        <w:numPr>
          <w:ilvl w:val="0"/>
          <w:numId w:val="40"/>
        </w:numPr>
        <w:jc w:val="both"/>
      </w:pPr>
      <w:r w:rsidRPr="00BD4A85">
        <w:t xml:space="preserve">Set the price for bypass fees that will be </w:t>
      </w:r>
      <w:r>
        <w:t>high</w:t>
      </w:r>
      <w:r w:rsidRPr="00BD4A85">
        <w:t xml:space="preserve"> enough to deter gate clashers and the fees should be reviewed regularly</w:t>
      </w:r>
      <w:r>
        <w:t>.</w:t>
      </w:r>
    </w:p>
    <w:p w:rsidR="0025162C" w:rsidRPr="00BD4A85" w:rsidRDefault="0025162C" w:rsidP="00564161">
      <w:pPr>
        <w:pStyle w:val="ListParagraph"/>
        <w:numPr>
          <w:ilvl w:val="0"/>
          <w:numId w:val="40"/>
        </w:numPr>
        <w:jc w:val="both"/>
      </w:pPr>
      <w:r w:rsidRPr="00BD4A85">
        <w:t>Issue clear guidance to all central hospitals authorizing them to implement bypass fees and providing guidelines on how to do it</w:t>
      </w:r>
      <w:r>
        <w:t>.</w:t>
      </w:r>
    </w:p>
    <w:p w:rsidR="0025162C" w:rsidRPr="00BD4A85" w:rsidRDefault="0025162C" w:rsidP="00564161">
      <w:pPr>
        <w:pStyle w:val="ListParagraph"/>
        <w:numPr>
          <w:ilvl w:val="0"/>
          <w:numId w:val="40"/>
        </w:numPr>
        <w:jc w:val="both"/>
      </w:pPr>
      <w:r w:rsidRPr="00BD4A85">
        <w:t>Follow-up with the central hospitals to ensure the bypass fees are actually implemented</w:t>
      </w:r>
      <w:r>
        <w:t>.</w:t>
      </w:r>
    </w:p>
    <w:p w:rsidR="0025162C" w:rsidRDefault="0025162C" w:rsidP="00564161">
      <w:pPr>
        <w:pStyle w:val="ListParagraph"/>
        <w:numPr>
          <w:ilvl w:val="0"/>
          <w:numId w:val="40"/>
        </w:numPr>
        <w:jc w:val="both"/>
      </w:pPr>
      <w:r w:rsidRPr="00BD4A85">
        <w:lastRenderedPageBreak/>
        <w:t>Improve the fees collection systems and overall financial management</w:t>
      </w:r>
      <w:bookmarkStart w:id="1071" w:name="_Toc354005638"/>
      <w:bookmarkStart w:id="1072" w:name="_Toc357760572"/>
      <w:r>
        <w:t>.</w:t>
      </w:r>
    </w:p>
    <w:p w:rsidR="0025162C" w:rsidRDefault="0025162C" w:rsidP="001C7880">
      <w:pPr>
        <w:pStyle w:val="Heading2"/>
      </w:pPr>
      <w:bookmarkStart w:id="1073" w:name="_Toc363225905"/>
      <w:bookmarkStart w:id="1074" w:name="_Toc384903844"/>
      <w:bookmarkStart w:id="1075" w:name="_Toc384911970"/>
      <w:r>
        <w:t>4.7</w:t>
      </w:r>
      <w:r>
        <w:tab/>
      </w:r>
      <w:r w:rsidRPr="00607DF1">
        <w:t xml:space="preserve">IMPROVE EFFICIENCY </w:t>
      </w:r>
      <w:r>
        <w:t xml:space="preserve">THROUGH INTEGRATION OF PARALLEL </w:t>
      </w:r>
      <w:r w:rsidRPr="00607DF1">
        <w:t>SUPPLY CHAIN</w:t>
      </w:r>
      <w:bookmarkEnd w:id="1071"/>
      <w:bookmarkEnd w:id="1072"/>
      <w:r>
        <w:t>S</w:t>
      </w:r>
      <w:bookmarkEnd w:id="1073"/>
      <w:bookmarkEnd w:id="1074"/>
      <w:bookmarkEnd w:id="1075"/>
    </w:p>
    <w:p w:rsidR="0025162C" w:rsidRDefault="004D598F" w:rsidP="0025162C">
      <w:pPr>
        <w:jc w:val="both"/>
      </w:pPr>
      <w:r>
        <w:rPr>
          <w:rFonts w:cs="Calibri"/>
        </w:rPr>
        <w:pict>
          <v:rect id="_x0000_i1046" style="width:0;height:1.5pt" o:hralign="center" o:hrstd="t" o:hr="t" fillcolor="#a0a0a0" stroked="f"/>
        </w:pict>
      </w:r>
    </w:p>
    <w:p w:rsidR="00CF0449" w:rsidRDefault="0025162C" w:rsidP="0025162C">
      <w:pPr>
        <w:jc w:val="both"/>
      </w:pPr>
      <w:r>
        <w:t>Currently, Malawi suffers from a lack of harmonization between different supply chains. Concerns regarding the accountability and efficacy of the Central Medical Stores Trust (CMST) led to the establishment of a parallel supply chain for ARVs in 2004 and another for malaria and family planning commodities in 2010. At present, three major parallel supply chains exist alongside CMST (Figure 6), leaving significant room for improving efficiency by re-establishing a central procurement and supply chain system.</w:t>
      </w:r>
    </w:p>
    <w:p w:rsidR="0025162C" w:rsidRPr="008A2145" w:rsidRDefault="0025162C" w:rsidP="0025162C">
      <w:pPr>
        <w:pStyle w:val="Caption"/>
        <w:ind w:firstLine="720"/>
        <w:rPr>
          <w:sz w:val="22"/>
          <w:szCs w:val="22"/>
        </w:rPr>
      </w:pPr>
      <w:bookmarkStart w:id="1076" w:name="_Toc384903767"/>
      <w:bookmarkStart w:id="1077" w:name="_Toc384908043"/>
      <w:r w:rsidRPr="008A2145">
        <w:rPr>
          <w:sz w:val="22"/>
          <w:szCs w:val="22"/>
        </w:rPr>
        <w:t xml:space="preserve">Figure </w:t>
      </w:r>
      <w:r w:rsidRPr="008A2145">
        <w:rPr>
          <w:sz w:val="22"/>
          <w:szCs w:val="22"/>
        </w:rPr>
        <w:fldChar w:fldCharType="begin"/>
      </w:r>
      <w:r w:rsidRPr="008A2145">
        <w:rPr>
          <w:sz w:val="22"/>
          <w:szCs w:val="22"/>
        </w:rPr>
        <w:instrText xml:space="preserve"> SEQ Figure \* ARABIC </w:instrText>
      </w:r>
      <w:r w:rsidRPr="008A2145">
        <w:rPr>
          <w:sz w:val="22"/>
          <w:szCs w:val="22"/>
        </w:rPr>
        <w:fldChar w:fldCharType="separate"/>
      </w:r>
      <w:r w:rsidR="00381BCB">
        <w:rPr>
          <w:noProof/>
          <w:sz w:val="22"/>
          <w:szCs w:val="22"/>
        </w:rPr>
        <w:t>7</w:t>
      </w:r>
      <w:r w:rsidRPr="008A2145">
        <w:rPr>
          <w:sz w:val="22"/>
          <w:szCs w:val="22"/>
        </w:rPr>
        <w:fldChar w:fldCharType="end"/>
      </w:r>
      <w:r w:rsidRPr="008A2145">
        <w:rPr>
          <w:sz w:val="22"/>
          <w:szCs w:val="22"/>
        </w:rPr>
        <w:t>: Parallel Supply Chains in Malawi</w:t>
      </w:r>
      <w:bookmarkEnd w:id="1076"/>
      <w:bookmarkEnd w:id="1077"/>
    </w:p>
    <w:p w:rsidR="0025162C" w:rsidRDefault="0025162C" w:rsidP="0025162C">
      <w:pPr>
        <w:jc w:val="center"/>
      </w:pPr>
      <w:r>
        <w:rPr>
          <w:noProof/>
        </w:rPr>
        <w:drawing>
          <wp:inline distT="0" distB="0" distL="0" distR="0" wp14:anchorId="06E5A6C5" wp14:editId="333B7E94">
            <wp:extent cx="5000625" cy="3019425"/>
            <wp:effectExtent l="0" t="0" r="0" b="9525"/>
            <wp:docPr id="2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00625" cy="3019425"/>
                    </a:xfrm>
                    <a:prstGeom prst="rect">
                      <a:avLst/>
                    </a:prstGeom>
                    <a:noFill/>
                    <a:ln>
                      <a:noFill/>
                    </a:ln>
                  </pic:spPr>
                </pic:pic>
              </a:graphicData>
            </a:graphic>
          </wp:inline>
        </w:drawing>
      </w:r>
    </w:p>
    <w:p w:rsidR="0025162C" w:rsidRDefault="0025162C" w:rsidP="0025162C">
      <w:pPr>
        <w:jc w:val="center"/>
      </w:pPr>
      <w:r>
        <w:rPr>
          <w:noProof/>
        </w:rPr>
        <w:lastRenderedPageBreak/>
        <w:drawing>
          <wp:inline distT="0" distB="0" distL="0" distR="0" wp14:anchorId="0C73B149" wp14:editId="4D64F5DD">
            <wp:extent cx="5003165" cy="3019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03165" cy="3019425"/>
                    </a:xfrm>
                    <a:prstGeom prst="rect">
                      <a:avLst/>
                    </a:prstGeom>
                    <a:noFill/>
                    <a:ln>
                      <a:noFill/>
                    </a:ln>
                  </pic:spPr>
                </pic:pic>
              </a:graphicData>
            </a:graphic>
          </wp:inline>
        </w:drawing>
      </w:r>
    </w:p>
    <w:p w:rsidR="0025162C" w:rsidRDefault="0025162C" w:rsidP="0025162C">
      <w:pPr>
        <w:jc w:val="both"/>
      </w:pPr>
      <w:r>
        <w:t>The government has made it a priority to strengthen CMST and reintegrate donor-supported parallel supply chains into the national system. Although concerns regarding the absorptive capacity of CMST remain in question, collapsing parallel supply chains into the CMST has the potential to create economies of scale, and increase the long-term sustainability of the supply chain system in Malawi.</w:t>
      </w:r>
    </w:p>
    <w:p w:rsidR="0025162C" w:rsidRDefault="0025162C" w:rsidP="0025162C">
      <w:pPr>
        <w:jc w:val="both"/>
      </w:pPr>
      <w:r w:rsidRPr="006F51A4">
        <w:t>Savings generated through consolidating parallel supply chains may be substantial, especially in the area of distribution costs, which typically comprise the bulk of supply chain costs. Currently, SDV supply chain management costs represent 17% of the value of the commodities managed, while supply chain management costs are 36% for the JSI/UNICEF supply chain and 26% for the PSI supply chain. CMS intends to keep its PSM costs to no higher than 12.5% of the value of the commodities it manages. If possible within a consolidated supply chain handling the combined value of current commodities, $11.2 M in annual savings could be generated. Even if CMS</w:t>
      </w:r>
      <w:r>
        <w:t>T</w:t>
      </w:r>
      <w:r w:rsidRPr="006F51A4">
        <w:t xml:space="preserve"> operates at the slightly higher PSM rate of 15%, $8.5 M of annual savings would be created. Although such savings would accrue to donors rather than the government directly, this is additional funding that could be direc</w:t>
      </w:r>
      <w:r>
        <w:t xml:space="preserve">ted back to the health system. </w:t>
      </w:r>
    </w:p>
    <w:p w:rsidR="0025162C" w:rsidRDefault="0025162C" w:rsidP="00A12622">
      <w:pPr>
        <w:pStyle w:val="Heading3"/>
      </w:pPr>
      <w:r>
        <w:t>4.7.1</w:t>
      </w:r>
      <w:r w:rsidRPr="006F51A4">
        <w:tab/>
      </w:r>
      <w:r>
        <w:t>STRATEGIC INTERVENTIONS</w:t>
      </w:r>
    </w:p>
    <w:p w:rsidR="0025162C" w:rsidRPr="008D0401" w:rsidRDefault="0025162C" w:rsidP="00564161">
      <w:pPr>
        <w:pStyle w:val="ListParagraph"/>
        <w:numPr>
          <w:ilvl w:val="0"/>
          <w:numId w:val="33"/>
        </w:numPr>
        <w:jc w:val="both"/>
        <w:rPr>
          <w:b/>
        </w:rPr>
      </w:pPr>
      <w:r w:rsidRPr="00D87359">
        <w:t xml:space="preserve">Execute the </w:t>
      </w:r>
      <w:r>
        <w:t>Joint Strategy for Supply Chain Integration published in 2012 regarding the transition of phasing into increased CMST responsibility for supply chain management.</w:t>
      </w:r>
    </w:p>
    <w:p w:rsidR="0025162C" w:rsidRPr="00C334A3" w:rsidRDefault="0025162C" w:rsidP="00564161">
      <w:pPr>
        <w:pStyle w:val="ListParagraph"/>
        <w:numPr>
          <w:ilvl w:val="0"/>
          <w:numId w:val="33"/>
        </w:numPr>
        <w:jc w:val="both"/>
        <w:rPr>
          <w:b/>
        </w:rPr>
      </w:pPr>
      <w:r>
        <w:t>Ensure that the CMST Reform Committee and Monitoring Task Forces are created, meet regularly and ensure that supply chain reintegration follows the Joint Strategy for Supply Chain Integration as measured by the clearly defined integration benchmarks that are outlined in the strategy.</w:t>
      </w:r>
    </w:p>
    <w:p w:rsidR="00C334A3" w:rsidRDefault="00C334A3" w:rsidP="00C334A3">
      <w:pPr>
        <w:pStyle w:val="ListParagraph"/>
        <w:jc w:val="both"/>
      </w:pPr>
    </w:p>
    <w:p w:rsidR="00C334A3" w:rsidRPr="00773329" w:rsidRDefault="00C334A3" w:rsidP="00C334A3">
      <w:pPr>
        <w:pStyle w:val="ListParagraph"/>
        <w:jc w:val="both"/>
        <w:rPr>
          <w:b/>
        </w:rPr>
      </w:pPr>
    </w:p>
    <w:p w:rsidR="0025162C" w:rsidRPr="00BD4A85" w:rsidRDefault="0025162C" w:rsidP="001C7880">
      <w:pPr>
        <w:pStyle w:val="Heading2"/>
      </w:pPr>
      <w:bookmarkStart w:id="1078" w:name="_Toc363225906"/>
      <w:bookmarkStart w:id="1079" w:name="_Toc384903845"/>
      <w:bookmarkStart w:id="1080" w:name="_Toc384911971"/>
      <w:r w:rsidRPr="00BD4A85">
        <w:lastRenderedPageBreak/>
        <w:t>4.8</w:t>
      </w:r>
      <w:r w:rsidRPr="00BD4A85">
        <w:tab/>
      </w:r>
      <w:r>
        <w:t>IMPROVE THE EFFICIENCY OF PROCUREMENT BY AVOIDING</w:t>
      </w:r>
      <w:r w:rsidRPr="00BD4A85">
        <w:t xml:space="preserve"> USE OF MIDDLE-MEN IN PROCUREMENT, BUYING DRUGS DIRECTLY FROM M</w:t>
      </w:r>
      <w:r>
        <w:t>ANUFACTURER</w:t>
      </w:r>
      <w:r w:rsidRPr="00BD4A85">
        <w:t>S TO LOWER PRICES</w:t>
      </w:r>
      <w:bookmarkEnd w:id="1078"/>
      <w:bookmarkEnd w:id="1079"/>
      <w:bookmarkEnd w:id="1080"/>
    </w:p>
    <w:p w:rsidR="0025162C" w:rsidRPr="00BD4A85" w:rsidRDefault="004D598F" w:rsidP="0025162C">
      <w:pPr>
        <w:rPr>
          <w:lang w:eastAsia="en-GB"/>
        </w:rPr>
      </w:pPr>
      <w:r>
        <w:rPr>
          <w:rFonts w:cs="Calibri"/>
        </w:rPr>
        <w:pict>
          <v:rect id="_x0000_i1047" style="width:0;height:1.5pt" o:hralign="center" o:hrstd="t" o:hr="t" fillcolor="#a0a0a0" stroked="f"/>
        </w:pict>
      </w:r>
    </w:p>
    <w:p w:rsidR="0025162C" w:rsidRDefault="0025162C" w:rsidP="0025162C">
      <w:pPr>
        <w:jc w:val="both"/>
      </w:pPr>
      <w:r w:rsidRPr="00BD4A85">
        <w:t>The purchase of commodities is one of the largest expenditures included in the Ministry of Health budget. About 42% of MoH resources will be directed towards commodities in FY 2013-14. There are significant concerns regarding commodity procurement processes and systems including the occurrence of transparent and competitive tenders. Frequent stock outs at the central level have led to emergency procurements as well as procurement of essential medicines from individual districts and health facilities. Under these emergency circumstances, drugs are often procured from ‘middle men’ and not directly from drug manufacturers resulting in the purchase of drugs at higher prices.</w:t>
      </w:r>
    </w:p>
    <w:p w:rsidR="0025162C" w:rsidRPr="00BD4A85" w:rsidRDefault="0025162C" w:rsidP="00A12622">
      <w:pPr>
        <w:pStyle w:val="Heading3"/>
      </w:pPr>
      <w:bookmarkStart w:id="1081" w:name="_Toc363225907"/>
      <w:r w:rsidRPr="00BD4A85">
        <w:t>4.8.1</w:t>
      </w:r>
      <w:r w:rsidRPr="00BD4A85">
        <w:tab/>
        <w:t xml:space="preserve"> </w:t>
      </w:r>
      <w:bookmarkStart w:id="1082" w:name="OLE_LINK1"/>
      <w:bookmarkStart w:id="1083" w:name="OLE_LINK2"/>
      <w:r w:rsidRPr="00BD4A85">
        <w:t>STRATEGIC INTERVENTIONS</w:t>
      </w:r>
      <w:bookmarkEnd w:id="1081"/>
    </w:p>
    <w:bookmarkEnd w:id="1082"/>
    <w:bookmarkEnd w:id="1083"/>
    <w:p w:rsidR="0025162C" w:rsidRPr="00BD4A85" w:rsidRDefault="0025162C" w:rsidP="0025162C">
      <w:pPr>
        <w:jc w:val="both"/>
      </w:pPr>
      <w:r w:rsidRPr="00BD4A85">
        <w:t>Until CMST and central procurement systems are fully functional, there are number of initiatives that should occur in order to reduce the use of ‘middle men’ in procuring essential medications:</w:t>
      </w:r>
    </w:p>
    <w:p w:rsidR="0025162C" w:rsidRPr="00BD4A85" w:rsidRDefault="0025162C" w:rsidP="00564161">
      <w:pPr>
        <w:pStyle w:val="ListParagraph"/>
        <w:numPr>
          <w:ilvl w:val="0"/>
          <w:numId w:val="2"/>
        </w:numPr>
        <w:jc w:val="both"/>
      </w:pPr>
      <w:r w:rsidRPr="00BD4A85">
        <w:t>Establish a technical working group to coordinate procurement activities of districts and health facilities to:</w:t>
      </w:r>
    </w:p>
    <w:p w:rsidR="0025162C" w:rsidRPr="00BD4A85" w:rsidRDefault="0025162C" w:rsidP="00564161">
      <w:pPr>
        <w:pStyle w:val="ListParagraph"/>
        <w:numPr>
          <w:ilvl w:val="1"/>
          <w:numId w:val="27"/>
        </w:numPr>
        <w:jc w:val="both"/>
      </w:pPr>
      <w:r w:rsidRPr="00BD4A85">
        <w:t>Generate a list of recommended suppliers recognized for low cost and high quality</w:t>
      </w:r>
      <w:r>
        <w:t xml:space="preserve"> medical goods and supplies.</w:t>
      </w:r>
    </w:p>
    <w:p w:rsidR="0025162C" w:rsidRPr="00BD4A85" w:rsidRDefault="0025162C" w:rsidP="00564161">
      <w:pPr>
        <w:pStyle w:val="ListParagraph"/>
        <w:numPr>
          <w:ilvl w:val="1"/>
          <w:numId w:val="27"/>
        </w:numPr>
        <w:jc w:val="both"/>
      </w:pPr>
      <w:r w:rsidRPr="00BD4A85">
        <w:t>Coordinate between facilities to combine orders and thereby buying in bulks and at reduced cost</w:t>
      </w:r>
      <w:r>
        <w:t>.</w:t>
      </w:r>
    </w:p>
    <w:p w:rsidR="0025162C" w:rsidRDefault="0025162C" w:rsidP="00564161">
      <w:pPr>
        <w:pStyle w:val="ListParagraph"/>
        <w:numPr>
          <w:ilvl w:val="1"/>
          <w:numId w:val="27"/>
        </w:numPr>
        <w:jc w:val="both"/>
      </w:pPr>
      <w:r w:rsidRPr="00BD4A85">
        <w:t>Identify individuals with expertise in supply chain management who can act as technical advisors to facilities and organizations with limited capacity and expertise</w:t>
      </w:r>
      <w:r>
        <w:t>.</w:t>
      </w:r>
    </w:p>
    <w:p w:rsidR="0025162C" w:rsidRPr="00BD4A85" w:rsidRDefault="0025162C" w:rsidP="00564161">
      <w:pPr>
        <w:pStyle w:val="ListParagraph"/>
        <w:numPr>
          <w:ilvl w:val="1"/>
          <w:numId w:val="27"/>
        </w:numPr>
        <w:jc w:val="both"/>
      </w:pPr>
      <w:r>
        <w:t>Address the issue of branded versus generic drugs.</w:t>
      </w:r>
    </w:p>
    <w:p w:rsidR="0025162C" w:rsidRPr="00BD4A85" w:rsidRDefault="0025162C" w:rsidP="00564161">
      <w:pPr>
        <w:pStyle w:val="ListParagraph"/>
        <w:numPr>
          <w:ilvl w:val="0"/>
          <w:numId w:val="2"/>
        </w:numPr>
        <w:jc w:val="both"/>
      </w:pPr>
      <w:r w:rsidRPr="00BD4A85">
        <w:t xml:space="preserve">Continue prioritization and provision of resources towards CMST and supply chain </w:t>
      </w:r>
      <w:r w:rsidR="00EE6BAB" w:rsidRPr="00BD4A85">
        <w:t>reform.</w:t>
      </w:r>
    </w:p>
    <w:p w:rsidR="0025162C" w:rsidRDefault="0025162C" w:rsidP="0025162C">
      <w:pPr>
        <w:pStyle w:val="ListParagraph"/>
        <w:ind w:left="0"/>
        <w:jc w:val="both"/>
      </w:pPr>
    </w:p>
    <w:p w:rsidR="0025162C" w:rsidRDefault="0025162C" w:rsidP="001C7880">
      <w:pPr>
        <w:pStyle w:val="Heading2"/>
      </w:pPr>
      <w:bookmarkStart w:id="1084" w:name="_Toc363225908"/>
      <w:bookmarkStart w:id="1085" w:name="_Toc384903846"/>
      <w:bookmarkStart w:id="1086" w:name="_Toc384911972"/>
      <w:r>
        <w:t>4.9</w:t>
      </w:r>
      <w:r>
        <w:tab/>
      </w:r>
      <w:r w:rsidRPr="007A3C9B">
        <w:t>EXPLORE HOW TO IDENTIFY NON-NATIONALS IN HEALTHCARE FACILITIES AND ACCOUNT FOR THEIR COSTS</w:t>
      </w:r>
      <w:bookmarkEnd w:id="1084"/>
      <w:bookmarkEnd w:id="1085"/>
      <w:bookmarkEnd w:id="1086"/>
    </w:p>
    <w:p w:rsidR="00BD06B9" w:rsidRPr="00BD4A85" w:rsidRDefault="004D598F" w:rsidP="00BD06B9">
      <w:r>
        <w:pict>
          <v:rect id="_x0000_i1048" style="width:0;height:1.5pt" o:hralign="center" o:hrstd="t" o:hr="t" fillcolor="#a0a0a0" stroked="f"/>
        </w:pict>
      </w:r>
    </w:p>
    <w:p w:rsidR="0025162C" w:rsidRDefault="0025162C" w:rsidP="0025162C">
      <w:pPr>
        <w:jc w:val="both"/>
        <w:rPr>
          <w:rFonts w:cs="Arial"/>
        </w:rPr>
      </w:pPr>
      <w:r w:rsidRPr="00E90314">
        <w:rPr>
          <w:rFonts w:cs="Arial"/>
        </w:rPr>
        <w:t xml:space="preserve">Malawi is one of the </w:t>
      </w:r>
      <w:r>
        <w:rPr>
          <w:rFonts w:cs="Arial"/>
        </w:rPr>
        <w:t>only countries in Sub-</w:t>
      </w:r>
      <w:r w:rsidRPr="00E90314">
        <w:rPr>
          <w:rFonts w:cs="Arial"/>
        </w:rPr>
        <w:t xml:space="preserve">Saharan Africa that aims to provide free health care services to all </w:t>
      </w:r>
      <w:r>
        <w:rPr>
          <w:rFonts w:cs="Arial"/>
        </w:rPr>
        <w:t xml:space="preserve">citizens at the point of use. </w:t>
      </w:r>
      <w:r w:rsidRPr="00E90314">
        <w:rPr>
          <w:rFonts w:cs="Arial"/>
        </w:rPr>
        <w:t>As such, there</w:t>
      </w:r>
      <w:r>
        <w:rPr>
          <w:rFonts w:cs="Arial"/>
        </w:rPr>
        <w:t xml:space="preserve"> is</w:t>
      </w:r>
      <w:r w:rsidRPr="00E90314">
        <w:rPr>
          <w:rFonts w:cs="Arial"/>
        </w:rPr>
        <w:t xml:space="preserve"> </w:t>
      </w:r>
      <w:r>
        <w:rPr>
          <w:rFonts w:cs="Arial"/>
        </w:rPr>
        <w:t>the perception</w:t>
      </w:r>
      <w:r w:rsidRPr="00E90314">
        <w:rPr>
          <w:rFonts w:cs="Arial"/>
        </w:rPr>
        <w:t xml:space="preserve"> that health f</w:t>
      </w:r>
      <w:r>
        <w:rPr>
          <w:rFonts w:cs="Arial"/>
        </w:rPr>
        <w:t>acilities along the Malawian bo</w:t>
      </w:r>
      <w:r w:rsidRPr="00E90314">
        <w:rPr>
          <w:rFonts w:cs="Arial"/>
        </w:rPr>
        <w:t>rders serve a significant population of non-nationals in addition to Malawian citizens. Therefore, this option, if implemented, would help insure that health care resources reach their intended target. Additionally, user fees may represent a source of revenue generation that could support the provision of quality health care services to Malawians.</w:t>
      </w:r>
    </w:p>
    <w:p w:rsidR="0025162C" w:rsidRDefault="0025162C" w:rsidP="0025162C">
      <w:pPr>
        <w:jc w:val="both"/>
        <w:rPr>
          <w:rFonts w:cs="Arial"/>
        </w:rPr>
      </w:pPr>
      <w:r w:rsidRPr="00E90314">
        <w:rPr>
          <w:rFonts w:cs="Arial"/>
        </w:rPr>
        <w:t>Implementation of user fees for non-nationals would require correct identificatio</w:t>
      </w:r>
      <w:r>
        <w:rPr>
          <w:rFonts w:cs="Arial"/>
        </w:rPr>
        <w:t>n of n</w:t>
      </w:r>
      <w:r w:rsidRPr="00E90314">
        <w:rPr>
          <w:rFonts w:cs="Arial"/>
        </w:rPr>
        <w:t xml:space="preserve">ationality. Clear identification of non-nationals will depend on the full implementation of the National Registration </w:t>
      </w:r>
      <w:r w:rsidRPr="00E90314">
        <w:rPr>
          <w:rFonts w:cs="Arial"/>
        </w:rPr>
        <w:lastRenderedPageBreak/>
        <w:t>exercise which is expected to result into the production of Identity Cards, ther</w:t>
      </w:r>
      <w:r>
        <w:rPr>
          <w:rFonts w:cs="Arial"/>
        </w:rPr>
        <w:t>e</w:t>
      </w:r>
      <w:r w:rsidRPr="00E90314">
        <w:rPr>
          <w:rFonts w:cs="Arial"/>
        </w:rPr>
        <w:t>by allowing identification of Malawi citizens eligible for accessing medical services in Malawi’s health facilities.</w:t>
      </w:r>
    </w:p>
    <w:p w:rsidR="0025162C" w:rsidRDefault="0025162C" w:rsidP="00564161">
      <w:pPr>
        <w:pStyle w:val="Heading3"/>
        <w:numPr>
          <w:ilvl w:val="2"/>
          <w:numId w:val="41"/>
        </w:numPr>
      </w:pPr>
      <w:r>
        <w:t>STRATEGIC INTERVENTIONS</w:t>
      </w:r>
    </w:p>
    <w:p w:rsidR="0025162C" w:rsidRDefault="0025162C" w:rsidP="00564161">
      <w:pPr>
        <w:numPr>
          <w:ilvl w:val="0"/>
          <w:numId w:val="36"/>
        </w:numPr>
        <w:jc w:val="both"/>
        <w:rPr>
          <w:rFonts w:cs="Arial"/>
        </w:rPr>
      </w:pPr>
      <w:r>
        <w:rPr>
          <w:rFonts w:cs="Arial"/>
        </w:rPr>
        <w:t>Move toward implementation of the National Registration exercise, to produce Identity Cards for all citizens</w:t>
      </w:r>
      <w:r w:rsidR="00014F20">
        <w:rPr>
          <w:rFonts w:cs="Arial"/>
        </w:rPr>
        <w:t>.</w:t>
      </w:r>
    </w:p>
    <w:p w:rsidR="0025162C" w:rsidRPr="00F77994" w:rsidRDefault="0025162C" w:rsidP="00564161">
      <w:pPr>
        <w:numPr>
          <w:ilvl w:val="0"/>
          <w:numId w:val="36"/>
        </w:numPr>
        <w:jc w:val="both"/>
        <w:rPr>
          <w:rFonts w:cs="Arial"/>
        </w:rPr>
      </w:pPr>
      <w:r w:rsidRPr="00F77994">
        <w:rPr>
          <w:rFonts w:cs="Arial"/>
        </w:rPr>
        <w:t>Investigate the volume of non-Malawians seeking health services in border districts</w:t>
      </w:r>
      <w:r w:rsidR="00014F20">
        <w:rPr>
          <w:rFonts w:cs="Arial"/>
        </w:rPr>
        <w:t>.</w:t>
      </w:r>
    </w:p>
    <w:p w:rsidR="0025162C" w:rsidRPr="00F5448D" w:rsidRDefault="0025162C" w:rsidP="00564161">
      <w:pPr>
        <w:numPr>
          <w:ilvl w:val="0"/>
          <w:numId w:val="36"/>
        </w:numPr>
        <w:jc w:val="both"/>
        <w:rPr>
          <w:rFonts w:cs="Arial"/>
        </w:rPr>
      </w:pPr>
      <w:r>
        <w:rPr>
          <w:rFonts w:cs="Arial"/>
        </w:rPr>
        <w:t>Collaborate with neighboring states to ensure they provide adequate health services near border areas, thereby reducing the need for their citizens to seek care in Malawi</w:t>
      </w:r>
      <w:r w:rsidR="00014F20">
        <w:rPr>
          <w:rFonts w:cs="Arial"/>
        </w:rPr>
        <w:t>.</w:t>
      </w:r>
    </w:p>
    <w:p w:rsidR="0025162C" w:rsidRDefault="0025162C" w:rsidP="001C7880">
      <w:pPr>
        <w:pStyle w:val="Heading2"/>
        <w:rPr>
          <w:lang w:val="en-CA"/>
        </w:rPr>
      </w:pPr>
      <w:bookmarkStart w:id="1087" w:name="_Toc384911973"/>
      <w:bookmarkStart w:id="1088" w:name="_Toc354005651"/>
      <w:bookmarkStart w:id="1089" w:name="_Toc358819186"/>
      <w:bookmarkStart w:id="1090" w:name="_Toc354005657"/>
      <w:r>
        <w:t>4.10</w:t>
      </w:r>
      <w:r>
        <w:tab/>
      </w:r>
      <w:bookmarkStart w:id="1091" w:name="_Toc384903847"/>
      <w:r>
        <w:rPr>
          <w:lang w:val="en-CA"/>
        </w:rPr>
        <w:t>STRENGTHEN FINANCIAL MANAGEMENT CAPACITY AT ALL LEVELS OF THE HEALTH SYSTEM</w:t>
      </w:r>
      <w:bookmarkEnd w:id="1087"/>
      <w:bookmarkEnd w:id="1091"/>
    </w:p>
    <w:p w:rsidR="00BD06B9" w:rsidRPr="00BD4A85" w:rsidRDefault="004D598F" w:rsidP="00BD06B9">
      <w:r>
        <w:pict>
          <v:rect id="_x0000_i1049" style="width:0;height:1.5pt" o:hralign="center" o:hrstd="t" o:hr="t" fillcolor="#a0a0a0" stroked="f"/>
        </w:pict>
      </w:r>
    </w:p>
    <w:p w:rsidR="0025162C" w:rsidRDefault="0025162C" w:rsidP="0025162C">
      <w:pPr>
        <w:jc w:val="both"/>
      </w:pPr>
      <w:r w:rsidRPr="00385997">
        <w:t xml:space="preserve">In order </w:t>
      </w:r>
      <w:r>
        <w:t xml:space="preserve">make </w:t>
      </w:r>
      <w:r w:rsidRPr="00385997">
        <w:t>ensure that necessary resources are available for the delivery of</w:t>
      </w:r>
      <w:r>
        <w:t xml:space="preserve"> health</w:t>
      </w:r>
      <w:r w:rsidRPr="00385997">
        <w:t xml:space="preserve"> services in Malawi, </w:t>
      </w:r>
      <w:r>
        <w:t xml:space="preserve">there is need to strengthen the </w:t>
      </w:r>
      <w:r w:rsidRPr="00385997">
        <w:t>financial management, financial planning, budget execution capacity, expenditure reporting, and preparation of audit reports</w:t>
      </w:r>
      <w:r>
        <w:t xml:space="preserve"> capacity at all levels of the health system.</w:t>
      </w:r>
    </w:p>
    <w:p w:rsidR="0025162C" w:rsidRDefault="0025162C" w:rsidP="00A12622">
      <w:pPr>
        <w:pStyle w:val="Heading3"/>
      </w:pPr>
      <w:r>
        <w:t>4.10.1</w:t>
      </w:r>
      <w:r>
        <w:tab/>
        <w:t>STRATEGIC INTERVENTIONS</w:t>
      </w:r>
    </w:p>
    <w:p w:rsidR="0025162C" w:rsidRDefault="0025162C" w:rsidP="00564161">
      <w:pPr>
        <w:numPr>
          <w:ilvl w:val="0"/>
          <w:numId w:val="36"/>
        </w:numPr>
        <w:jc w:val="both"/>
        <w:rPr>
          <w:rFonts w:cs="Arial"/>
        </w:rPr>
      </w:pPr>
      <w:r>
        <w:rPr>
          <w:rFonts w:cs="Arial"/>
        </w:rPr>
        <w:t>Ensure robust financial management systems is maintained to facilitate capturing, analyzing and reporting of financial transactions.</w:t>
      </w:r>
    </w:p>
    <w:p w:rsidR="0025162C" w:rsidRPr="00E1541F" w:rsidRDefault="0025162C" w:rsidP="00564161">
      <w:pPr>
        <w:pStyle w:val="ListParagraph"/>
        <w:numPr>
          <w:ilvl w:val="0"/>
          <w:numId w:val="36"/>
        </w:numPr>
        <w:contextualSpacing w:val="0"/>
        <w:jc w:val="both"/>
        <w:rPr>
          <w:rFonts w:asciiTheme="minorHAnsi" w:hAnsiTheme="minorHAnsi"/>
          <w:lang w:val="en-GB"/>
        </w:rPr>
      </w:pPr>
      <w:r w:rsidRPr="0054654F">
        <w:rPr>
          <w:rFonts w:asciiTheme="minorHAnsi" w:hAnsiTheme="minorHAnsi"/>
          <w:lang w:val="en-GB"/>
        </w:rPr>
        <w:t>Strengthen financial management systems capacity at national, zonal and district levels</w:t>
      </w:r>
      <w:r w:rsidR="00014F20">
        <w:rPr>
          <w:rFonts w:asciiTheme="minorHAnsi" w:hAnsiTheme="minorHAnsi"/>
          <w:lang w:val="en-GB"/>
        </w:rPr>
        <w:t>.</w:t>
      </w:r>
    </w:p>
    <w:p w:rsidR="0025162C" w:rsidRPr="00F5448D" w:rsidRDefault="0025162C" w:rsidP="00564161">
      <w:pPr>
        <w:numPr>
          <w:ilvl w:val="0"/>
          <w:numId w:val="36"/>
        </w:numPr>
        <w:jc w:val="both"/>
        <w:rPr>
          <w:rFonts w:cs="Arial"/>
        </w:rPr>
      </w:pPr>
      <w:r>
        <w:rPr>
          <w:rFonts w:cs="Arial"/>
        </w:rPr>
        <w:t>Strengthen internal controls for effective public financial management in the health systems</w:t>
      </w:r>
      <w:r w:rsidR="00014F20">
        <w:rPr>
          <w:rFonts w:cs="Arial"/>
        </w:rPr>
        <w:t>.</w:t>
      </w:r>
    </w:p>
    <w:p w:rsidR="0025162C" w:rsidRDefault="0025162C" w:rsidP="00564161">
      <w:pPr>
        <w:numPr>
          <w:ilvl w:val="0"/>
          <w:numId w:val="36"/>
        </w:numPr>
        <w:jc w:val="both"/>
        <w:rPr>
          <w:rFonts w:cs="Arial"/>
        </w:rPr>
      </w:pPr>
      <w:r>
        <w:rPr>
          <w:rFonts w:cs="Arial"/>
        </w:rPr>
        <w:t>Build capacity of finance and non-finance staff in areas of budgeting, accounting, reporting, procurement, stores and drug management</w:t>
      </w:r>
      <w:r w:rsidR="00014F20">
        <w:rPr>
          <w:rFonts w:cs="Arial"/>
        </w:rPr>
        <w:t>.</w:t>
      </w:r>
    </w:p>
    <w:p w:rsidR="00CF0449" w:rsidRDefault="0025162C" w:rsidP="00564161">
      <w:pPr>
        <w:pStyle w:val="ListParagraph"/>
        <w:numPr>
          <w:ilvl w:val="0"/>
          <w:numId w:val="36"/>
        </w:numPr>
        <w:contextualSpacing w:val="0"/>
        <w:jc w:val="both"/>
        <w:rPr>
          <w:rFonts w:asciiTheme="minorHAnsi" w:hAnsiTheme="minorHAnsi"/>
          <w:lang w:val="en-GB"/>
        </w:rPr>
      </w:pPr>
      <w:r w:rsidRPr="0054654F">
        <w:rPr>
          <w:rFonts w:asciiTheme="minorHAnsi" w:hAnsiTheme="minorHAnsi"/>
          <w:lang w:val="en-GB"/>
        </w:rPr>
        <w:t>Strengthen risk management by conducting routine financial and procurement audits</w:t>
      </w:r>
      <w:r w:rsidR="00014F20">
        <w:rPr>
          <w:rFonts w:asciiTheme="minorHAnsi" w:hAnsiTheme="minorHAnsi"/>
          <w:lang w:val="en-GB"/>
        </w:rPr>
        <w:t>.</w:t>
      </w:r>
    </w:p>
    <w:p w:rsidR="00C334A3" w:rsidRPr="00E256BA" w:rsidRDefault="00C334A3" w:rsidP="00C334A3">
      <w:pPr>
        <w:pStyle w:val="Heading2"/>
        <w:rPr>
          <w:highlight w:val="yellow"/>
          <w:lang w:val="en-CA"/>
        </w:rPr>
      </w:pPr>
      <w:r w:rsidRPr="00E256BA">
        <w:rPr>
          <w:highlight w:val="yellow"/>
        </w:rPr>
        <w:t>4.11</w:t>
      </w:r>
      <w:r w:rsidRPr="00E256BA">
        <w:rPr>
          <w:highlight w:val="yellow"/>
        </w:rPr>
        <w:tab/>
      </w:r>
      <w:r w:rsidRPr="00E256BA">
        <w:rPr>
          <w:rFonts w:ascii="Gill Sans MT" w:hAnsi="Gill Sans MT"/>
          <w:sz w:val="22"/>
          <w:szCs w:val="22"/>
          <w:highlight w:val="yellow"/>
        </w:rPr>
        <w:t>MAKING STRATEGIC INVESTMENTS AMONG HEALTH</w:t>
      </w:r>
      <w:r w:rsidR="00381BCB">
        <w:rPr>
          <w:rFonts w:ascii="Gill Sans MT" w:hAnsi="Gill Sans MT"/>
          <w:sz w:val="22"/>
          <w:szCs w:val="22"/>
          <w:highlight w:val="yellow"/>
        </w:rPr>
        <w:t xml:space="preserve"> OR HEALTH-RELATED</w:t>
      </w:r>
      <w:r w:rsidRPr="00E256BA">
        <w:rPr>
          <w:rFonts w:ascii="Gill Sans MT" w:hAnsi="Gill Sans MT"/>
          <w:sz w:val="22"/>
          <w:szCs w:val="22"/>
          <w:highlight w:val="yellow"/>
        </w:rPr>
        <w:t xml:space="preserve"> FUNCTION</w:t>
      </w:r>
      <w:r w:rsidR="00A12622" w:rsidRPr="00E256BA">
        <w:rPr>
          <w:rFonts w:ascii="Gill Sans MT" w:hAnsi="Gill Sans MT"/>
          <w:sz w:val="22"/>
          <w:szCs w:val="22"/>
          <w:highlight w:val="yellow"/>
        </w:rPr>
        <w:t>S</w:t>
      </w:r>
    </w:p>
    <w:p w:rsidR="00C334A3" w:rsidRPr="00E256BA" w:rsidRDefault="004D598F" w:rsidP="00C334A3">
      <w:pPr>
        <w:rPr>
          <w:highlight w:val="yellow"/>
        </w:rPr>
      </w:pPr>
      <w:r>
        <w:rPr>
          <w:highlight w:val="yellow"/>
        </w:rPr>
        <w:pict>
          <v:rect id="_x0000_i1050" style="width:0;height:1.5pt" o:hralign="center" o:hrstd="t" o:hr="t" fillcolor="#a0a0a0" stroked="f"/>
        </w:pict>
      </w:r>
    </w:p>
    <w:p w:rsidR="00A12622" w:rsidRPr="00A12622" w:rsidRDefault="00381BCB" w:rsidP="00381BCB">
      <w:pPr>
        <w:rPr>
          <w:rFonts w:ascii="Gill Sans MT" w:hAnsi="Gill Sans MT"/>
          <w:highlight w:val="yellow"/>
        </w:rPr>
      </w:pPr>
      <w:r w:rsidRPr="0027408F">
        <w:rPr>
          <w:rFonts w:cs="Arial"/>
          <w:highlight w:val="yellow"/>
          <w:lang w:val="en-GB"/>
        </w:rPr>
        <w:t xml:space="preserve">Congestion in Malawian health facilities is caused by some cases which could be reduced by investing more resources in preventive and health promotion activities which entail more resources in social determinants of health. This involves the commitment by sectors other than heath such as </w:t>
      </w:r>
      <w:r w:rsidRPr="0027408F">
        <w:rPr>
          <w:rFonts w:cs="Arial"/>
          <w:highlight w:val="yellow"/>
        </w:rPr>
        <w:t>education, agriculture, housing and environment to ensuring that their policies take into account health concerns of health of individuals and the population at large</w:t>
      </w:r>
      <w:r w:rsidR="00A12622" w:rsidRPr="00E256BA">
        <w:rPr>
          <w:rFonts w:ascii="Gill Sans MT" w:hAnsi="Gill Sans MT"/>
          <w:highlight w:val="yellow"/>
        </w:rPr>
        <w:t>.</w:t>
      </w:r>
      <w:r w:rsidR="00A12622" w:rsidRPr="00A12622">
        <w:rPr>
          <w:rFonts w:ascii="Gill Sans MT" w:hAnsi="Gill Sans MT"/>
          <w:highlight w:val="yellow"/>
        </w:rPr>
        <w:t xml:space="preserve"> </w:t>
      </w:r>
    </w:p>
    <w:p w:rsidR="00C334A3" w:rsidRPr="00E256BA" w:rsidRDefault="00A12622" w:rsidP="00A12622">
      <w:pPr>
        <w:pStyle w:val="Heading3"/>
        <w:rPr>
          <w:highlight w:val="yellow"/>
        </w:rPr>
      </w:pPr>
      <w:r w:rsidRPr="00E256BA">
        <w:rPr>
          <w:highlight w:val="yellow"/>
        </w:rPr>
        <w:lastRenderedPageBreak/>
        <w:t>4.11</w:t>
      </w:r>
      <w:r w:rsidR="00C334A3" w:rsidRPr="00E256BA">
        <w:rPr>
          <w:highlight w:val="yellow"/>
        </w:rPr>
        <w:t>.1</w:t>
      </w:r>
      <w:r w:rsidR="00C334A3" w:rsidRPr="00E256BA">
        <w:rPr>
          <w:highlight w:val="yellow"/>
        </w:rPr>
        <w:tab/>
        <w:t>STRATEGIC INTERVENTIONS</w:t>
      </w:r>
    </w:p>
    <w:p w:rsidR="00A12622" w:rsidRPr="00E256BA" w:rsidRDefault="00A12622" w:rsidP="00564161">
      <w:pPr>
        <w:numPr>
          <w:ilvl w:val="0"/>
          <w:numId w:val="36"/>
        </w:numPr>
        <w:jc w:val="both"/>
        <w:rPr>
          <w:rFonts w:cs="Arial"/>
          <w:highlight w:val="yellow"/>
        </w:rPr>
      </w:pPr>
      <w:r w:rsidRPr="00E256BA">
        <w:rPr>
          <w:rFonts w:cs="Arial"/>
          <w:highlight w:val="yellow"/>
        </w:rPr>
        <w:t>Lobby for increased investments in social determinants of health by other sectors such as education, agriculture, housing and environment review of their sector policies so as to take into account the health of individuals and the population – health in all policies.</w:t>
      </w:r>
    </w:p>
    <w:p w:rsidR="00C334A3" w:rsidRPr="00E256BA" w:rsidRDefault="00A12622" w:rsidP="00564161">
      <w:pPr>
        <w:numPr>
          <w:ilvl w:val="0"/>
          <w:numId w:val="36"/>
        </w:numPr>
        <w:jc w:val="both"/>
        <w:rPr>
          <w:rFonts w:cs="Arial"/>
          <w:highlight w:val="yellow"/>
        </w:rPr>
      </w:pPr>
      <w:r w:rsidRPr="00E256BA">
        <w:rPr>
          <w:rFonts w:asciiTheme="minorHAnsi" w:hAnsiTheme="minorHAnsi"/>
          <w:highlight w:val="yellow"/>
        </w:rPr>
        <w:t xml:space="preserve">Review of policies in sectors other than health </w:t>
      </w:r>
      <w:r w:rsidR="00E256BA" w:rsidRPr="00E256BA">
        <w:rPr>
          <w:rFonts w:asciiTheme="minorHAnsi" w:hAnsiTheme="minorHAnsi"/>
          <w:highlight w:val="yellow"/>
        </w:rPr>
        <w:t xml:space="preserve">to ensure that all existing policies have </w:t>
      </w:r>
      <w:r w:rsidRPr="00E256BA">
        <w:rPr>
          <w:rFonts w:asciiTheme="minorHAnsi" w:hAnsiTheme="minorHAnsi"/>
          <w:highlight w:val="yellow"/>
        </w:rPr>
        <w:t>take</w:t>
      </w:r>
      <w:r w:rsidR="00E256BA" w:rsidRPr="00E256BA">
        <w:rPr>
          <w:rFonts w:asciiTheme="minorHAnsi" w:hAnsiTheme="minorHAnsi"/>
          <w:highlight w:val="yellow"/>
        </w:rPr>
        <w:t>n</w:t>
      </w:r>
      <w:r w:rsidRPr="00E256BA">
        <w:rPr>
          <w:rFonts w:asciiTheme="minorHAnsi" w:hAnsiTheme="minorHAnsi"/>
          <w:highlight w:val="yellow"/>
        </w:rPr>
        <w:t xml:space="preserve"> into account the health of</w:t>
      </w:r>
      <w:r w:rsidR="00E256BA" w:rsidRPr="00E256BA">
        <w:rPr>
          <w:rFonts w:asciiTheme="minorHAnsi" w:hAnsiTheme="minorHAnsi"/>
          <w:highlight w:val="yellow"/>
        </w:rPr>
        <w:t xml:space="preserve"> individuals and the population</w:t>
      </w:r>
    </w:p>
    <w:p w:rsidR="00C334A3" w:rsidRPr="005A63DA" w:rsidRDefault="00C334A3" w:rsidP="00C334A3">
      <w:pPr>
        <w:pStyle w:val="ListParagraph"/>
        <w:ind w:left="0"/>
        <w:contextualSpacing w:val="0"/>
        <w:jc w:val="both"/>
        <w:rPr>
          <w:rFonts w:asciiTheme="minorHAnsi" w:hAnsiTheme="minorHAnsi"/>
          <w:lang w:val="en-GB"/>
        </w:rPr>
      </w:pPr>
    </w:p>
    <w:p w:rsidR="0025162C" w:rsidRPr="00BD4A85" w:rsidRDefault="0025162C" w:rsidP="0025162C">
      <w:pPr>
        <w:pStyle w:val="HeadingO"/>
      </w:pPr>
      <w:bookmarkStart w:id="1092" w:name="_Toc363225909"/>
      <w:bookmarkStart w:id="1093" w:name="_Toc384903848"/>
      <w:bookmarkStart w:id="1094" w:name="_Toc384911974"/>
      <w:r w:rsidRPr="00BD4A85">
        <w:t>5.0</w:t>
      </w:r>
      <w:r w:rsidRPr="00BD4A85">
        <w:tab/>
      </w:r>
      <w:r>
        <w:tab/>
      </w:r>
      <w:r w:rsidRPr="00BD4A85">
        <w:t xml:space="preserve">OBJECTIVE 3: GENERATE EVIDENCE TO DEVELOP HEALTH </w:t>
      </w:r>
      <w:r>
        <w:t xml:space="preserve">FINANCING </w:t>
      </w:r>
      <w:r w:rsidRPr="00BD4A85">
        <w:t>APPROACHES BASED ON ACTUAL NEEDS AND COSTS WHILST ALSO BUILDING HEALTH FINANCING CAPACITY AT ALL LEVELS OF THE HEALTH SYSTEM</w:t>
      </w:r>
      <w:bookmarkEnd w:id="1088"/>
      <w:bookmarkEnd w:id="1089"/>
      <w:bookmarkEnd w:id="1092"/>
      <w:bookmarkEnd w:id="1093"/>
      <w:bookmarkEnd w:id="1094"/>
    </w:p>
    <w:p w:rsidR="0025162C" w:rsidRDefault="0025162C" w:rsidP="001C7880">
      <w:pPr>
        <w:pStyle w:val="Heading2"/>
      </w:pPr>
      <w:bookmarkStart w:id="1095" w:name="_Toc363225910"/>
      <w:bookmarkStart w:id="1096" w:name="_Toc384903849"/>
      <w:bookmarkStart w:id="1097" w:name="_Toc384911975"/>
      <w:bookmarkStart w:id="1098" w:name="_Toc354005652"/>
      <w:bookmarkStart w:id="1099" w:name="_Toc358819187"/>
      <w:r>
        <w:t>5.1</w:t>
      </w:r>
      <w:r>
        <w:tab/>
      </w:r>
      <w:r w:rsidRPr="0071231B">
        <w:rPr>
          <w:bCs/>
        </w:rPr>
        <w:t xml:space="preserve">ENGAGE </w:t>
      </w:r>
      <w:r>
        <w:rPr>
          <w:bCs/>
        </w:rPr>
        <w:t>G</w:t>
      </w:r>
      <w:r w:rsidRPr="0071231B">
        <w:rPr>
          <w:bCs/>
        </w:rPr>
        <w:t>OV</w:t>
      </w:r>
      <w:r>
        <w:rPr>
          <w:bCs/>
        </w:rPr>
        <w:t>ERNMENT</w:t>
      </w:r>
      <w:r w:rsidRPr="0071231B">
        <w:rPr>
          <w:bCs/>
        </w:rPr>
        <w:t xml:space="preserve"> AND PARTNERS </w:t>
      </w:r>
      <w:r w:rsidRPr="0071231B">
        <w:t>IN PLANNING PROCESSES BY HOLDING NATIONAL HEALTH FINAN</w:t>
      </w:r>
      <w:r>
        <w:t xml:space="preserve">CING SUMMIT EVERY YEAR </w:t>
      </w:r>
      <w:r w:rsidRPr="0071231B">
        <w:t>TO INFORM BUDGETING FOR MOH, DISTRICTS, AND NAC</w:t>
      </w:r>
      <w:bookmarkEnd w:id="1095"/>
      <w:bookmarkEnd w:id="1096"/>
      <w:bookmarkEnd w:id="1097"/>
    </w:p>
    <w:p w:rsidR="00BD06B9" w:rsidRPr="00BD4A85" w:rsidRDefault="004D598F" w:rsidP="00BD06B9">
      <w:r>
        <w:pict>
          <v:rect id="_x0000_i1051" style="width:0;height:1.5pt" o:hralign="center" o:hrstd="t" o:hr="t" fillcolor="#a0a0a0" stroked="f"/>
        </w:pict>
      </w:r>
    </w:p>
    <w:p w:rsidR="0025162C" w:rsidRPr="00315B11" w:rsidRDefault="0025162C" w:rsidP="0025162C">
      <w:pPr>
        <w:jc w:val="both"/>
        <w:rPr>
          <w:lang w:val="en-GB"/>
        </w:rPr>
      </w:pPr>
      <w:r w:rsidRPr="00BD4A85">
        <w:rPr>
          <w:lang w:val="en-GB"/>
        </w:rPr>
        <w:t>The health financing summit would present an opportunity to both Government and Donors as they prepare for annual budgeting. During the health financing summit funding situations are presented and therefore the forum acts as advocacy tool to policy makers to prioritize for health sector.</w:t>
      </w:r>
      <w:r>
        <w:rPr>
          <w:lang w:val="en-GB"/>
        </w:rPr>
        <w:t xml:space="preserve"> Given this, it is important to hold </w:t>
      </w:r>
      <w:r>
        <w:rPr>
          <w:rFonts w:cs="Calibri"/>
          <w:lang w:val="en-GB"/>
        </w:rPr>
        <w:t>the summit</w:t>
      </w:r>
      <w:r w:rsidRPr="00DC55D1">
        <w:rPr>
          <w:rFonts w:cs="Calibri"/>
          <w:lang w:val="en-GB"/>
        </w:rPr>
        <w:t xml:space="preserve"> </w:t>
      </w:r>
      <w:r>
        <w:rPr>
          <w:rFonts w:cs="Calibri"/>
          <w:lang w:val="en-GB"/>
        </w:rPr>
        <w:t xml:space="preserve">in March, before the budgeting cycle begins, so that all partners and actors in the health sector are engaged and </w:t>
      </w:r>
      <w:r w:rsidRPr="003E3C1B">
        <w:rPr>
          <w:rFonts w:cs="Calibri"/>
          <w:lang w:val="en-GB"/>
        </w:rPr>
        <w:t>evidence of health financing needs of Malawi</w:t>
      </w:r>
      <w:r>
        <w:rPr>
          <w:rFonts w:cs="Calibri"/>
          <w:lang w:val="en-GB"/>
        </w:rPr>
        <w:t xml:space="preserve"> are presented to all key stakeholders</w:t>
      </w:r>
      <w:r w:rsidRPr="003E3C1B">
        <w:rPr>
          <w:rFonts w:cs="Calibri"/>
          <w:lang w:val="en-GB"/>
        </w:rPr>
        <w:t>.</w:t>
      </w:r>
      <w:r>
        <w:rPr>
          <w:rFonts w:cs="Calibri"/>
          <w:lang w:val="en-GB"/>
        </w:rPr>
        <w:t xml:space="preserve"> This would ensure alignment and coordination between different donors. </w:t>
      </w:r>
    </w:p>
    <w:p w:rsidR="0025162C" w:rsidRPr="007578A8" w:rsidRDefault="0025162C" w:rsidP="00564161">
      <w:pPr>
        <w:pStyle w:val="Heading3"/>
        <w:numPr>
          <w:ilvl w:val="2"/>
          <w:numId w:val="34"/>
        </w:numPr>
      </w:pPr>
      <w:bookmarkStart w:id="1100" w:name="_Toc363225911"/>
      <w:r w:rsidRPr="00BD4A85">
        <w:t>STRATEGIC INTERVENTIONS</w:t>
      </w:r>
      <w:bookmarkEnd w:id="1100"/>
    </w:p>
    <w:p w:rsidR="0025162C" w:rsidRDefault="0025162C" w:rsidP="00564161">
      <w:pPr>
        <w:numPr>
          <w:ilvl w:val="0"/>
          <w:numId w:val="35"/>
        </w:numPr>
        <w:spacing w:line="240" w:lineRule="auto"/>
      </w:pPr>
      <w:r>
        <w:t>Decide in advance who will organize and sponsor the Summit</w:t>
      </w:r>
      <w:r w:rsidR="00014F20">
        <w:t>.</w:t>
      </w:r>
    </w:p>
    <w:p w:rsidR="0025162C" w:rsidRDefault="0025162C" w:rsidP="00564161">
      <w:pPr>
        <w:numPr>
          <w:ilvl w:val="0"/>
          <w:numId w:val="35"/>
        </w:numPr>
        <w:spacing w:line="240" w:lineRule="auto"/>
      </w:pPr>
      <w:r>
        <w:t xml:space="preserve">Decide exact date and venue for Summit </w:t>
      </w:r>
      <w:r w:rsidRPr="00315B11">
        <w:rPr>
          <w:vanish/>
        </w:rPr>
        <w:cr/>
        <w:t xml:space="preserve"> up to have private expenditures as detailed as public expenditures, or make sure that RM tracks budgeting more. as ever </w:t>
      </w:r>
      <w:r>
        <w:rPr>
          <w:vanish/>
        </w:rPr>
        <w:t>brought</w:t>
      </w:r>
      <w:r>
        <w:t>to be held</w:t>
      </w:r>
      <w:r w:rsidR="00014F20">
        <w:t>.</w:t>
      </w:r>
    </w:p>
    <w:p w:rsidR="0025162C" w:rsidRPr="007578A8" w:rsidRDefault="0025162C" w:rsidP="00564161">
      <w:pPr>
        <w:numPr>
          <w:ilvl w:val="0"/>
          <w:numId w:val="35"/>
        </w:numPr>
        <w:spacing w:line="240" w:lineRule="auto"/>
      </w:pPr>
      <w:r>
        <w:t>De</w:t>
      </w:r>
      <w:r w:rsidR="00EE6BAB">
        <w:t>termine key outcomes to achieve</w:t>
      </w:r>
      <w:r>
        <w:t xml:space="preserve"> from the meeting</w:t>
      </w:r>
      <w:r w:rsidR="00014F20">
        <w:t>.</w:t>
      </w:r>
      <w:r>
        <w:br/>
      </w:r>
    </w:p>
    <w:p w:rsidR="0025162C" w:rsidRDefault="0025162C" w:rsidP="001C7880">
      <w:pPr>
        <w:pStyle w:val="Heading2"/>
      </w:pPr>
      <w:bookmarkStart w:id="1101" w:name="_Toc384911976"/>
      <w:r w:rsidRPr="00BD4A85">
        <w:t>5.</w:t>
      </w:r>
      <w:r>
        <w:t>2</w:t>
      </w:r>
      <w:r w:rsidRPr="00BD4A85">
        <w:tab/>
      </w:r>
      <w:bookmarkStart w:id="1102" w:name="_Toc363225912"/>
      <w:bookmarkStart w:id="1103" w:name="_Toc384903850"/>
      <w:r w:rsidRPr="00F05FAC">
        <w:t>USE RESOURCE TRACKING MECHANISMS TO IDENTIFY RESOURCE GAPS AS WELL AS AREAS OF SURPLUS AND BUILD ANALYTICAL CAPACITY</w:t>
      </w:r>
      <w:bookmarkEnd w:id="1101"/>
      <w:bookmarkEnd w:id="1102"/>
      <w:bookmarkEnd w:id="1103"/>
    </w:p>
    <w:p w:rsidR="00BD06B9" w:rsidRPr="00BD4A85" w:rsidRDefault="004D598F" w:rsidP="00BD06B9">
      <w:r>
        <w:pict>
          <v:rect id="_x0000_i1052" style="width:0;height:1.5pt" o:hralign="center" o:hrstd="t" o:hr="t" fillcolor="#a0a0a0" stroked="f"/>
        </w:pict>
      </w:r>
    </w:p>
    <w:p w:rsidR="0025162C" w:rsidRDefault="0025162C" w:rsidP="0025162C">
      <w:pPr>
        <w:jc w:val="both"/>
        <w:rPr>
          <w:lang w:val="en-GB"/>
        </w:rPr>
      </w:pPr>
      <w:r>
        <w:rPr>
          <w:lang w:val="en-GB"/>
        </w:rPr>
        <w:t>The collection, harmonization and utilization of actionable data for evidence-based decision making is a prerequisite for sustainable health financing in Malawi. Currently</w:t>
      </w:r>
      <w:r w:rsidRPr="00BD4A85">
        <w:rPr>
          <w:lang w:val="en-GB"/>
        </w:rPr>
        <w:t>, a lack of evidence about funding flows often paralyzes decision making, as leaders lack information about where to direct resources to maximise impact.</w:t>
      </w:r>
      <w:r>
        <w:rPr>
          <w:lang w:val="en-GB"/>
        </w:rPr>
        <w:t xml:space="preserve"> Similarly, there are many data collection efforts, but they are neither integrated into decision-making processes nor harmonized. This</w:t>
      </w:r>
      <w:r w:rsidRPr="00BD4A85">
        <w:rPr>
          <w:lang w:val="en-GB"/>
        </w:rPr>
        <w:t xml:space="preserve"> prolongs unsustainable patterns of health expenditure, </w:t>
      </w:r>
      <w:r w:rsidRPr="00BD4A85">
        <w:rPr>
          <w:lang w:val="en-GB"/>
        </w:rPr>
        <w:lastRenderedPageBreak/>
        <w:t>as policymakers recognise problems but are unable to make changes</w:t>
      </w:r>
      <w:r>
        <w:rPr>
          <w:lang w:val="en-GB"/>
        </w:rPr>
        <w:t>: the systematization of data collection and use is needed to overcome this challenge.</w:t>
      </w:r>
    </w:p>
    <w:p w:rsidR="00496F9A" w:rsidRDefault="00496F9A" w:rsidP="0025162C">
      <w:pPr>
        <w:jc w:val="both"/>
        <w:rPr>
          <w:lang w:val="en-GB"/>
        </w:rPr>
      </w:pPr>
    </w:p>
    <w:p w:rsidR="00CF0449" w:rsidRDefault="00CF0449" w:rsidP="0025162C">
      <w:pPr>
        <w:jc w:val="both"/>
        <w:rPr>
          <w:lang w:val="en-GB"/>
        </w:rPr>
      </w:pPr>
    </w:p>
    <w:p w:rsidR="00CF0449" w:rsidRDefault="00CF0449" w:rsidP="0025162C">
      <w:pPr>
        <w:jc w:val="both"/>
        <w:rPr>
          <w:lang w:val="en-GB"/>
        </w:rPr>
      </w:pPr>
    </w:p>
    <w:p w:rsidR="005A63DA" w:rsidRPr="00BD4A85" w:rsidRDefault="005A63DA" w:rsidP="0025162C">
      <w:pPr>
        <w:jc w:val="both"/>
        <w:rPr>
          <w:lang w:val="en-GB"/>
        </w:rPr>
      </w:pPr>
    </w:p>
    <w:p w:rsidR="0025162C" w:rsidRPr="00BD4A85" w:rsidRDefault="0025162C" w:rsidP="00A12622">
      <w:pPr>
        <w:pStyle w:val="Heading3"/>
      </w:pPr>
      <w:bookmarkStart w:id="1104" w:name="_Toc363225913"/>
      <w:r w:rsidRPr="00BD4A85">
        <w:t>5.</w:t>
      </w:r>
      <w:r>
        <w:t>2</w:t>
      </w:r>
      <w:r w:rsidRPr="00BD4A85">
        <w:t>.1</w:t>
      </w:r>
      <w:r w:rsidRPr="00BD4A85">
        <w:tab/>
        <w:t>STRATEGIC INTERVENTIONS</w:t>
      </w:r>
      <w:bookmarkEnd w:id="1104"/>
    </w:p>
    <w:p w:rsidR="0025162C" w:rsidRPr="00BD4A85" w:rsidRDefault="0025162C" w:rsidP="0025162C">
      <w:pPr>
        <w:jc w:val="both"/>
        <w:rPr>
          <w:lang w:val="en-GB"/>
        </w:rPr>
      </w:pPr>
      <w:r w:rsidRPr="00BD4A85">
        <w:rPr>
          <w:lang w:val="en-GB"/>
        </w:rPr>
        <w:t xml:space="preserve">To move towards sustainable health financing in Malawi, decision makers </w:t>
      </w:r>
      <w:r>
        <w:rPr>
          <w:lang w:val="en-GB"/>
        </w:rPr>
        <w:t>should systematize the use of the</w:t>
      </w:r>
      <w:r w:rsidRPr="00BD4A85">
        <w:rPr>
          <w:lang w:val="en-GB"/>
        </w:rPr>
        <w:t xml:space="preserve"> </w:t>
      </w:r>
      <w:r>
        <w:rPr>
          <w:lang w:val="en-GB"/>
        </w:rPr>
        <w:t>following</w:t>
      </w:r>
      <w:r w:rsidRPr="00BD4A85">
        <w:rPr>
          <w:lang w:val="en-GB"/>
        </w:rPr>
        <w:t xml:space="preserve"> tools:</w:t>
      </w:r>
    </w:p>
    <w:p w:rsidR="0025162C" w:rsidRPr="00BD4A85" w:rsidRDefault="0025162C" w:rsidP="00564161">
      <w:pPr>
        <w:pStyle w:val="ListParagraph"/>
        <w:numPr>
          <w:ilvl w:val="0"/>
          <w:numId w:val="19"/>
        </w:numPr>
        <w:contextualSpacing w:val="0"/>
        <w:jc w:val="both"/>
        <w:rPr>
          <w:b/>
        </w:rPr>
      </w:pPr>
      <w:r w:rsidRPr="00BD4A85">
        <w:rPr>
          <w:b/>
        </w:rPr>
        <w:t xml:space="preserve">Conduct National Health Accounts </w:t>
      </w:r>
      <w:r>
        <w:rPr>
          <w:b/>
        </w:rPr>
        <w:t xml:space="preserve">every two years: </w:t>
      </w:r>
      <w:r>
        <w:t>National Health Accounts and District Health Accounts track both private and public expenditures in a high-level, and are crucial for future budgeting decisions. NHA and DHA should be updated every two years and used to lead alignment between public and private expenditures.</w:t>
      </w:r>
    </w:p>
    <w:p w:rsidR="0025162C" w:rsidRPr="00C11D59" w:rsidRDefault="0025162C" w:rsidP="00564161">
      <w:pPr>
        <w:pStyle w:val="ListParagraph"/>
        <w:numPr>
          <w:ilvl w:val="0"/>
          <w:numId w:val="19"/>
        </w:numPr>
        <w:contextualSpacing w:val="0"/>
        <w:jc w:val="both"/>
        <w:rPr>
          <w:lang w:val="en-GB"/>
        </w:rPr>
      </w:pPr>
      <w:r w:rsidRPr="00BD4A85">
        <w:rPr>
          <w:b/>
        </w:rPr>
        <w:t>Conduct Resource Mapping</w:t>
      </w:r>
      <w:r>
        <w:rPr>
          <w:b/>
        </w:rPr>
        <w:t xml:space="preserve"> every year between September - November: </w:t>
      </w:r>
      <w:r>
        <w:t xml:space="preserve">The ministry has thus far conducted two rounds of resource mapping to map the budgets of all the actors in the health sector (excluding private sector). The resource mapping tool should be internalized within the ministry and systematized to inform both resource tracking and allocation decisions. </w:t>
      </w:r>
    </w:p>
    <w:p w:rsidR="0025162C" w:rsidRPr="00C11D59" w:rsidRDefault="0025162C" w:rsidP="00564161">
      <w:pPr>
        <w:pStyle w:val="ListParagraph"/>
        <w:numPr>
          <w:ilvl w:val="0"/>
          <w:numId w:val="19"/>
        </w:numPr>
        <w:contextualSpacing w:val="0"/>
        <w:jc w:val="both"/>
        <w:rPr>
          <w:lang w:val="en-GB"/>
        </w:rPr>
      </w:pPr>
      <w:r>
        <w:rPr>
          <w:b/>
        </w:rPr>
        <w:t>Regularly conduct public expenditure reviews as well as National AIDS Spending Assessments.</w:t>
      </w:r>
    </w:p>
    <w:p w:rsidR="0025162C" w:rsidRDefault="0025162C" w:rsidP="001C7880">
      <w:pPr>
        <w:pStyle w:val="Heading2"/>
      </w:pPr>
      <w:bookmarkStart w:id="1105" w:name="_Toc384911977"/>
      <w:r w:rsidRPr="00BD4A85">
        <w:t>5.</w:t>
      </w:r>
      <w:r>
        <w:t>3</w:t>
      </w:r>
      <w:r w:rsidRPr="00BD4A85">
        <w:tab/>
      </w:r>
      <w:bookmarkStart w:id="1106" w:name="_Toc363225914"/>
      <w:bookmarkStart w:id="1107" w:name="_Toc384903851"/>
      <w:r w:rsidRPr="00BD4A85">
        <w:t>RE-COST THE HSSP AT THE MID-TERM REVIEW SO IT CAN BE USED IN BUDGETING AND PLANNING</w:t>
      </w:r>
      <w:bookmarkEnd w:id="1105"/>
      <w:bookmarkEnd w:id="1106"/>
      <w:bookmarkEnd w:id="1107"/>
    </w:p>
    <w:p w:rsidR="00BD06B9" w:rsidRPr="00BD4A85" w:rsidRDefault="004D598F" w:rsidP="00BD06B9">
      <w:r>
        <w:pict>
          <v:rect id="_x0000_i1053" style="width:0;height:1.5pt" o:hralign="center" o:hrstd="t" o:hr="t" fillcolor="#a0a0a0" stroked="f"/>
        </w:pict>
      </w:r>
    </w:p>
    <w:p w:rsidR="0025162C" w:rsidRPr="00BD4A85" w:rsidRDefault="0025162C" w:rsidP="0025162C">
      <w:pPr>
        <w:rPr>
          <w:rFonts w:cs="Calibri"/>
          <w:lang w:val="en-GB"/>
        </w:rPr>
      </w:pPr>
      <w:r>
        <w:rPr>
          <w:rFonts w:cs="Calibri"/>
          <w:lang w:val="en-GB"/>
        </w:rPr>
        <w:t>A</w:t>
      </w:r>
      <w:r w:rsidRPr="00BD4A85">
        <w:rPr>
          <w:rFonts w:cs="Calibri"/>
          <w:lang w:val="en-GB"/>
        </w:rPr>
        <w:t xml:space="preserve">lthough no immediate direct revenue would result from re-costing the HSSP and improving its use during budgeting and planning, the financial implications of a well-costed HSSP could be significant, allowing the health sector to do more with less. </w:t>
      </w:r>
    </w:p>
    <w:p w:rsidR="0025162C" w:rsidRPr="00BD4A85" w:rsidRDefault="0025162C" w:rsidP="0025162C">
      <w:pPr>
        <w:pStyle w:val="ListParagraph"/>
        <w:ind w:left="0"/>
        <w:contextualSpacing w:val="0"/>
        <w:jc w:val="both"/>
        <w:rPr>
          <w:rFonts w:cs="Calibri"/>
          <w:lang w:val="en-GB"/>
        </w:rPr>
      </w:pPr>
      <w:r w:rsidRPr="00BD4A85">
        <w:rPr>
          <w:rFonts w:cs="Calibri"/>
          <w:lang w:val="en-GB"/>
        </w:rPr>
        <w:t xml:space="preserve">Firstly, a well-costed HSSP would enable the government to more precisely identify resource gaps and guide decisions about national health financing priorities. This would increase both technical and allocative efficiency so that resources are used in the most effective way possible. </w:t>
      </w:r>
      <w:r>
        <w:rPr>
          <w:rFonts w:cs="Calibri"/>
          <w:lang w:val="en-GB"/>
        </w:rPr>
        <w:t>A</w:t>
      </w:r>
      <w:r w:rsidRPr="00BD4A85">
        <w:rPr>
          <w:rFonts w:cs="Calibri"/>
          <w:lang w:val="en-GB"/>
        </w:rPr>
        <w:t xml:space="preserve"> well-costed HSSP can </w:t>
      </w:r>
      <w:r>
        <w:rPr>
          <w:rFonts w:cs="Calibri"/>
          <w:lang w:val="en-GB"/>
        </w:rPr>
        <w:t>help</w:t>
      </w:r>
      <w:r w:rsidRPr="00BD4A85">
        <w:rPr>
          <w:rFonts w:cs="Calibri"/>
          <w:lang w:val="en-GB"/>
        </w:rPr>
        <w:t xml:space="preserve"> </w:t>
      </w:r>
      <w:r>
        <w:rPr>
          <w:rFonts w:cs="Calibri"/>
          <w:lang w:val="en-GB"/>
        </w:rPr>
        <w:t>optimize</w:t>
      </w:r>
      <w:r w:rsidRPr="00BD4A85">
        <w:rPr>
          <w:rFonts w:cs="Calibri"/>
          <w:lang w:val="en-GB"/>
        </w:rPr>
        <w:t xml:space="preserve"> the overall resource envelope. If the MOH develops a stronger understanding of its resource needs and gaps, the ministry would be able to make a stronger business case to donors and Treasury for additional resources.</w:t>
      </w:r>
      <w:r>
        <w:rPr>
          <w:rFonts w:cs="Calibri"/>
          <w:lang w:val="en-GB"/>
        </w:rPr>
        <w:t xml:space="preserve"> As a result, a well-costed HSSP would lead to make cost-effectiveness analysis possible and lead to a better HSSP in the future: the insight that comes from a rigorously costed HSSP would enable the next HSSP to be developed with cost constraints in mind, which would ensure better value for money and buy-in from key stakeholders.</w:t>
      </w:r>
    </w:p>
    <w:p w:rsidR="0025162C" w:rsidRPr="00BD4A85" w:rsidRDefault="0025162C" w:rsidP="00A12622">
      <w:pPr>
        <w:pStyle w:val="Heading3"/>
      </w:pPr>
      <w:bookmarkStart w:id="1108" w:name="_Toc363225915"/>
      <w:r w:rsidRPr="00BD4A85">
        <w:lastRenderedPageBreak/>
        <w:t>5.</w:t>
      </w:r>
      <w:r>
        <w:t>3</w:t>
      </w:r>
      <w:r w:rsidRPr="00BD4A85">
        <w:t>.1</w:t>
      </w:r>
      <w:r w:rsidRPr="00BD4A85">
        <w:tab/>
        <w:t>STRATEGIC INTERVENTIONS</w:t>
      </w:r>
      <w:bookmarkEnd w:id="1108"/>
    </w:p>
    <w:p w:rsidR="0025162C" w:rsidRPr="00BD4A85" w:rsidRDefault="0025162C" w:rsidP="00564161">
      <w:pPr>
        <w:pStyle w:val="ListParagraph"/>
        <w:numPr>
          <w:ilvl w:val="0"/>
          <w:numId w:val="20"/>
        </w:numPr>
      </w:pPr>
      <w:r w:rsidRPr="00BD4A85">
        <w:t>Re-costing the HSSP during mid-term review so it can be used in budgeting and planning</w:t>
      </w:r>
      <w:r>
        <w:t>.</w:t>
      </w:r>
    </w:p>
    <w:p w:rsidR="0025162C" w:rsidRPr="00BD4A85" w:rsidRDefault="0025162C" w:rsidP="00564161">
      <w:pPr>
        <w:pStyle w:val="ListParagraph"/>
        <w:numPr>
          <w:ilvl w:val="0"/>
          <w:numId w:val="20"/>
        </w:numPr>
      </w:pPr>
      <w:r w:rsidRPr="00BD4A85">
        <w:rPr>
          <w:rFonts w:cs="Calibri"/>
        </w:rPr>
        <w:t>I</w:t>
      </w:r>
      <w:r w:rsidRPr="00BD4A85">
        <w:rPr>
          <w:rFonts w:cs="Calibri"/>
          <w:lang w:val="en-GB"/>
        </w:rPr>
        <w:t>dentify resource gaps and guide decisions about national health financing priorities</w:t>
      </w:r>
      <w:r>
        <w:rPr>
          <w:rFonts w:cs="Calibri"/>
          <w:lang w:val="en-GB"/>
        </w:rPr>
        <w:t>.</w:t>
      </w:r>
    </w:p>
    <w:p w:rsidR="0025162C" w:rsidRPr="00347F6F" w:rsidRDefault="0025162C" w:rsidP="00564161">
      <w:pPr>
        <w:pStyle w:val="ListParagraph"/>
        <w:numPr>
          <w:ilvl w:val="0"/>
          <w:numId w:val="20"/>
        </w:numPr>
        <w:rPr>
          <w:b/>
          <w:bCs/>
        </w:rPr>
      </w:pPr>
      <w:r w:rsidRPr="007578A8">
        <w:rPr>
          <w:bCs/>
        </w:rPr>
        <w:t>Ensure that HSSP costing in aligned with the budgeting process</w:t>
      </w:r>
      <w:r>
        <w:rPr>
          <w:bCs/>
        </w:rPr>
        <w:t>.</w:t>
      </w:r>
    </w:p>
    <w:p w:rsidR="0025162C" w:rsidRPr="00496F9A" w:rsidRDefault="0025162C" w:rsidP="00564161">
      <w:pPr>
        <w:pStyle w:val="ListParagraph"/>
        <w:numPr>
          <w:ilvl w:val="0"/>
          <w:numId w:val="20"/>
        </w:numPr>
        <w:rPr>
          <w:b/>
          <w:bCs/>
        </w:rPr>
      </w:pPr>
      <w:r w:rsidRPr="007578A8">
        <w:rPr>
          <w:bCs/>
        </w:rPr>
        <w:t>Use disease specific costed strategic plans for annual planning and ensure that costings are linked to the HSSP</w:t>
      </w:r>
      <w:r>
        <w:rPr>
          <w:bCs/>
        </w:rPr>
        <w:t>.</w:t>
      </w:r>
    </w:p>
    <w:p w:rsidR="00496F9A" w:rsidRDefault="00496F9A" w:rsidP="00496F9A">
      <w:pPr>
        <w:pStyle w:val="ListParagraph"/>
        <w:rPr>
          <w:bCs/>
        </w:rPr>
      </w:pPr>
    </w:p>
    <w:p w:rsidR="00496F9A" w:rsidRDefault="00496F9A" w:rsidP="00496F9A">
      <w:pPr>
        <w:pStyle w:val="ListParagraph"/>
        <w:rPr>
          <w:b/>
          <w:bCs/>
        </w:rPr>
      </w:pPr>
    </w:p>
    <w:p w:rsidR="00CF0449" w:rsidRPr="00041029" w:rsidRDefault="00CF0449" w:rsidP="00496F9A">
      <w:pPr>
        <w:pStyle w:val="ListParagraph"/>
        <w:rPr>
          <w:b/>
          <w:bCs/>
        </w:rPr>
      </w:pPr>
    </w:p>
    <w:p w:rsidR="0025162C" w:rsidRPr="00BD4A85" w:rsidRDefault="0025162C" w:rsidP="001C7880">
      <w:pPr>
        <w:pStyle w:val="Heading2"/>
      </w:pPr>
      <w:bookmarkStart w:id="1109" w:name="_Toc363225917"/>
      <w:bookmarkStart w:id="1110" w:name="_Toc384903852"/>
      <w:bookmarkStart w:id="1111" w:name="_Toc384911978"/>
      <w:r>
        <w:t>5.5</w:t>
      </w:r>
      <w:r w:rsidRPr="00BD4A85">
        <w:tab/>
      </w:r>
      <w:r>
        <w:t>ANALYZE</w:t>
      </w:r>
      <w:r w:rsidRPr="00BD4A85">
        <w:t xml:space="preserve"> COST-EFFECTIVENESS OF HEALTH INVENTIONS</w:t>
      </w:r>
      <w:bookmarkEnd w:id="1109"/>
      <w:bookmarkEnd w:id="1110"/>
      <w:bookmarkEnd w:id="1111"/>
    </w:p>
    <w:p w:rsidR="0025162C" w:rsidRPr="00BD4A85" w:rsidRDefault="004D598F" w:rsidP="0025162C">
      <w:pPr>
        <w:rPr>
          <w:lang w:eastAsia="en-GB"/>
        </w:rPr>
      </w:pPr>
      <w:r>
        <w:rPr>
          <w:rFonts w:cs="Calibri"/>
        </w:rPr>
        <w:pict>
          <v:rect id="_x0000_i1054" style="width:0;height:1.5pt" o:hralign="center" o:hrstd="t" o:hr="t" fillcolor="#a0a0a0" stroked="f"/>
        </w:pict>
      </w:r>
    </w:p>
    <w:p w:rsidR="0025162C" w:rsidRPr="00BD4A85" w:rsidRDefault="0025162C" w:rsidP="0025162C">
      <w:pPr>
        <w:shd w:val="clear" w:color="auto" w:fill="FFFFFF"/>
        <w:spacing w:after="72"/>
        <w:jc w:val="both"/>
        <w:rPr>
          <w:lang w:val="en-GB"/>
        </w:rPr>
      </w:pPr>
      <w:r w:rsidRPr="00BD4A85">
        <w:rPr>
          <w:lang w:val="en-GB"/>
        </w:rPr>
        <w:t xml:space="preserve">Cost-effectiveness analysis is a type of economic evaluation that examines costs as well as associated health outcomes of certain interventions. The analysis compares the cost of an intervention to its effectiveness in natural health outcomes. It is generally used in resource allocation decisions, helping to measure which </w:t>
      </w:r>
      <w:r>
        <w:rPr>
          <w:lang w:val="en-GB"/>
        </w:rPr>
        <w:t>interventions are the most cost-</w:t>
      </w:r>
      <w:r w:rsidRPr="00BD4A85">
        <w:rPr>
          <w:lang w:val="en-GB"/>
        </w:rPr>
        <w:t xml:space="preserve">effective – a crucial consideration in a resource-constrained environment like Malawi. For example, the MOH may have to choose between allocating resources to a Behaviour Change Campaign to prevent HIV or to medical male circumcision. Both options have a common health outcome: lessening the number of HIV transmissions. By conducting a cost-effective analysis, we can likely determine which option prevents the most transmissions at the least cost. </w:t>
      </w:r>
    </w:p>
    <w:p w:rsidR="0025162C" w:rsidRPr="00BD4A85" w:rsidRDefault="0025162C" w:rsidP="00A12622">
      <w:pPr>
        <w:pStyle w:val="Heading3"/>
      </w:pPr>
      <w:bookmarkStart w:id="1112" w:name="_Toc363225918"/>
      <w:r>
        <w:t>5.5.1</w:t>
      </w:r>
      <w:r>
        <w:tab/>
      </w:r>
      <w:r w:rsidRPr="00BD4A85">
        <w:t>STRATEGIC INTERVENTIONS</w:t>
      </w:r>
      <w:bookmarkEnd w:id="1112"/>
    </w:p>
    <w:p w:rsidR="0025162C" w:rsidRDefault="0025162C" w:rsidP="00564161">
      <w:pPr>
        <w:pStyle w:val="1-DocTextBold"/>
        <w:numPr>
          <w:ilvl w:val="0"/>
          <w:numId w:val="20"/>
        </w:numPr>
        <w:spacing w:before="0" w:after="0" w:line="240" w:lineRule="auto"/>
        <w:jc w:val="both"/>
        <w:rPr>
          <w:rFonts w:ascii="Calibri" w:hAnsi="Calibri"/>
          <w:b w:val="0"/>
          <w:bCs/>
          <w:szCs w:val="22"/>
          <w:lang w:val="en-US"/>
        </w:rPr>
      </w:pPr>
      <w:r>
        <w:rPr>
          <w:rFonts w:ascii="Calibri" w:hAnsi="Calibri"/>
          <w:b w:val="0"/>
          <w:bCs/>
          <w:szCs w:val="22"/>
          <w:lang w:val="en-US"/>
        </w:rPr>
        <w:t>Identify cost-effectiveness metrics to use such as DALYs or unit costing and discuss which metrics are most appropriate for use in this context.</w:t>
      </w:r>
    </w:p>
    <w:p w:rsidR="0025162C" w:rsidRPr="00915689" w:rsidRDefault="0025162C" w:rsidP="00564161">
      <w:pPr>
        <w:pStyle w:val="1-DocTextBold"/>
        <w:numPr>
          <w:ilvl w:val="0"/>
          <w:numId w:val="20"/>
        </w:numPr>
        <w:spacing w:before="0" w:after="0" w:line="240" w:lineRule="auto"/>
        <w:jc w:val="both"/>
        <w:rPr>
          <w:rFonts w:ascii="Calibri" w:hAnsi="Calibri"/>
          <w:b w:val="0"/>
          <w:bCs/>
          <w:szCs w:val="22"/>
          <w:lang w:val="en-US"/>
        </w:rPr>
      </w:pPr>
      <w:r w:rsidRPr="00BD4A85">
        <w:rPr>
          <w:rFonts w:ascii="Calibri" w:hAnsi="Calibri"/>
          <w:b w:val="0"/>
          <w:bCs/>
          <w:szCs w:val="22"/>
          <w:lang w:val="en-US"/>
        </w:rPr>
        <w:t>Conduct a thorough costing analysis that identifies the cost of interventions and certain disease outcomes</w:t>
      </w:r>
      <w:r>
        <w:rPr>
          <w:rFonts w:ascii="Calibri" w:hAnsi="Calibri"/>
          <w:b w:val="0"/>
          <w:bCs/>
          <w:szCs w:val="22"/>
          <w:lang w:val="en-US"/>
        </w:rPr>
        <w:t xml:space="preserve">. </w:t>
      </w:r>
    </w:p>
    <w:p w:rsidR="0025162C" w:rsidRPr="00BD4A85" w:rsidRDefault="0025162C" w:rsidP="00564161">
      <w:pPr>
        <w:pStyle w:val="1-DocTextBold"/>
        <w:numPr>
          <w:ilvl w:val="0"/>
          <w:numId w:val="20"/>
        </w:numPr>
        <w:spacing w:before="0" w:after="0" w:line="240" w:lineRule="auto"/>
        <w:jc w:val="both"/>
        <w:rPr>
          <w:rFonts w:ascii="Calibri" w:hAnsi="Calibri"/>
          <w:b w:val="0"/>
          <w:bCs/>
          <w:szCs w:val="22"/>
          <w:lang w:val="en-US"/>
        </w:rPr>
      </w:pPr>
      <w:r w:rsidRPr="00BD4A85">
        <w:rPr>
          <w:rFonts w:ascii="Calibri" w:hAnsi="Calibri"/>
          <w:b w:val="0"/>
          <w:bCs/>
          <w:szCs w:val="22"/>
          <w:lang w:val="en-US"/>
        </w:rPr>
        <w:t>Use disease specific costed strategic plans for annual planning and ensure that costings are linked to the HSSP</w:t>
      </w:r>
      <w:r>
        <w:rPr>
          <w:rFonts w:ascii="Calibri" w:hAnsi="Calibri"/>
          <w:b w:val="0"/>
          <w:bCs/>
          <w:szCs w:val="22"/>
          <w:lang w:val="en-US"/>
        </w:rPr>
        <w:t>.</w:t>
      </w:r>
    </w:p>
    <w:p w:rsidR="0025162C" w:rsidRDefault="0025162C" w:rsidP="00564161">
      <w:pPr>
        <w:pStyle w:val="1-DocTextBold"/>
        <w:numPr>
          <w:ilvl w:val="0"/>
          <w:numId w:val="20"/>
        </w:numPr>
        <w:spacing w:before="0" w:after="0" w:line="240" w:lineRule="auto"/>
        <w:jc w:val="both"/>
        <w:rPr>
          <w:rFonts w:ascii="Calibri" w:hAnsi="Calibri"/>
          <w:b w:val="0"/>
          <w:bCs/>
          <w:szCs w:val="22"/>
          <w:lang w:val="en-US"/>
        </w:rPr>
      </w:pPr>
      <w:r w:rsidRPr="00BD4A85">
        <w:rPr>
          <w:rFonts w:ascii="Calibri" w:hAnsi="Calibri"/>
          <w:b w:val="0"/>
          <w:bCs/>
          <w:szCs w:val="22"/>
          <w:lang w:val="en-US"/>
        </w:rPr>
        <w:t>Conduct Economic Evaluation -</w:t>
      </w:r>
      <w:r>
        <w:rPr>
          <w:rFonts w:ascii="Calibri" w:hAnsi="Calibri"/>
          <w:b w:val="0"/>
          <w:bCs/>
          <w:szCs w:val="22"/>
          <w:lang w:val="en-US"/>
        </w:rPr>
        <w:t xml:space="preserve"> </w:t>
      </w:r>
      <w:r w:rsidRPr="00BD4A85">
        <w:rPr>
          <w:rFonts w:ascii="Calibri" w:hAnsi="Calibri"/>
          <w:b w:val="0"/>
          <w:bCs/>
          <w:szCs w:val="22"/>
          <w:lang w:val="en-US"/>
        </w:rPr>
        <w:t>Cost Effectiveness Analysis, Cost Utility Analysis, Monitoring and Evaluation, Cost Benefit Analysis, Burden of Disease,</w:t>
      </w:r>
      <w:r>
        <w:rPr>
          <w:rFonts w:ascii="Calibri" w:hAnsi="Calibri"/>
          <w:b w:val="0"/>
          <w:bCs/>
          <w:szCs w:val="22"/>
          <w:lang w:val="en-US"/>
        </w:rPr>
        <w:t xml:space="preserve"> the Essential Health Packages and </w:t>
      </w:r>
      <w:r w:rsidRPr="00BD4A85">
        <w:rPr>
          <w:rFonts w:ascii="Calibri" w:hAnsi="Calibri"/>
          <w:b w:val="0"/>
          <w:bCs/>
          <w:szCs w:val="22"/>
          <w:lang w:val="en-US"/>
        </w:rPr>
        <w:t>Provider Payment Mechanisms</w:t>
      </w:r>
      <w:r>
        <w:rPr>
          <w:rFonts w:ascii="Calibri" w:hAnsi="Calibri"/>
          <w:b w:val="0"/>
          <w:bCs/>
          <w:szCs w:val="22"/>
          <w:lang w:val="en-US"/>
        </w:rPr>
        <w:t>.</w:t>
      </w:r>
    </w:p>
    <w:p w:rsidR="0025162C" w:rsidRDefault="0025162C" w:rsidP="00564161">
      <w:pPr>
        <w:pStyle w:val="1-DocTextBold"/>
        <w:numPr>
          <w:ilvl w:val="0"/>
          <w:numId w:val="20"/>
        </w:numPr>
        <w:spacing w:before="0" w:after="0" w:line="240" w:lineRule="auto"/>
        <w:jc w:val="both"/>
        <w:rPr>
          <w:rFonts w:ascii="Calibri" w:hAnsi="Calibri"/>
          <w:b w:val="0"/>
          <w:bCs/>
          <w:szCs w:val="22"/>
          <w:lang w:val="en-US"/>
        </w:rPr>
      </w:pPr>
      <w:r w:rsidRPr="00AA7942">
        <w:rPr>
          <w:rFonts w:ascii="Calibri" w:hAnsi="Calibri"/>
          <w:b w:val="0"/>
          <w:bCs/>
          <w:szCs w:val="22"/>
          <w:lang w:val="en-US"/>
        </w:rPr>
        <w:t>Integr</w:t>
      </w:r>
      <w:r>
        <w:rPr>
          <w:rFonts w:ascii="Calibri" w:hAnsi="Calibri"/>
          <w:b w:val="0"/>
          <w:bCs/>
          <w:szCs w:val="22"/>
          <w:lang w:val="en-US"/>
        </w:rPr>
        <w:t>ate cost-effectiveness metrics</w:t>
      </w:r>
      <w:r w:rsidRPr="00AA7942">
        <w:rPr>
          <w:rFonts w:ascii="Calibri" w:hAnsi="Calibri"/>
          <w:b w:val="0"/>
          <w:bCs/>
          <w:szCs w:val="22"/>
          <w:lang w:val="en-US"/>
        </w:rPr>
        <w:t xml:space="preserve"> into planning processes</w:t>
      </w:r>
      <w:r>
        <w:rPr>
          <w:rFonts w:ascii="Calibri" w:hAnsi="Calibri"/>
          <w:b w:val="0"/>
          <w:bCs/>
          <w:szCs w:val="22"/>
          <w:lang w:val="en-US"/>
        </w:rPr>
        <w:t xml:space="preserve"> such as the definition of</w:t>
      </w:r>
      <w:r w:rsidRPr="00AA7942">
        <w:rPr>
          <w:rFonts w:ascii="Calibri" w:hAnsi="Calibri"/>
          <w:b w:val="0"/>
          <w:bCs/>
          <w:szCs w:val="22"/>
          <w:lang w:val="en-US"/>
        </w:rPr>
        <w:t xml:space="preserve"> the Essential Health Package or the Health Sector Strategic Plan</w:t>
      </w:r>
      <w:r>
        <w:rPr>
          <w:rFonts w:ascii="Calibri" w:hAnsi="Calibri"/>
          <w:b w:val="0"/>
          <w:bCs/>
          <w:szCs w:val="22"/>
          <w:lang w:val="en-US"/>
        </w:rPr>
        <w:t>.</w:t>
      </w:r>
    </w:p>
    <w:p w:rsidR="0025162C" w:rsidRDefault="0025162C" w:rsidP="00564161">
      <w:pPr>
        <w:pStyle w:val="1-DocTextBold"/>
        <w:numPr>
          <w:ilvl w:val="0"/>
          <w:numId w:val="20"/>
        </w:numPr>
        <w:spacing w:before="0" w:after="0" w:line="240" w:lineRule="auto"/>
        <w:jc w:val="both"/>
        <w:rPr>
          <w:rFonts w:ascii="Calibri" w:hAnsi="Calibri"/>
          <w:b w:val="0"/>
          <w:bCs/>
          <w:szCs w:val="22"/>
          <w:lang w:val="en-US"/>
        </w:rPr>
      </w:pPr>
      <w:r>
        <w:rPr>
          <w:rFonts w:ascii="Calibri" w:hAnsi="Calibri"/>
          <w:b w:val="0"/>
          <w:bCs/>
          <w:szCs w:val="22"/>
          <w:lang w:val="en-US"/>
        </w:rPr>
        <w:t>Identify cost-effective interventions and engage stakeholder to allocate more into these interventions.</w:t>
      </w:r>
    </w:p>
    <w:p w:rsidR="0025162C" w:rsidRDefault="0025162C" w:rsidP="0025162C">
      <w:pPr>
        <w:pStyle w:val="1-DocTextBold"/>
        <w:spacing w:before="0" w:after="0" w:line="240" w:lineRule="auto"/>
        <w:jc w:val="both"/>
        <w:rPr>
          <w:rFonts w:ascii="Calibri" w:hAnsi="Calibri"/>
          <w:b w:val="0"/>
          <w:bCs/>
          <w:szCs w:val="22"/>
          <w:lang w:val="en-US"/>
        </w:rPr>
      </w:pPr>
    </w:p>
    <w:p w:rsidR="0025162C" w:rsidRDefault="0025162C" w:rsidP="0025162C">
      <w:pPr>
        <w:pStyle w:val="1-DocTextBold"/>
        <w:spacing w:before="0" w:after="0" w:line="240" w:lineRule="auto"/>
        <w:jc w:val="both"/>
        <w:rPr>
          <w:rFonts w:ascii="Calibri" w:hAnsi="Calibri"/>
          <w:b w:val="0"/>
          <w:bCs/>
          <w:szCs w:val="22"/>
          <w:lang w:val="en-US"/>
        </w:rPr>
      </w:pPr>
    </w:p>
    <w:p w:rsidR="0025162C" w:rsidRDefault="0025162C" w:rsidP="0025162C">
      <w:pPr>
        <w:pStyle w:val="1-DocTextBold"/>
        <w:spacing w:before="0" w:after="0" w:line="240" w:lineRule="auto"/>
        <w:jc w:val="both"/>
        <w:rPr>
          <w:rFonts w:ascii="Calibri" w:hAnsi="Calibri"/>
          <w:b w:val="0"/>
          <w:bCs/>
          <w:szCs w:val="22"/>
          <w:lang w:val="en-US"/>
        </w:rPr>
      </w:pPr>
    </w:p>
    <w:p w:rsidR="0025162C" w:rsidRDefault="0025162C" w:rsidP="0025162C">
      <w:pPr>
        <w:pStyle w:val="1-DocTextBold"/>
        <w:spacing w:before="0" w:after="0" w:line="240" w:lineRule="auto"/>
        <w:jc w:val="both"/>
        <w:rPr>
          <w:rFonts w:ascii="Calibri" w:hAnsi="Calibri"/>
          <w:b w:val="0"/>
          <w:bCs/>
          <w:szCs w:val="22"/>
          <w:lang w:val="en-US"/>
        </w:rPr>
      </w:pPr>
    </w:p>
    <w:p w:rsidR="0025162C" w:rsidRDefault="0025162C" w:rsidP="0025162C">
      <w:pPr>
        <w:pStyle w:val="1-DocTextBold"/>
        <w:spacing w:before="0" w:after="0" w:line="240" w:lineRule="auto"/>
        <w:jc w:val="both"/>
        <w:rPr>
          <w:rFonts w:ascii="Calibri" w:hAnsi="Calibri"/>
          <w:b w:val="0"/>
          <w:bCs/>
          <w:szCs w:val="22"/>
          <w:lang w:val="en-US"/>
        </w:rPr>
      </w:pPr>
    </w:p>
    <w:p w:rsidR="0025162C" w:rsidRDefault="0025162C" w:rsidP="0025162C">
      <w:pPr>
        <w:pStyle w:val="1-DocTextBold"/>
        <w:spacing w:before="0" w:after="0" w:line="240" w:lineRule="auto"/>
        <w:jc w:val="both"/>
        <w:rPr>
          <w:rFonts w:ascii="Calibri" w:hAnsi="Calibri"/>
          <w:b w:val="0"/>
          <w:bCs/>
          <w:szCs w:val="22"/>
          <w:lang w:val="en-US"/>
        </w:rPr>
      </w:pPr>
    </w:p>
    <w:p w:rsidR="0025162C" w:rsidRDefault="0025162C" w:rsidP="0025162C">
      <w:pPr>
        <w:pStyle w:val="1-DocTextBold"/>
        <w:spacing w:before="0" w:after="0" w:line="240" w:lineRule="auto"/>
        <w:jc w:val="both"/>
        <w:rPr>
          <w:rFonts w:ascii="Calibri" w:hAnsi="Calibri"/>
          <w:b w:val="0"/>
          <w:bCs/>
          <w:szCs w:val="22"/>
          <w:lang w:val="en-US"/>
        </w:rPr>
      </w:pPr>
    </w:p>
    <w:p w:rsidR="0025162C" w:rsidRDefault="0025162C" w:rsidP="0025162C">
      <w:pPr>
        <w:pStyle w:val="1-DocTextBold"/>
        <w:spacing w:before="0" w:after="0" w:line="240" w:lineRule="auto"/>
        <w:jc w:val="both"/>
        <w:rPr>
          <w:rFonts w:ascii="Calibri" w:hAnsi="Calibri"/>
          <w:b w:val="0"/>
          <w:bCs/>
          <w:szCs w:val="22"/>
          <w:lang w:val="en-US"/>
        </w:rPr>
      </w:pPr>
    </w:p>
    <w:p w:rsidR="0025162C" w:rsidRDefault="0025162C" w:rsidP="0025162C">
      <w:pPr>
        <w:pStyle w:val="1-DocTextBold"/>
        <w:spacing w:before="0" w:after="0" w:line="240" w:lineRule="auto"/>
        <w:jc w:val="both"/>
        <w:rPr>
          <w:rFonts w:ascii="Calibri" w:hAnsi="Calibri"/>
          <w:b w:val="0"/>
          <w:bCs/>
          <w:szCs w:val="22"/>
          <w:lang w:val="en-US"/>
        </w:rPr>
      </w:pPr>
    </w:p>
    <w:p w:rsidR="0025162C" w:rsidRDefault="0025162C" w:rsidP="0025162C">
      <w:pPr>
        <w:pStyle w:val="1-DocTextBold"/>
        <w:spacing w:before="0" w:after="0" w:line="240" w:lineRule="auto"/>
        <w:jc w:val="both"/>
        <w:rPr>
          <w:rFonts w:ascii="Calibri" w:hAnsi="Calibri"/>
          <w:b w:val="0"/>
          <w:bCs/>
          <w:szCs w:val="22"/>
          <w:lang w:val="en-US"/>
        </w:rPr>
      </w:pPr>
    </w:p>
    <w:p w:rsidR="0025162C" w:rsidRDefault="0025162C" w:rsidP="0025162C">
      <w:pPr>
        <w:pStyle w:val="1-DocTextBold"/>
        <w:spacing w:before="0" w:after="0" w:line="240" w:lineRule="auto"/>
        <w:jc w:val="both"/>
        <w:rPr>
          <w:rFonts w:ascii="Calibri" w:hAnsi="Calibri"/>
          <w:b w:val="0"/>
          <w:bCs/>
          <w:szCs w:val="22"/>
          <w:lang w:val="en-US"/>
        </w:rPr>
      </w:pPr>
    </w:p>
    <w:p w:rsidR="0025162C" w:rsidRDefault="0025162C" w:rsidP="0025162C">
      <w:pPr>
        <w:pStyle w:val="1-DocTextBold"/>
        <w:spacing w:before="0" w:after="0" w:line="240" w:lineRule="auto"/>
        <w:jc w:val="both"/>
        <w:rPr>
          <w:rFonts w:ascii="Calibri" w:hAnsi="Calibri"/>
          <w:b w:val="0"/>
          <w:bCs/>
          <w:szCs w:val="22"/>
          <w:lang w:val="en-US"/>
        </w:rPr>
      </w:pPr>
    </w:p>
    <w:p w:rsidR="0025162C" w:rsidRDefault="0025162C" w:rsidP="0025162C">
      <w:pPr>
        <w:pStyle w:val="1-DocTextBold"/>
        <w:spacing w:before="0" w:after="0" w:line="240" w:lineRule="auto"/>
        <w:jc w:val="both"/>
        <w:rPr>
          <w:rFonts w:ascii="Calibri" w:hAnsi="Calibri"/>
          <w:b w:val="0"/>
          <w:bCs/>
          <w:szCs w:val="22"/>
          <w:lang w:val="en-US"/>
        </w:rPr>
      </w:pPr>
    </w:p>
    <w:p w:rsidR="0025162C" w:rsidRDefault="0025162C" w:rsidP="0025162C">
      <w:pPr>
        <w:pStyle w:val="1-DocTextBold"/>
        <w:spacing w:before="0" w:after="0" w:line="240" w:lineRule="auto"/>
        <w:jc w:val="both"/>
        <w:rPr>
          <w:rFonts w:ascii="Calibri" w:hAnsi="Calibri"/>
          <w:b w:val="0"/>
          <w:bCs/>
          <w:szCs w:val="22"/>
          <w:lang w:val="en-US"/>
        </w:rPr>
      </w:pPr>
    </w:p>
    <w:p w:rsidR="0025162C" w:rsidRDefault="0025162C" w:rsidP="0025162C">
      <w:pPr>
        <w:pStyle w:val="1-DocTextBold"/>
        <w:spacing w:before="0" w:after="0" w:line="240" w:lineRule="auto"/>
        <w:jc w:val="both"/>
        <w:rPr>
          <w:rFonts w:ascii="Calibri" w:hAnsi="Calibri"/>
          <w:b w:val="0"/>
          <w:bCs/>
          <w:szCs w:val="22"/>
          <w:lang w:val="en-US"/>
        </w:rPr>
      </w:pPr>
    </w:p>
    <w:p w:rsidR="0025162C" w:rsidRDefault="0025162C" w:rsidP="0025162C">
      <w:pPr>
        <w:pStyle w:val="1-DocTextBold"/>
        <w:spacing w:before="0" w:after="0" w:line="240" w:lineRule="auto"/>
        <w:jc w:val="both"/>
        <w:rPr>
          <w:rFonts w:ascii="Calibri" w:hAnsi="Calibri"/>
          <w:b w:val="0"/>
          <w:bCs/>
          <w:szCs w:val="22"/>
          <w:lang w:val="en-US"/>
        </w:rPr>
      </w:pPr>
    </w:p>
    <w:p w:rsidR="0025162C" w:rsidRDefault="0025162C" w:rsidP="0025162C">
      <w:pPr>
        <w:pStyle w:val="1-DocTextBold"/>
        <w:spacing w:before="0" w:after="0" w:line="240" w:lineRule="auto"/>
        <w:jc w:val="both"/>
        <w:rPr>
          <w:rFonts w:ascii="Calibri" w:hAnsi="Calibri"/>
          <w:b w:val="0"/>
          <w:bCs/>
          <w:szCs w:val="22"/>
          <w:lang w:val="en-US"/>
        </w:rPr>
      </w:pPr>
    </w:p>
    <w:p w:rsidR="0025162C" w:rsidRDefault="0025162C" w:rsidP="0025162C">
      <w:pPr>
        <w:pStyle w:val="1-DocTextBold"/>
        <w:spacing w:before="0" w:after="0" w:line="240" w:lineRule="auto"/>
        <w:jc w:val="both"/>
        <w:rPr>
          <w:rFonts w:ascii="Calibri" w:hAnsi="Calibri"/>
          <w:b w:val="0"/>
          <w:bCs/>
          <w:szCs w:val="22"/>
          <w:lang w:val="en-US"/>
        </w:rPr>
      </w:pPr>
    </w:p>
    <w:p w:rsidR="0025162C" w:rsidRDefault="0025162C" w:rsidP="0025162C">
      <w:pPr>
        <w:pStyle w:val="1-DocTextBold"/>
        <w:spacing w:before="0" w:after="0" w:line="240" w:lineRule="auto"/>
        <w:jc w:val="both"/>
        <w:rPr>
          <w:rFonts w:ascii="Calibri" w:hAnsi="Calibri"/>
          <w:b w:val="0"/>
          <w:bCs/>
          <w:szCs w:val="22"/>
          <w:lang w:val="en-US"/>
        </w:rPr>
      </w:pPr>
    </w:p>
    <w:p w:rsidR="0025162C" w:rsidRPr="00BD4A85" w:rsidRDefault="0025162C" w:rsidP="0025162C">
      <w:pPr>
        <w:pStyle w:val="HeadingO"/>
      </w:pPr>
      <w:bookmarkStart w:id="1113" w:name="_Toc363225919"/>
      <w:bookmarkStart w:id="1114" w:name="_Toc384903853"/>
      <w:bookmarkStart w:id="1115" w:name="_Toc384911979"/>
      <w:bookmarkEnd w:id="1098"/>
      <w:bookmarkEnd w:id="1099"/>
      <w:r w:rsidRPr="00BD4A85">
        <w:t>6.0</w:t>
      </w:r>
      <w:r w:rsidRPr="00BD4A85">
        <w:tab/>
      </w:r>
      <w:r>
        <w:tab/>
      </w:r>
      <w:r w:rsidRPr="00BD4A85">
        <w:t>IMPLEMENTATION, MONITORING AND EVALUATION</w:t>
      </w:r>
      <w:bookmarkEnd w:id="1113"/>
      <w:bookmarkEnd w:id="1114"/>
      <w:bookmarkEnd w:id="1115"/>
    </w:p>
    <w:p w:rsidR="0025162C" w:rsidRPr="00BD4A85" w:rsidRDefault="004D598F" w:rsidP="0025162C">
      <w:r>
        <w:rPr>
          <w:rFonts w:cs="Calibri"/>
        </w:rPr>
        <w:pict>
          <v:rect id="_x0000_i1055" style="width:0;height:1.5pt" o:hralign="center" o:hrstd="t" o:hr="t" fillcolor="#a0a0a0" stroked="f"/>
        </w:pict>
      </w:r>
    </w:p>
    <w:bookmarkEnd w:id="1090"/>
    <w:p w:rsidR="0025162C" w:rsidRDefault="0025162C" w:rsidP="0025162C">
      <w:pPr>
        <w:autoSpaceDE w:val="0"/>
        <w:autoSpaceDN w:val="0"/>
        <w:adjustRightInd w:val="0"/>
        <w:spacing w:after="0" w:line="240" w:lineRule="auto"/>
        <w:jc w:val="both"/>
      </w:pPr>
      <w:r w:rsidRPr="00BD4A85">
        <w:rPr>
          <w:rFonts w:cs="FootlightMTLight"/>
        </w:rPr>
        <w:t xml:space="preserve">Implementation of the </w:t>
      </w:r>
      <w:r>
        <w:rPr>
          <w:rFonts w:cs="FootlightMTLight"/>
        </w:rPr>
        <w:t>Health Financing Strategy</w:t>
      </w:r>
      <w:r w:rsidRPr="00BD4A85">
        <w:rPr>
          <w:rFonts w:cs="FootlightMTLight"/>
        </w:rPr>
        <w:t xml:space="preserve"> (HFS) is a complex process involving a range of different plans, programs and agencies. </w:t>
      </w:r>
      <w:r>
        <w:rPr>
          <w:rFonts w:cs="FootlightMTLight"/>
        </w:rPr>
        <w:t>I</w:t>
      </w:r>
      <w:r w:rsidRPr="00BD4A85">
        <w:rPr>
          <w:rFonts w:cs="FootlightMTLight"/>
        </w:rPr>
        <w:t>mplementation plan</w:t>
      </w:r>
      <w:r>
        <w:rPr>
          <w:rFonts w:cs="FootlightMTLight"/>
        </w:rPr>
        <w:t>s</w:t>
      </w:r>
      <w:r w:rsidRPr="00BD4A85">
        <w:rPr>
          <w:rFonts w:cs="FootlightMTLight"/>
        </w:rPr>
        <w:t xml:space="preserve"> will need to be formulated with short, medium and long-term targets and timelines. </w:t>
      </w:r>
      <w:r w:rsidRPr="00BD4A85">
        <w:t xml:space="preserve"> Specific stakeholders must take the lead and resources must be provided to meet its goals. </w:t>
      </w:r>
    </w:p>
    <w:p w:rsidR="00A17DEE" w:rsidRPr="00BD4A85" w:rsidRDefault="00A17DEE" w:rsidP="0025162C">
      <w:pPr>
        <w:autoSpaceDE w:val="0"/>
        <w:autoSpaceDN w:val="0"/>
        <w:adjustRightInd w:val="0"/>
        <w:spacing w:after="0" w:line="240" w:lineRule="auto"/>
        <w:jc w:val="both"/>
      </w:pPr>
    </w:p>
    <w:p w:rsidR="0025162C" w:rsidRPr="00BD4A85" w:rsidRDefault="0025162C" w:rsidP="001C7880">
      <w:pPr>
        <w:pStyle w:val="Heading2"/>
      </w:pPr>
      <w:bookmarkStart w:id="1116" w:name="_Toc363225920"/>
      <w:bookmarkStart w:id="1117" w:name="_Toc384903854"/>
      <w:bookmarkStart w:id="1118" w:name="_Toc384911980"/>
      <w:r w:rsidRPr="00BD4A85">
        <w:t>6.1</w:t>
      </w:r>
      <w:r w:rsidRPr="00BD4A85">
        <w:tab/>
        <w:t>IMPLEMENTATION ARRANGEMENTS</w:t>
      </w:r>
      <w:bookmarkEnd w:id="1116"/>
      <w:bookmarkEnd w:id="1117"/>
      <w:bookmarkEnd w:id="1118"/>
    </w:p>
    <w:p w:rsidR="0025162C" w:rsidRPr="00BD4A85" w:rsidRDefault="0025162C" w:rsidP="0025162C">
      <w:r w:rsidRPr="00BD4A85">
        <w:t xml:space="preserve">The Financial Management and Procurement Technical Working Group chaired by Ministry of Finance will provide oversight on the implementation of the </w:t>
      </w:r>
      <w:r>
        <w:t>Health Financing Strategy</w:t>
      </w:r>
      <w:r w:rsidRPr="00BD4A85">
        <w:t>. The objective of TWG is to provide technical oversight /support for matters pertaining to financial management, financing and procurement.  To enhance coordination in implementation, the Ministry of Health through Department of Planning &amp; Policy Development will work with the following key actors:</w:t>
      </w:r>
    </w:p>
    <w:p w:rsidR="0025162C" w:rsidRPr="00BD4A85" w:rsidRDefault="0025162C" w:rsidP="00564161">
      <w:pPr>
        <w:numPr>
          <w:ilvl w:val="0"/>
          <w:numId w:val="25"/>
        </w:numPr>
        <w:spacing w:after="0" w:line="240" w:lineRule="auto"/>
        <w:jc w:val="both"/>
        <w:rPr>
          <w:rFonts w:cs="Arial"/>
        </w:rPr>
      </w:pPr>
      <w:r w:rsidRPr="00BD4A85">
        <w:rPr>
          <w:rFonts w:cs="Arial"/>
          <w:i/>
        </w:rPr>
        <w:t>Ministry of Finance</w:t>
      </w:r>
      <w:r w:rsidRPr="00BD4A85">
        <w:rPr>
          <w:rFonts w:cs="Arial"/>
        </w:rPr>
        <w:t xml:space="preserve"> </w:t>
      </w:r>
    </w:p>
    <w:p w:rsidR="0025162C" w:rsidRPr="00BD4A85" w:rsidRDefault="0025162C" w:rsidP="00564161">
      <w:pPr>
        <w:numPr>
          <w:ilvl w:val="0"/>
          <w:numId w:val="25"/>
        </w:numPr>
        <w:spacing w:after="0" w:line="240" w:lineRule="auto"/>
        <w:jc w:val="both"/>
        <w:rPr>
          <w:rFonts w:cs="Arial"/>
        </w:rPr>
      </w:pPr>
      <w:r w:rsidRPr="00BD4A85">
        <w:rPr>
          <w:rFonts w:cs="Arial"/>
          <w:i/>
        </w:rPr>
        <w:t>Ministry of Economic Planning and Development</w:t>
      </w:r>
      <w:r w:rsidRPr="00BD4A85">
        <w:rPr>
          <w:rFonts w:cs="Arial"/>
        </w:rPr>
        <w:t xml:space="preserve">: </w:t>
      </w:r>
    </w:p>
    <w:p w:rsidR="0025162C" w:rsidRPr="00BD4A85" w:rsidRDefault="0025162C" w:rsidP="00564161">
      <w:pPr>
        <w:numPr>
          <w:ilvl w:val="0"/>
          <w:numId w:val="25"/>
        </w:numPr>
        <w:spacing w:after="0" w:line="240" w:lineRule="auto"/>
        <w:jc w:val="both"/>
        <w:rPr>
          <w:rFonts w:cs="Arial"/>
        </w:rPr>
      </w:pPr>
      <w:r w:rsidRPr="00BD4A85">
        <w:rPr>
          <w:rFonts w:cs="Arial"/>
          <w:i/>
        </w:rPr>
        <w:t>Ministry of Local Government and Rural Development</w:t>
      </w:r>
      <w:r w:rsidRPr="00BD4A85">
        <w:rPr>
          <w:rFonts w:cs="Arial"/>
        </w:rPr>
        <w:t xml:space="preserve">: </w:t>
      </w:r>
    </w:p>
    <w:p w:rsidR="0025162C" w:rsidRPr="00BD4A85" w:rsidRDefault="0025162C" w:rsidP="00564161">
      <w:pPr>
        <w:numPr>
          <w:ilvl w:val="0"/>
          <w:numId w:val="25"/>
        </w:numPr>
        <w:spacing w:after="0" w:line="240" w:lineRule="auto"/>
        <w:jc w:val="both"/>
        <w:rPr>
          <w:rFonts w:cs="Arial"/>
        </w:rPr>
      </w:pPr>
      <w:r w:rsidRPr="00BD4A85">
        <w:rPr>
          <w:rFonts w:cs="Arial"/>
          <w:i/>
        </w:rPr>
        <w:t>Ministry of Education</w:t>
      </w:r>
    </w:p>
    <w:p w:rsidR="0025162C" w:rsidRPr="00BD4A85" w:rsidRDefault="0025162C" w:rsidP="00564161">
      <w:pPr>
        <w:numPr>
          <w:ilvl w:val="0"/>
          <w:numId w:val="25"/>
        </w:numPr>
        <w:autoSpaceDE w:val="0"/>
        <w:autoSpaceDN w:val="0"/>
        <w:adjustRightInd w:val="0"/>
        <w:spacing w:after="0" w:line="240" w:lineRule="auto"/>
        <w:jc w:val="both"/>
        <w:rPr>
          <w:rFonts w:cs="Arial"/>
          <w:b/>
          <w:iCs/>
          <w:lang w:eastAsia="en-GB"/>
        </w:rPr>
      </w:pPr>
      <w:r w:rsidRPr="00BD4A85">
        <w:rPr>
          <w:rFonts w:cs="Arial"/>
          <w:i/>
          <w:iCs/>
          <w:lang w:eastAsia="en-GB"/>
        </w:rPr>
        <w:t>Ministry of Labour and Vocational Training</w:t>
      </w:r>
    </w:p>
    <w:p w:rsidR="0025162C" w:rsidRPr="00BD4A85" w:rsidRDefault="0025162C" w:rsidP="00564161">
      <w:pPr>
        <w:numPr>
          <w:ilvl w:val="0"/>
          <w:numId w:val="25"/>
        </w:numPr>
        <w:autoSpaceDE w:val="0"/>
        <w:autoSpaceDN w:val="0"/>
        <w:adjustRightInd w:val="0"/>
        <w:spacing w:after="0" w:line="240" w:lineRule="auto"/>
        <w:jc w:val="both"/>
        <w:rPr>
          <w:rFonts w:cs="Arial"/>
          <w:b/>
          <w:iCs/>
          <w:lang w:eastAsia="en-GB"/>
        </w:rPr>
      </w:pPr>
      <w:r w:rsidRPr="00BD4A85">
        <w:rPr>
          <w:rFonts w:cs="Arial"/>
          <w:i/>
          <w:iCs/>
          <w:lang w:eastAsia="en-GB"/>
        </w:rPr>
        <w:t>CHAM</w:t>
      </w:r>
    </w:p>
    <w:p w:rsidR="0025162C" w:rsidRPr="00BD4A85" w:rsidRDefault="0025162C" w:rsidP="00564161">
      <w:pPr>
        <w:numPr>
          <w:ilvl w:val="0"/>
          <w:numId w:val="25"/>
        </w:numPr>
        <w:spacing w:after="0" w:line="240" w:lineRule="auto"/>
        <w:jc w:val="both"/>
        <w:rPr>
          <w:rFonts w:cs="Arial"/>
        </w:rPr>
      </w:pPr>
      <w:bookmarkStart w:id="1119" w:name="_Toc241991311"/>
      <w:r w:rsidRPr="00BD4A85">
        <w:rPr>
          <w:rFonts w:cs="Arial"/>
          <w:i/>
        </w:rPr>
        <w:t>Health Services Commission</w:t>
      </w:r>
      <w:r w:rsidRPr="00BD4A85">
        <w:rPr>
          <w:rFonts w:cs="Arial"/>
        </w:rPr>
        <w:t xml:space="preserve"> </w:t>
      </w:r>
    </w:p>
    <w:p w:rsidR="0025162C" w:rsidRPr="00BD4A85" w:rsidRDefault="0025162C" w:rsidP="00564161">
      <w:pPr>
        <w:numPr>
          <w:ilvl w:val="0"/>
          <w:numId w:val="25"/>
        </w:numPr>
        <w:autoSpaceDE w:val="0"/>
        <w:autoSpaceDN w:val="0"/>
        <w:adjustRightInd w:val="0"/>
        <w:spacing w:after="0" w:line="240" w:lineRule="auto"/>
        <w:jc w:val="both"/>
        <w:rPr>
          <w:i/>
        </w:rPr>
      </w:pPr>
      <w:r w:rsidRPr="00BD4A85">
        <w:rPr>
          <w:rFonts w:cs="Arial"/>
          <w:i/>
          <w:iCs/>
          <w:lang w:eastAsia="en-GB"/>
        </w:rPr>
        <w:t>The Private sector</w:t>
      </w:r>
    </w:p>
    <w:p w:rsidR="0025162C" w:rsidRPr="00A17DEE" w:rsidRDefault="0025162C" w:rsidP="00564161">
      <w:pPr>
        <w:numPr>
          <w:ilvl w:val="0"/>
          <w:numId w:val="25"/>
        </w:numPr>
        <w:spacing w:after="0" w:line="240" w:lineRule="auto"/>
        <w:jc w:val="both"/>
      </w:pPr>
      <w:r w:rsidRPr="00BD4A85">
        <w:rPr>
          <w:rFonts w:cs="Arial"/>
          <w:i/>
        </w:rPr>
        <w:t>Health development partners</w:t>
      </w:r>
      <w:r w:rsidRPr="00BD4A85">
        <w:rPr>
          <w:rFonts w:cs="Arial"/>
        </w:rPr>
        <w:t xml:space="preserve"> </w:t>
      </w:r>
      <w:bookmarkEnd w:id="1119"/>
    </w:p>
    <w:p w:rsidR="00A17DEE" w:rsidRPr="00BD4A85" w:rsidRDefault="00A17DEE" w:rsidP="00A17DEE">
      <w:pPr>
        <w:spacing w:after="0" w:line="240" w:lineRule="auto"/>
        <w:ind w:left="720"/>
        <w:jc w:val="both"/>
      </w:pPr>
    </w:p>
    <w:p w:rsidR="0025162C" w:rsidRPr="00BD4A85" w:rsidRDefault="0025162C" w:rsidP="001C7880">
      <w:pPr>
        <w:pStyle w:val="Heading2"/>
      </w:pPr>
      <w:bookmarkStart w:id="1120" w:name="_Toc363225921"/>
      <w:bookmarkStart w:id="1121" w:name="_Toc384903855"/>
      <w:bookmarkStart w:id="1122" w:name="_Toc384911981"/>
      <w:r w:rsidRPr="00BD4A85">
        <w:t>6.2</w:t>
      </w:r>
      <w:r w:rsidRPr="00BD4A85">
        <w:tab/>
        <w:t>DEVELOPING AND IMPLEMENTING ANNUAL OPERATIONAL PLANS</w:t>
      </w:r>
      <w:bookmarkEnd w:id="1120"/>
      <w:bookmarkEnd w:id="1121"/>
      <w:bookmarkEnd w:id="1122"/>
    </w:p>
    <w:p w:rsidR="00A17DEE" w:rsidRDefault="00A17DEE" w:rsidP="0025162C">
      <w:pPr>
        <w:autoSpaceDE w:val="0"/>
        <w:autoSpaceDN w:val="0"/>
        <w:adjustRightInd w:val="0"/>
        <w:spacing w:after="0" w:line="240" w:lineRule="auto"/>
        <w:jc w:val="both"/>
        <w:rPr>
          <w:rFonts w:cs="Calibri"/>
        </w:rPr>
      </w:pPr>
    </w:p>
    <w:p w:rsidR="0025162C" w:rsidRDefault="0025162C" w:rsidP="0025162C">
      <w:pPr>
        <w:autoSpaceDE w:val="0"/>
        <w:autoSpaceDN w:val="0"/>
        <w:adjustRightInd w:val="0"/>
        <w:spacing w:after="0" w:line="240" w:lineRule="auto"/>
        <w:jc w:val="both"/>
      </w:pPr>
      <w:r w:rsidRPr="00BD4A85">
        <w:rPr>
          <w:rFonts w:cs="Calibri"/>
        </w:rPr>
        <w:t>The strategy will have</w:t>
      </w:r>
      <w:r>
        <w:rPr>
          <w:rFonts w:cs="Calibri"/>
        </w:rPr>
        <w:t xml:space="preserve"> Master Implementation plan 2014</w:t>
      </w:r>
      <w:r w:rsidRPr="00BD4A85">
        <w:rPr>
          <w:rFonts w:cs="Calibri"/>
        </w:rPr>
        <w:t xml:space="preserve"> - 201</w:t>
      </w:r>
      <w:r>
        <w:rPr>
          <w:rFonts w:cs="Calibri"/>
        </w:rPr>
        <w:t>6</w:t>
      </w:r>
      <w:r w:rsidRPr="00BD4A85">
        <w:rPr>
          <w:rFonts w:cs="Calibri"/>
        </w:rPr>
        <w:t xml:space="preserve"> </w:t>
      </w:r>
      <w:r w:rsidRPr="00BD4A85">
        <w:rPr>
          <w:rFonts w:cs="FootlightMTLight"/>
        </w:rPr>
        <w:t>with short, medium and long-term targets and timelines. The</w:t>
      </w:r>
      <w:r w:rsidRPr="00BD4A85">
        <w:rPr>
          <w:rFonts w:cs="Calibri"/>
        </w:rPr>
        <w:t xml:space="preserve"> yearly phased implementation plan will give more details about the activities to support the strategies. These plans will undergo continuous review and revisions so that they are always updated to be responsive to any change that may affect the successful implementation of the HF strategy. </w:t>
      </w:r>
      <w:r w:rsidRPr="00BD4A85">
        <w:t xml:space="preserve">The Financial Management and Procurement TWG will meet quarterly to review progress on </w:t>
      </w:r>
      <w:r w:rsidRPr="00BD4A85">
        <w:lastRenderedPageBreak/>
        <w:t>strategy implementation, and updates will delivered at the national SWAp annual and mid-year reviews.  In addition, a mid-term review of the strategy will take place in 2015-16 to check progress and make changes as appropriate.</w:t>
      </w:r>
    </w:p>
    <w:p w:rsidR="00A17DEE" w:rsidRPr="00BD4A85" w:rsidRDefault="00A17DEE" w:rsidP="0025162C">
      <w:pPr>
        <w:autoSpaceDE w:val="0"/>
        <w:autoSpaceDN w:val="0"/>
        <w:adjustRightInd w:val="0"/>
        <w:spacing w:after="0" w:line="240" w:lineRule="auto"/>
        <w:jc w:val="both"/>
      </w:pPr>
    </w:p>
    <w:p w:rsidR="0025162C" w:rsidRDefault="0025162C" w:rsidP="001C7880">
      <w:pPr>
        <w:pStyle w:val="Heading2"/>
      </w:pPr>
      <w:bookmarkStart w:id="1123" w:name="_Toc363225922"/>
      <w:bookmarkStart w:id="1124" w:name="_Toc384903856"/>
      <w:bookmarkStart w:id="1125" w:name="_Toc384911982"/>
      <w:r w:rsidRPr="00BD4A85">
        <w:t>6.3</w:t>
      </w:r>
      <w:r w:rsidRPr="00BD4A85">
        <w:tab/>
        <w:t>MONITORING AND EVALUATION</w:t>
      </w:r>
      <w:bookmarkEnd w:id="1123"/>
      <w:bookmarkEnd w:id="1124"/>
      <w:bookmarkEnd w:id="1125"/>
    </w:p>
    <w:p w:rsidR="00A17DEE" w:rsidRPr="00A17DEE" w:rsidRDefault="00A17DEE" w:rsidP="00A17DEE">
      <w:pPr>
        <w:rPr>
          <w:lang w:eastAsia="en-GB"/>
        </w:rPr>
      </w:pPr>
    </w:p>
    <w:p w:rsidR="0025162C" w:rsidRDefault="0025162C" w:rsidP="0025162C">
      <w:pPr>
        <w:jc w:val="both"/>
      </w:pPr>
      <w:r w:rsidRPr="00BD4A85">
        <w:rPr>
          <w:rFonts w:cs="Arial"/>
          <w:sz w:val="20"/>
          <w:szCs w:val="20"/>
        </w:rPr>
        <w:t xml:space="preserve">In order to effectively monitor the performance of the </w:t>
      </w:r>
      <w:r>
        <w:rPr>
          <w:rFonts w:cs="Arial"/>
          <w:sz w:val="20"/>
          <w:szCs w:val="20"/>
        </w:rPr>
        <w:t>Health Financing Strategy</w:t>
      </w:r>
      <w:r w:rsidRPr="00BD4A85">
        <w:rPr>
          <w:rFonts w:cs="Arial"/>
          <w:sz w:val="20"/>
          <w:szCs w:val="20"/>
        </w:rPr>
        <w:t xml:space="preserve"> during implementation period, the Result Framework for monitoring and evaluation will be utilize. The framework will monitor progress</w:t>
      </w:r>
      <w:r w:rsidRPr="00BD4A85">
        <w:t xml:space="preserve"> toward the goal outlined in this strategy, it is important to track results against specific quantitative indicators.  For clarity, the results expected for the entire strategy are shown separately from those linked to specific objectives.</w:t>
      </w:r>
    </w:p>
    <w:p w:rsidR="0025162C" w:rsidRPr="00BD4A85" w:rsidRDefault="0025162C" w:rsidP="00564161">
      <w:pPr>
        <w:pStyle w:val="ListParagraph"/>
        <w:numPr>
          <w:ilvl w:val="0"/>
          <w:numId w:val="26"/>
        </w:numPr>
        <w:rPr>
          <w:b/>
        </w:rPr>
      </w:pPr>
      <w:r w:rsidRPr="00BD4A85">
        <w:rPr>
          <w:b/>
        </w:rPr>
        <w:t>Indicators for Monitoring and  Evaluation - overall strategy</w:t>
      </w:r>
    </w:p>
    <w:p w:rsidR="0025162C" w:rsidRPr="00BD4A85" w:rsidRDefault="0025162C" w:rsidP="0025162C">
      <w:pPr>
        <w:pStyle w:val="ListParagraph"/>
        <w:ind w:left="0"/>
        <w:rPr>
          <w:b/>
        </w:rPr>
      </w:pPr>
    </w:p>
    <w:tbl>
      <w:tblPr>
        <w:tblW w:w="5000" w:type="pct"/>
        <w:tblCellMar>
          <w:left w:w="0" w:type="dxa"/>
          <w:right w:w="0" w:type="dxa"/>
        </w:tblCellMar>
        <w:tblLook w:val="0420" w:firstRow="1" w:lastRow="0" w:firstColumn="0" w:lastColumn="0" w:noHBand="0" w:noVBand="1"/>
      </w:tblPr>
      <w:tblGrid>
        <w:gridCol w:w="3077"/>
        <w:gridCol w:w="951"/>
        <w:gridCol w:w="841"/>
        <w:gridCol w:w="841"/>
        <w:gridCol w:w="841"/>
        <w:gridCol w:w="841"/>
        <w:gridCol w:w="2256"/>
      </w:tblGrid>
      <w:tr w:rsidR="0025162C" w:rsidRPr="00FB6B5B" w:rsidTr="00C753E2">
        <w:trPr>
          <w:trHeight w:val="730"/>
        </w:trPr>
        <w:tc>
          <w:tcPr>
            <w:tcW w:w="1594" w:type="pct"/>
            <w:tcBorders>
              <w:top w:val="single" w:sz="8" w:space="0" w:color="FFFFFF"/>
              <w:left w:val="single" w:sz="8" w:space="0" w:color="FFFFFF"/>
              <w:bottom w:val="single" w:sz="8" w:space="0" w:color="000000"/>
              <w:right w:val="single" w:sz="8" w:space="0" w:color="FFFFFF"/>
            </w:tcBorders>
            <w:shd w:val="clear" w:color="auto" w:fill="4F81BD"/>
            <w:tcMar>
              <w:top w:w="72" w:type="dxa"/>
              <w:left w:w="144" w:type="dxa"/>
              <w:bottom w:w="72" w:type="dxa"/>
              <w:right w:w="144" w:type="dxa"/>
            </w:tcMar>
            <w:vAlign w:val="center"/>
            <w:hideMark/>
          </w:tcPr>
          <w:p w:rsidR="0025162C" w:rsidRPr="00FB6B5B" w:rsidRDefault="0025162C" w:rsidP="00C753E2">
            <w:pPr>
              <w:rPr>
                <w:rFonts w:asciiTheme="minorHAnsi" w:hAnsiTheme="minorHAnsi"/>
              </w:rPr>
            </w:pPr>
            <w:r w:rsidRPr="00FB6B5B">
              <w:rPr>
                <w:rFonts w:asciiTheme="minorHAnsi" w:hAnsiTheme="minorHAnsi"/>
                <w:b/>
                <w:bCs/>
              </w:rPr>
              <w:t>Indicator</w:t>
            </w:r>
          </w:p>
        </w:tc>
        <w:tc>
          <w:tcPr>
            <w:tcW w:w="493" w:type="pct"/>
            <w:tcBorders>
              <w:top w:val="single" w:sz="8" w:space="0" w:color="FFFFFF"/>
              <w:left w:val="single" w:sz="8" w:space="0" w:color="FFFFFF"/>
              <w:bottom w:val="single" w:sz="8" w:space="0" w:color="000000"/>
              <w:right w:val="single" w:sz="8" w:space="0" w:color="FFFFFF"/>
            </w:tcBorders>
            <w:shd w:val="clear" w:color="auto" w:fill="4F81BD"/>
            <w:tcMar>
              <w:top w:w="72" w:type="dxa"/>
              <w:left w:w="144" w:type="dxa"/>
              <w:bottom w:w="72" w:type="dxa"/>
              <w:right w:w="144" w:type="dxa"/>
            </w:tcMar>
            <w:vAlign w:val="center"/>
            <w:hideMark/>
          </w:tcPr>
          <w:p w:rsidR="0025162C" w:rsidRPr="00FB6B5B" w:rsidRDefault="0025162C" w:rsidP="00C753E2">
            <w:pPr>
              <w:rPr>
                <w:rFonts w:asciiTheme="minorHAnsi" w:hAnsiTheme="minorHAnsi"/>
              </w:rPr>
            </w:pPr>
            <w:r w:rsidRPr="00FB6B5B">
              <w:rPr>
                <w:rFonts w:asciiTheme="minorHAnsi" w:hAnsiTheme="minorHAnsi"/>
                <w:b/>
                <w:bCs/>
              </w:rPr>
              <w:t>Base-line</w:t>
            </w:r>
          </w:p>
        </w:tc>
        <w:tc>
          <w:tcPr>
            <w:tcW w:w="436" w:type="pct"/>
            <w:tcBorders>
              <w:top w:val="single" w:sz="8" w:space="0" w:color="FFFFFF"/>
              <w:left w:val="single" w:sz="8" w:space="0" w:color="FFFFFF"/>
              <w:bottom w:val="single" w:sz="8" w:space="0" w:color="000000"/>
              <w:right w:val="single" w:sz="8" w:space="0" w:color="FFFFFF"/>
            </w:tcBorders>
            <w:shd w:val="clear" w:color="auto" w:fill="4F81BD"/>
            <w:tcMar>
              <w:top w:w="15" w:type="dxa"/>
              <w:left w:w="108" w:type="dxa"/>
              <w:bottom w:w="0" w:type="dxa"/>
              <w:right w:w="108" w:type="dxa"/>
            </w:tcMar>
            <w:vAlign w:val="center"/>
            <w:hideMark/>
          </w:tcPr>
          <w:p w:rsidR="0025162C" w:rsidRPr="00FB6B5B" w:rsidRDefault="0025162C" w:rsidP="00C753E2">
            <w:pPr>
              <w:rPr>
                <w:rFonts w:asciiTheme="minorHAnsi" w:hAnsiTheme="minorHAnsi"/>
              </w:rPr>
            </w:pPr>
            <w:r w:rsidRPr="00FB6B5B">
              <w:rPr>
                <w:rFonts w:asciiTheme="minorHAnsi" w:hAnsiTheme="minorHAnsi"/>
                <w:b/>
                <w:bCs/>
              </w:rPr>
              <w:t>2014-15 target</w:t>
            </w:r>
          </w:p>
        </w:tc>
        <w:tc>
          <w:tcPr>
            <w:tcW w:w="436" w:type="pct"/>
            <w:tcBorders>
              <w:top w:val="single" w:sz="8" w:space="0" w:color="FFFFFF"/>
              <w:left w:val="single" w:sz="8" w:space="0" w:color="FFFFFF"/>
              <w:bottom w:val="single" w:sz="8" w:space="0" w:color="000000"/>
              <w:right w:val="single" w:sz="8" w:space="0" w:color="FFFFFF"/>
            </w:tcBorders>
            <w:shd w:val="clear" w:color="auto" w:fill="4F81BD"/>
            <w:tcMar>
              <w:top w:w="15" w:type="dxa"/>
              <w:left w:w="108" w:type="dxa"/>
              <w:bottom w:w="0" w:type="dxa"/>
              <w:right w:w="108" w:type="dxa"/>
            </w:tcMar>
            <w:vAlign w:val="center"/>
            <w:hideMark/>
          </w:tcPr>
          <w:p w:rsidR="0025162C" w:rsidRPr="00FB6B5B" w:rsidRDefault="0025162C" w:rsidP="00C753E2">
            <w:pPr>
              <w:rPr>
                <w:rFonts w:asciiTheme="minorHAnsi" w:hAnsiTheme="minorHAnsi"/>
              </w:rPr>
            </w:pPr>
            <w:r w:rsidRPr="00FB6B5B">
              <w:rPr>
                <w:rFonts w:asciiTheme="minorHAnsi" w:hAnsiTheme="minorHAnsi"/>
                <w:b/>
                <w:bCs/>
              </w:rPr>
              <w:t>2015-16 target</w:t>
            </w:r>
          </w:p>
        </w:tc>
        <w:tc>
          <w:tcPr>
            <w:tcW w:w="436" w:type="pct"/>
            <w:tcBorders>
              <w:top w:val="single" w:sz="8" w:space="0" w:color="FFFFFF"/>
              <w:left w:val="single" w:sz="8" w:space="0" w:color="FFFFFF"/>
              <w:bottom w:val="single" w:sz="8" w:space="0" w:color="000000"/>
              <w:right w:val="single" w:sz="8" w:space="0" w:color="FFFFFF"/>
            </w:tcBorders>
            <w:shd w:val="clear" w:color="auto" w:fill="4F81BD"/>
            <w:tcMar>
              <w:top w:w="15" w:type="dxa"/>
              <w:left w:w="108" w:type="dxa"/>
              <w:bottom w:w="0" w:type="dxa"/>
              <w:right w:w="108" w:type="dxa"/>
            </w:tcMar>
            <w:vAlign w:val="center"/>
            <w:hideMark/>
          </w:tcPr>
          <w:p w:rsidR="0025162C" w:rsidRPr="00FB6B5B" w:rsidRDefault="0025162C" w:rsidP="00C753E2">
            <w:pPr>
              <w:rPr>
                <w:rFonts w:asciiTheme="minorHAnsi" w:hAnsiTheme="minorHAnsi"/>
              </w:rPr>
            </w:pPr>
            <w:r w:rsidRPr="00FB6B5B">
              <w:rPr>
                <w:rFonts w:asciiTheme="minorHAnsi" w:hAnsiTheme="minorHAnsi"/>
                <w:b/>
                <w:bCs/>
              </w:rPr>
              <w:t>2016-17 target</w:t>
            </w:r>
          </w:p>
        </w:tc>
        <w:tc>
          <w:tcPr>
            <w:tcW w:w="436" w:type="pct"/>
            <w:tcBorders>
              <w:top w:val="single" w:sz="8" w:space="0" w:color="FFFFFF"/>
              <w:left w:val="single" w:sz="8" w:space="0" w:color="FFFFFF"/>
              <w:bottom w:val="single" w:sz="8" w:space="0" w:color="000000"/>
              <w:right w:val="single" w:sz="8" w:space="0" w:color="FFFFFF"/>
            </w:tcBorders>
            <w:shd w:val="clear" w:color="auto" w:fill="4F81BD"/>
            <w:tcMar>
              <w:top w:w="15" w:type="dxa"/>
              <w:left w:w="108" w:type="dxa"/>
              <w:bottom w:w="0" w:type="dxa"/>
              <w:right w:w="108" w:type="dxa"/>
            </w:tcMar>
            <w:vAlign w:val="center"/>
            <w:hideMark/>
          </w:tcPr>
          <w:p w:rsidR="0025162C" w:rsidRPr="00FB6B5B" w:rsidRDefault="0025162C" w:rsidP="00C753E2">
            <w:pPr>
              <w:rPr>
                <w:rFonts w:asciiTheme="minorHAnsi" w:hAnsiTheme="minorHAnsi"/>
              </w:rPr>
            </w:pPr>
            <w:r w:rsidRPr="00FB6B5B">
              <w:rPr>
                <w:rFonts w:asciiTheme="minorHAnsi" w:hAnsiTheme="minorHAnsi"/>
                <w:b/>
                <w:bCs/>
              </w:rPr>
              <w:t>2017-18 target</w:t>
            </w:r>
          </w:p>
        </w:tc>
        <w:tc>
          <w:tcPr>
            <w:tcW w:w="1170" w:type="pct"/>
            <w:tcBorders>
              <w:top w:val="single" w:sz="8" w:space="0" w:color="FFFFFF"/>
              <w:left w:val="single" w:sz="8" w:space="0" w:color="FFFFFF"/>
              <w:bottom w:val="single" w:sz="8" w:space="0" w:color="000000"/>
              <w:right w:val="single" w:sz="8" w:space="0" w:color="FFFFFF"/>
            </w:tcBorders>
            <w:shd w:val="clear" w:color="auto" w:fill="4F81BD"/>
            <w:tcMar>
              <w:top w:w="72" w:type="dxa"/>
              <w:left w:w="144" w:type="dxa"/>
              <w:bottom w:w="72" w:type="dxa"/>
              <w:right w:w="144" w:type="dxa"/>
            </w:tcMar>
            <w:vAlign w:val="center"/>
            <w:hideMark/>
          </w:tcPr>
          <w:p w:rsidR="0025162C" w:rsidRPr="00FB6B5B" w:rsidRDefault="0025162C" w:rsidP="00C753E2">
            <w:pPr>
              <w:rPr>
                <w:rFonts w:asciiTheme="minorHAnsi" w:hAnsiTheme="minorHAnsi"/>
              </w:rPr>
            </w:pPr>
            <w:r w:rsidRPr="00FB6B5B">
              <w:rPr>
                <w:rFonts w:asciiTheme="minorHAnsi" w:hAnsiTheme="minorHAnsi"/>
                <w:b/>
                <w:bCs/>
              </w:rPr>
              <w:t>Measurement methodology</w:t>
            </w:r>
          </w:p>
        </w:tc>
      </w:tr>
      <w:tr w:rsidR="0025162C" w:rsidRPr="00FB6B5B" w:rsidTr="00C753E2">
        <w:trPr>
          <w:trHeight w:val="600"/>
        </w:trPr>
        <w:tc>
          <w:tcPr>
            <w:tcW w:w="1594" w:type="pct"/>
            <w:tcBorders>
              <w:top w:val="single" w:sz="8" w:space="0" w:color="000000"/>
              <w:left w:val="single" w:sz="8" w:space="0" w:color="000000"/>
              <w:bottom w:val="single" w:sz="8" w:space="0" w:color="000000"/>
              <w:right w:val="single" w:sz="8" w:space="0" w:color="000000"/>
            </w:tcBorders>
            <w:shd w:val="clear" w:color="auto" w:fill="DCE6F2"/>
            <w:tcMar>
              <w:top w:w="15" w:type="dxa"/>
              <w:left w:w="108" w:type="dxa"/>
              <w:bottom w:w="0" w:type="dxa"/>
              <w:right w:w="108" w:type="dxa"/>
            </w:tcMar>
            <w:vAlign w:val="center"/>
            <w:hideMark/>
          </w:tcPr>
          <w:p w:rsidR="0025162C" w:rsidRPr="00FB6B5B" w:rsidRDefault="0025162C" w:rsidP="00C753E2">
            <w:pPr>
              <w:rPr>
                <w:rFonts w:asciiTheme="minorHAnsi" w:hAnsiTheme="minorHAnsi"/>
              </w:rPr>
            </w:pPr>
            <w:r w:rsidRPr="00FB6B5B">
              <w:rPr>
                <w:rFonts w:asciiTheme="minorHAnsi" w:hAnsiTheme="minorHAnsi"/>
              </w:rPr>
              <w:t>Revenue generated by new tax mechanisms</w:t>
            </w:r>
          </w:p>
        </w:tc>
        <w:tc>
          <w:tcPr>
            <w:tcW w:w="493" w:type="pct"/>
            <w:tcBorders>
              <w:top w:val="single" w:sz="8" w:space="0" w:color="000000"/>
              <w:left w:val="single" w:sz="8" w:space="0" w:color="000000"/>
              <w:bottom w:val="single" w:sz="8" w:space="0" w:color="000000"/>
              <w:right w:val="single" w:sz="8" w:space="0" w:color="000000"/>
            </w:tcBorders>
            <w:shd w:val="clear" w:color="auto" w:fill="DCE6F2"/>
            <w:tcMar>
              <w:top w:w="15" w:type="dxa"/>
              <w:left w:w="108" w:type="dxa"/>
              <w:bottom w:w="0" w:type="dxa"/>
              <w:right w:w="108" w:type="dxa"/>
            </w:tcMar>
            <w:vAlign w:val="center"/>
            <w:hideMark/>
          </w:tcPr>
          <w:p w:rsidR="0025162C" w:rsidRPr="00FB6B5B" w:rsidRDefault="0025162C" w:rsidP="00C753E2">
            <w:pPr>
              <w:rPr>
                <w:rFonts w:asciiTheme="minorHAnsi" w:hAnsiTheme="minorHAnsi"/>
              </w:rPr>
            </w:pPr>
            <w:r w:rsidRPr="00FB6B5B">
              <w:rPr>
                <w:rFonts w:asciiTheme="minorHAnsi" w:hAnsiTheme="minorHAnsi"/>
                <w:i/>
                <w:iCs/>
              </w:rPr>
              <w:t>$0</w:t>
            </w:r>
          </w:p>
        </w:tc>
        <w:tc>
          <w:tcPr>
            <w:tcW w:w="436"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25162C" w:rsidRPr="00FB6B5B" w:rsidRDefault="0025162C" w:rsidP="00C753E2">
            <w:pPr>
              <w:rPr>
                <w:rFonts w:asciiTheme="minorHAnsi" w:hAnsiTheme="minorHAnsi"/>
              </w:rPr>
            </w:pPr>
            <w:r w:rsidRPr="00FB6B5B">
              <w:rPr>
                <w:rFonts w:asciiTheme="minorHAnsi" w:hAnsiTheme="minorHAnsi"/>
              </w:rPr>
              <w:t>$2.5 M</w:t>
            </w:r>
          </w:p>
        </w:tc>
        <w:tc>
          <w:tcPr>
            <w:tcW w:w="436"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25162C" w:rsidRPr="00FB6B5B" w:rsidRDefault="0025162C" w:rsidP="00C753E2">
            <w:pPr>
              <w:rPr>
                <w:rFonts w:asciiTheme="minorHAnsi" w:hAnsiTheme="minorHAnsi"/>
              </w:rPr>
            </w:pPr>
            <w:r w:rsidRPr="00FB6B5B">
              <w:rPr>
                <w:rFonts w:asciiTheme="minorHAnsi" w:hAnsiTheme="minorHAnsi"/>
              </w:rPr>
              <w:t>$5</w:t>
            </w:r>
          </w:p>
        </w:tc>
        <w:tc>
          <w:tcPr>
            <w:tcW w:w="436"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25162C" w:rsidRPr="00FB6B5B" w:rsidRDefault="0025162C" w:rsidP="00C753E2">
            <w:pPr>
              <w:rPr>
                <w:rFonts w:asciiTheme="minorHAnsi" w:hAnsiTheme="minorHAnsi"/>
              </w:rPr>
            </w:pPr>
            <w:r w:rsidRPr="00FB6B5B">
              <w:rPr>
                <w:rFonts w:asciiTheme="minorHAnsi" w:hAnsiTheme="minorHAnsi"/>
              </w:rPr>
              <w:t>$7.5</w:t>
            </w:r>
          </w:p>
        </w:tc>
        <w:tc>
          <w:tcPr>
            <w:tcW w:w="436"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25162C" w:rsidRPr="00FB6B5B" w:rsidRDefault="0025162C" w:rsidP="00C753E2">
            <w:pPr>
              <w:rPr>
                <w:rFonts w:asciiTheme="minorHAnsi" w:hAnsiTheme="minorHAnsi"/>
              </w:rPr>
            </w:pPr>
            <w:r w:rsidRPr="00FB6B5B">
              <w:rPr>
                <w:rFonts w:asciiTheme="minorHAnsi" w:hAnsiTheme="minorHAnsi"/>
              </w:rPr>
              <w:t>$10 M</w:t>
            </w:r>
          </w:p>
        </w:tc>
        <w:tc>
          <w:tcPr>
            <w:tcW w:w="1170" w:type="pct"/>
            <w:tcBorders>
              <w:top w:val="single" w:sz="8" w:space="0" w:color="000000"/>
              <w:left w:val="single" w:sz="8" w:space="0" w:color="000000"/>
              <w:bottom w:val="single" w:sz="8" w:space="0" w:color="000000"/>
              <w:right w:val="single" w:sz="8" w:space="0" w:color="000000"/>
            </w:tcBorders>
            <w:shd w:val="clear" w:color="auto" w:fill="DCE6F2"/>
            <w:tcMar>
              <w:top w:w="15" w:type="dxa"/>
              <w:left w:w="108" w:type="dxa"/>
              <w:bottom w:w="0" w:type="dxa"/>
              <w:right w:w="108" w:type="dxa"/>
            </w:tcMar>
            <w:vAlign w:val="center"/>
            <w:hideMark/>
          </w:tcPr>
          <w:p w:rsidR="0025162C" w:rsidRPr="00FB6B5B" w:rsidRDefault="0025162C" w:rsidP="00C753E2">
            <w:pPr>
              <w:rPr>
                <w:rFonts w:asciiTheme="minorHAnsi" w:hAnsiTheme="minorHAnsi"/>
              </w:rPr>
            </w:pPr>
            <w:r w:rsidRPr="00FB6B5B">
              <w:rPr>
                <w:rFonts w:asciiTheme="minorHAnsi" w:hAnsiTheme="minorHAnsi"/>
              </w:rPr>
              <w:t>Ministry of Finance data</w:t>
            </w:r>
          </w:p>
        </w:tc>
      </w:tr>
      <w:tr w:rsidR="0025162C" w:rsidRPr="00FB6B5B" w:rsidTr="00C753E2">
        <w:trPr>
          <w:trHeight w:val="916"/>
        </w:trPr>
        <w:tc>
          <w:tcPr>
            <w:tcW w:w="1594" w:type="pct"/>
            <w:tcBorders>
              <w:top w:val="single" w:sz="8" w:space="0" w:color="000000"/>
              <w:left w:val="single" w:sz="8" w:space="0" w:color="000000"/>
              <w:bottom w:val="single" w:sz="8" w:space="0" w:color="000000"/>
              <w:right w:val="single" w:sz="8" w:space="0" w:color="000000"/>
            </w:tcBorders>
            <w:shd w:val="clear" w:color="auto" w:fill="DCE6F2"/>
            <w:tcMar>
              <w:top w:w="15" w:type="dxa"/>
              <w:left w:w="108" w:type="dxa"/>
              <w:bottom w:w="0" w:type="dxa"/>
              <w:right w:w="108" w:type="dxa"/>
            </w:tcMar>
            <w:vAlign w:val="center"/>
          </w:tcPr>
          <w:p w:rsidR="0025162C" w:rsidRPr="00FB6B5B" w:rsidRDefault="0025162C" w:rsidP="00C753E2">
            <w:pPr>
              <w:pStyle w:val="Default"/>
              <w:rPr>
                <w:rFonts w:asciiTheme="minorHAnsi" w:hAnsiTheme="minorHAnsi"/>
                <w:color w:val="auto"/>
                <w:sz w:val="22"/>
                <w:szCs w:val="22"/>
              </w:rPr>
            </w:pPr>
            <w:r w:rsidRPr="00FB6B5B">
              <w:rPr>
                <w:rFonts w:asciiTheme="minorHAnsi" w:hAnsiTheme="minorHAnsi"/>
                <w:color w:val="auto"/>
                <w:sz w:val="22"/>
                <w:szCs w:val="22"/>
              </w:rPr>
              <w:t xml:space="preserve">Per capita total health spending </w:t>
            </w:r>
          </w:p>
        </w:tc>
        <w:tc>
          <w:tcPr>
            <w:tcW w:w="493"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tcPr>
          <w:p w:rsidR="0025162C" w:rsidRPr="00FB6B5B" w:rsidRDefault="0025162C" w:rsidP="00C753E2">
            <w:pPr>
              <w:rPr>
                <w:rFonts w:asciiTheme="minorHAnsi" w:hAnsiTheme="minorHAnsi"/>
                <w:i/>
                <w:iCs/>
              </w:rPr>
            </w:pPr>
          </w:p>
        </w:tc>
        <w:tc>
          <w:tcPr>
            <w:tcW w:w="436"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tcPr>
          <w:p w:rsidR="0025162C" w:rsidRPr="00FB6B5B" w:rsidRDefault="0025162C" w:rsidP="00C753E2">
            <w:pPr>
              <w:rPr>
                <w:rFonts w:asciiTheme="minorHAnsi" w:hAnsiTheme="minorHAnsi"/>
              </w:rPr>
            </w:pPr>
          </w:p>
        </w:tc>
        <w:tc>
          <w:tcPr>
            <w:tcW w:w="436"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tcPr>
          <w:p w:rsidR="0025162C" w:rsidRPr="00FB6B5B" w:rsidRDefault="0025162C" w:rsidP="00C753E2">
            <w:pPr>
              <w:rPr>
                <w:rFonts w:asciiTheme="minorHAnsi" w:hAnsiTheme="minorHAnsi"/>
              </w:rPr>
            </w:pPr>
          </w:p>
        </w:tc>
        <w:tc>
          <w:tcPr>
            <w:tcW w:w="436"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tcPr>
          <w:p w:rsidR="0025162C" w:rsidRPr="00FB6B5B" w:rsidRDefault="0025162C" w:rsidP="00C753E2">
            <w:pPr>
              <w:rPr>
                <w:rFonts w:asciiTheme="minorHAnsi" w:hAnsiTheme="minorHAnsi"/>
              </w:rPr>
            </w:pPr>
          </w:p>
        </w:tc>
        <w:tc>
          <w:tcPr>
            <w:tcW w:w="436"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tcPr>
          <w:p w:rsidR="0025162C" w:rsidRPr="00FB6B5B" w:rsidRDefault="0025162C" w:rsidP="00C753E2">
            <w:pPr>
              <w:rPr>
                <w:rFonts w:asciiTheme="minorHAnsi" w:hAnsiTheme="minorHAnsi"/>
              </w:rPr>
            </w:pPr>
          </w:p>
        </w:tc>
        <w:tc>
          <w:tcPr>
            <w:tcW w:w="1170" w:type="pct"/>
            <w:tcBorders>
              <w:top w:val="single" w:sz="8" w:space="0" w:color="000000"/>
              <w:left w:val="single" w:sz="8" w:space="0" w:color="000000"/>
              <w:bottom w:val="single" w:sz="8" w:space="0" w:color="000000"/>
              <w:right w:val="single" w:sz="8" w:space="0" w:color="000000"/>
            </w:tcBorders>
            <w:shd w:val="clear" w:color="auto" w:fill="DCE6F2"/>
            <w:tcMar>
              <w:top w:w="15" w:type="dxa"/>
              <w:left w:w="108" w:type="dxa"/>
              <w:bottom w:w="0" w:type="dxa"/>
              <w:right w:w="108" w:type="dxa"/>
            </w:tcMar>
          </w:tcPr>
          <w:p w:rsidR="0025162C" w:rsidRPr="00FB6B5B" w:rsidRDefault="0025162C" w:rsidP="00C753E2">
            <w:pPr>
              <w:rPr>
                <w:rFonts w:asciiTheme="minorHAnsi" w:hAnsiTheme="minorHAnsi"/>
              </w:rPr>
            </w:pPr>
          </w:p>
        </w:tc>
      </w:tr>
      <w:tr w:rsidR="0025162C" w:rsidRPr="00FB6B5B" w:rsidTr="00C753E2">
        <w:trPr>
          <w:trHeight w:val="907"/>
        </w:trPr>
        <w:tc>
          <w:tcPr>
            <w:tcW w:w="1594" w:type="pct"/>
            <w:tcBorders>
              <w:top w:val="single" w:sz="8" w:space="0" w:color="000000"/>
              <w:left w:val="single" w:sz="8" w:space="0" w:color="000000"/>
              <w:bottom w:val="single" w:sz="8" w:space="0" w:color="000000"/>
              <w:right w:val="single" w:sz="8" w:space="0" w:color="000000"/>
            </w:tcBorders>
            <w:shd w:val="clear" w:color="auto" w:fill="DCE6F2"/>
            <w:tcMar>
              <w:top w:w="15" w:type="dxa"/>
              <w:left w:w="108" w:type="dxa"/>
              <w:bottom w:w="0" w:type="dxa"/>
              <w:right w:w="108" w:type="dxa"/>
            </w:tcMar>
            <w:vAlign w:val="center"/>
          </w:tcPr>
          <w:p w:rsidR="0025162C" w:rsidRPr="00FB6B5B" w:rsidRDefault="0025162C" w:rsidP="00C753E2">
            <w:pPr>
              <w:autoSpaceDE w:val="0"/>
              <w:autoSpaceDN w:val="0"/>
              <w:adjustRightInd w:val="0"/>
              <w:spacing w:after="0" w:line="240" w:lineRule="auto"/>
              <w:jc w:val="both"/>
              <w:rPr>
                <w:rFonts w:asciiTheme="minorHAnsi" w:hAnsiTheme="minorHAnsi" w:cs="Arial"/>
              </w:rPr>
            </w:pPr>
            <w:r w:rsidRPr="00FB6B5B">
              <w:rPr>
                <w:rFonts w:asciiTheme="minorHAnsi" w:hAnsiTheme="minorHAnsi" w:cs="Arial"/>
              </w:rPr>
              <w:t>Per capita public health spending</w:t>
            </w:r>
          </w:p>
          <w:p w:rsidR="0025162C" w:rsidRPr="00FB6B5B" w:rsidDel="00BC2308" w:rsidRDefault="0025162C" w:rsidP="00C753E2">
            <w:pPr>
              <w:autoSpaceDE w:val="0"/>
              <w:autoSpaceDN w:val="0"/>
              <w:adjustRightInd w:val="0"/>
              <w:spacing w:after="0" w:line="240" w:lineRule="auto"/>
              <w:jc w:val="both"/>
              <w:rPr>
                <w:rFonts w:asciiTheme="minorHAnsi" w:hAnsiTheme="minorHAnsi"/>
              </w:rPr>
            </w:pPr>
          </w:p>
        </w:tc>
        <w:tc>
          <w:tcPr>
            <w:tcW w:w="493"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tcPr>
          <w:p w:rsidR="0025162C" w:rsidRPr="00FB6B5B" w:rsidRDefault="0025162C" w:rsidP="00C753E2">
            <w:pPr>
              <w:rPr>
                <w:rFonts w:asciiTheme="minorHAnsi" w:hAnsiTheme="minorHAnsi"/>
                <w:i/>
                <w:iCs/>
              </w:rPr>
            </w:pPr>
          </w:p>
        </w:tc>
        <w:tc>
          <w:tcPr>
            <w:tcW w:w="436"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tcPr>
          <w:p w:rsidR="0025162C" w:rsidRPr="00FB6B5B" w:rsidRDefault="0025162C" w:rsidP="00C753E2">
            <w:pPr>
              <w:rPr>
                <w:rFonts w:asciiTheme="minorHAnsi" w:hAnsiTheme="minorHAnsi"/>
              </w:rPr>
            </w:pPr>
          </w:p>
        </w:tc>
        <w:tc>
          <w:tcPr>
            <w:tcW w:w="436"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tcPr>
          <w:p w:rsidR="0025162C" w:rsidRPr="00FB6B5B" w:rsidRDefault="0025162C" w:rsidP="00C753E2">
            <w:pPr>
              <w:rPr>
                <w:rFonts w:asciiTheme="minorHAnsi" w:hAnsiTheme="minorHAnsi"/>
              </w:rPr>
            </w:pPr>
          </w:p>
        </w:tc>
        <w:tc>
          <w:tcPr>
            <w:tcW w:w="436"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tcPr>
          <w:p w:rsidR="0025162C" w:rsidRPr="00FB6B5B" w:rsidRDefault="0025162C" w:rsidP="00C753E2">
            <w:pPr>
              <w:rPr>
                <w:rFonts w:asciiTheme="minorHAnsi" w:hAnsiTheme="minorHAnsi"/>
              </w:rPr>
            </w:pPr>
          </w:p>
        </w:tc>
        <w:tc>
          <w:tcPr>
            <w:tcW w:w="436"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tcPr>
          <w:p w:rsidR="0025162C" w:rsidRPr="00FB6B5B" w:rsidRDefault="0025162C" w:rsidP="00C753E2">
            <w:pPr>
              <w:rPr>
                <w:rFonts w:asciiTheme="minorHAnsi" w:hAnsiTheme="minorHAnsi"/>
              </w:rPr>
            </w:pPr>
          </w:p>
        </w:tc>
        <w:tc>
          <w:tcPr>
            <w:tcW w:w="1170" w:type="pct"/>
            <w:tcBorders>
              <w:top w:val="single" w:sz="8" w:space="0" w:color="000000"/>
              <w:left w:val="single" w:sz="8" w:space="0" w:color="000000"/>
              <w:bottom w:val="single" w:sz="8" w:space="0" w:color="000000"/>
              <w:right w:val="single" w:sz="8" w:space="0" w:color="000000"/>
            </w:tcBorders>
            <w:shd w:val="clear" w:color="auto" w:fill="DCE6F2"/>
            <w:tcMar>
              <w:top w:w="15" w:type="dxa"/>
              <w:left w:w="108" w:type="dxa"/>
              <w:bottom w:w="0" w:type="dxa"/>
              <w:right w:w="108" w:type="dxa"/>
            </w:tcMar>
          </w:tcPr>
          <w:p w:rsidR="0025162C" w:rsidRPr="00FB6B5B" w:rsidRDefault="0025162C" w:rsidP="00C753E2">
            <w:pPr>
              <w:rPr>
                <w:rFonts w:asciiTheme="minorHAnsi" w:hAnsiTheme="minorHAnsi"/>
              </w:rPr>
            </w:pPr>
          </w:p>
        </w:tc>
      </w:tr>
      <w:tr w:rsidR="0025162C" w:rsidRPr="00FB6B5B" w:rsidTr="00C753E2">
        <w:trPr>
          <w:trHeight w:val="1276"/>
        </w:trPr>
        <w:tc>
          <w:tcPr>
            <w:tcW w:w="1594" w:type="pct"/>
            <w:tcBorders>
              <w:top w:val="single" w:sz="8" w:space="0" w:color="000000"/>
              <w:left w:val="single" w:sz="8" w:space="0" w:color="000000"/>
              <w:bottom w:val="single" w:sz="8" w:space="0" w:color="000000"/>
              <w:right w:val="single" w:sz="8" w:space="0" w:color="000000"/>
            </w:tcBorders>
            <w:shd w:val="clear" w:color="auto" w:fill="DCE6F2"/>
            <w:tcMar>
              <w:top w:w="15" w:type="dxa"/>
              <w:left w:w="108" w:type="dxa"/>
              <w:bottom w:w="0" w:type="dxa"/>
              <w:right w:w="108" w:type="dxa"/>
            </w:tcMar>
            <w:vAlign w:val="center"/>
          </w:tcPr>
          <w:p w:rsidR="0025162C" w:rsidRPr="00FB6B5B" w:rsidRDefault="0025162C" w:rsidP="00C753E2">
            <w:pPr>
              <w:autoSpaceDE w:val="0"/>
              <w:autoSpaceDN w:val="0"/>
              <w:adjustRightInd w:val="0"/>
              <w:spacing w:after="0" w:line="240" w:lineRule="auto"/>
              <w:jc w:val="both"/>
              <w:rPr>
                <w:rFonts w:asciiTheme="minorHAnsi" w:hAnsiTheme="minorHAnsi" w:cs="Arial"/>
              </w:rPr>
            </w:pPr>
          </w:p>
          <w:p w:rsidR="0025162C" w:rsidRPr="00FB6B5B" w:rsidRDefault="0025162C" w:rsidP="00C753E2">
            <w:pPr>
              <w:autoSpaceDE w:val="0"/>
              <w:autoSpaceDN w:val="0"/>
              <w:adjustRightInd w:val="0"/>
              <w:spacing w:after="0" w:line="240" w:lineRule="auto"/>
              <w:jc w:val="both"/>
              <w:rPr>
                <w:rFonts w:asciiTheme="minorHAnsi" w:hAnsiTheme="minorHAnsi" w:cs="Arial"/>
              </w:rPr>
            </w:pPr>
            <w:r w:rsidRPr="00FB6B5B">
              <w:rPr>
                <w:rFonts w:asciiTheme="minorHAnsi" w:hAnsiTheme="minorHAnsi" w:cs="Arial"/>
              </w:rPr>
              <w:t xml:space="preserve">Total expenditure on Health as percentage of Gross Domestic Product(GDP) </w:t>
            </w:r>
          </w:p>
          <w:p w:rsidR="0025162C" w:rsidRPr="00FB6B5B" w:rsidRDefault="0025162C" w:rsidP="00C753E2">
            <w:pPr>
              <w:autoSpaceDE w:val="0"/>
              <w:autoSpaceDN w:val="0"/>
              <w:adjustRightInd w:val="0"/>
              <w:spacing w:after="0" w:line="240" w:lineRule="auto"/>
              <w:jc w:val="both"/>
              <w:rPr>
                <w:rFonts w:asciiTheme="minorHAnsi" w:hAnsiTheme="minorHAnsi" w:cs="Arial"/>
              </w:rPr>
            </w:pPr>
          </w:p>
          <w:p w:rsidR="0025162C" w:rsidRPr="00FB6B5B" w:rsidRDefault="0025162C" w:rsidP="00C753E2">
            <w:pPr>
              <w:rPr>
                <w:rFonts w:asciiTheme="minorHAnsi" w:hAnsiTheme="minorHAnsi"/>
              </w:rPr>
            </w:pPr>
          </w:p>
        </w:tc>
        <w:tc>
          <w:tcPr>
            <w:tcW w:w="493"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tcPr>
          <w:p w:rsidR="0025162C" w:rsidRPr="00FB6B5B" w:rsidRDefault="0025162C" w:rsidP="00C753E2">
            <w:pPr>
              <w:rPr>
                <w:rFonts w:asciiTheme="minorHAnsi" w:hAnsiTheme="minorHAnsi"/>
                <w:i/>
                <w:iCs/>
              </w:rPr>
            </w:pPr>
          </w:p>
        </w:tc>
        <w:tc>
          <w:tcPr>
            <w:tcW w:w="436"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tcPr>
          <w:p w:rsidR="0025162C" w:rsidRPr="00FB6B5B" w:rsidRDefault="0025162C" w:rsidP="00C753E2">
            <w:pPr>
              <w:rPr>
                <w:rFonts w:asciiTheme="minorHAnsi" w:hAnsiTheme="minorHAnsi"/>
              </w:rPr>
            </w:pPr>
          </w:p>
        </w:tc>
        <w:tc>
          <w:tcPr>
            <w:tcW w:w="436"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tcPr>
          <w:p w:rsidR="0025162C" w:rsidRPr="00FB6B5B" w:rsidRDefault="0025162C" w:rsidP="00C753E2">
            <w:pPr>
              <w:rPr>
                <w:rFonts w:asciiTheme="minorHAnsi" w:hAnsiTheme="minorHAnsi"/>
              </w:rPr>
            </w:pPr>
          </w:p>
        </w:tc>
        <w:tc>
          <w:tcPr>
            <w:tcW w:w="436"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tcPr>
          <w:p w:rsidR="0025162C" w:rsidRPr="00FB6B5B" w:rsidRDefault="0025162C" w:rsidP="00C753E2">
            <w:pPr>
              <w:rPr>
                <w:rFonts w:asciiTheme="minorHAnsi" w:hAnsiTheme="minorHAnsi"/>
              </w:rPr>
            </w:pPr>
          </w:p>
        </w:tc>
        <w:tc>
          <w:tcPr>
            <w:tcW w:w="436"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tcPr>
          <w:p w:rsidR="0025162C" w:rsidRPr="00FB6B5B" w:rsidRDefault="0025162C" w:rsidP="00C753E2">
            <w:pPr>
              <w:rPr>
                <w:rFonts w:asciiTheme="minorHAnsi" w:hAnsiTheme="minorHAnsi"/>
              </w:rPr>
            </w:pPr>
          </w:p>
        </w:tc>
        <w:tc>
          <w:tcPr>
            <w:tcW w:w="1170" w:type="pct"/>
            <w:tcBorders>
              <w:top w:val="single" w:sz="8" w:space="0" w:color="000000"/>
              <w:left w:val="single" w:sz="8" w:space="0" w:color="000000"/>
              <w:bottom w:val="single" w:sz="8" w:space="0" w:color="000000"/>
              <w:right w:val="single" w:sz="8" w:space="0" w:color="000000"/>
            </w:tcBorders>
            <w:shd w:val="clear" w:color="auto" w:fill="DCE6F2"/>
            <w:tcMar>
              <w:top w:w="15" w:type="dxa"/>
              <w:left w:w="108" w:type="dxa"/>
              <w:bottom w:w="0" w:type="dxa"/>
              <w:right w:w="108" w:type="dxa"/>
            </w:tcMar>
          </w:tcPr>
          <w:p w:rsidR="0025162C" w:rsidRPr="00FB6B5B" w:rsidRDefault="0025162C" w:rsidP="00C753E2">
            <w:pPr>
              <w:rPr>
                <w:rFonts w:asciiTheme="minorHAnsi" w:hAnsiTheme="minorHAnsi"/>
              </w:rPr>
            </w:pPr>
          </w:p>
        </w:tc>
      </w:tr>
      <w:tr w:rsidR="0025162C" w:rsidRPr="00FB6B5B" w:rsidTr="00C753E2">
        <w:trPr>
          <w:trHeight w:val="1141"/>
        </w:trPr>
        <w:tc>
          <w:tcPr>
            <w:tcW w:w="1594" w:type="pct"/>
            <w:tcBorders>
              <w:top w:val="single" w:sz="8" w:space="0" w:color="000000"/>
              <w:left w:val="single" w:sz="8" w:space="0" w:color="000000"/>
              <w:bottom w:val="single" w:sz="8" w:space="0" w:color="000000"/>
              <w:right w:val="single" w:sz="8" w:space="0" w:color="000000"/>
            </w:tcBorders>
            <w:shd w:val="clear" w:color="auto" w:fill="DCE6F2"/>
            <w:tcMar>
              <w:top w:w="15" w:type="dxa"/>
              <w:left w:w="108" w:type="dxa"/>
              <w:bottom w:w="0" w:type="dxa"/>
              <w:right w:w="108" w:type="dxa"/>
            </w:tcMar>
            <w:vAlign w:val="center"/>
          </w:tcPr>
          <w:p w:rsidR="0025162C" w:rsidRPr="00FB6B5B" w:rsidRDefault="0025162C" w:rsidP="00C753E2">
            <w:pPr>
              <w:autoSpaceDE w:val="0"/>
              <w:autoSpaceDN w:val="0"/>
              <w:adjustRightInd w:val="0"/>
              <w:spacing w:after="0" w:line="240" w:lineRule="auto"/>
              <w:rPr>
                <w:rFonts w:asciiTheme="minorHAnsi" w:hAnsiTheme="minorHAnsi" w:cs="Arial"/>
              </w:rPr>
            </w:pPr>
          </w:p>
          <w:p w:rsidR="0025162C" w:rsidRPr="00FB6B5B" w:rsidRDefault="0025162C" w:rsidP="00C753E2">
            <w:pPr>
              <w:autoSpaceDE w:val="0"/>
              <w:autoSpaceDN w:val="0"/>
              <w:adjustRightInd w:val="0"/>
              <w:spacing w:after="0" w:line="240" w:lineRule="auto"/>
              <w:jc w:val="both"/>
              <w:rPr>
                <w:rFonts w:asciiTheme="minorHAnsi" w:hAnsiTheme="minorHAnsi" w:cs="Arial"/>
              </w:rPr>
            </w:pPr>
            <w:r w:rsidRPr="00FB6B5B">
              <w:rPr>
                <w:rFonts w:asciiTheme="minorHAnsi" w:hAnsiTheme="minorHAnsi" w:cs="Arial"/>
              </w:rPr>
              <w:t xml:space="preserve">Ratio of donor health funding to total health expenditure </w:t>
            </w:r>
          </w:p>
          <w:p w:rsidR="0025162C" w:rsidRPr="00FB6B5B" w:rsidRDefault="0025162C" w:rsidP="00C753E2">
            <w:pPr>
              <w:rPr>
                <w:rFonts w:asciiTheme="minorHAnsi" w:hAnsiTheme="minorHAnsi"/>
              </w:rPr>
            </w:pPr>
          </w:p>
        </w:tc>
        <w:tc>
          <w:tcPr>
            <w:tcW w:w="493"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tcPr>
          <w:p w:rsidR="0025162C" w:rsidRPr="00FB6B5B" w:rsidRDefault="0025162C" w:rsidP="00C753E2">
            <w:pPr>
              <w:rPr>
                <w:rFonts w:asciiTheme="minorHAnsi" w:hAnsiTheme="minorHAnsi"/>
                <w:i/>
                <w:iCs/>
              </w:rPr>
            </w:pPr>
          </w:p>
        </w:tc>
        <w:tc>
          <w:tcPr>
            <w:tcW w:w="436"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tcPr>
          <w:p w:rsidR="0025162C" w:rsidRPr="00FB6B5B" w:rsidRDefault="0025162C" w:rsidP="00C753E2">
            <w:pPr>
              <w:rPr>
                <w:rFonts w:asciiTheme="minorHAnsi" w:hAnsiTheme="minorHAnsi"/>
              </w:rPr>
            </w:pPr>
          </w:p>
        </w:tc>
        <w:tc>
          <w:tcPr>
            <w:tcW w:w="436"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tcPr>
          <w:p w:rsidR="0025162C" w:rsidRPr="00FB6B5B" w:rsidRDefault="0025162C" w:rsidP="00C753E2">
            <w:pPr>
              <w:rPr>
                <w:rFonts w:asciiTheme="minorHAnsi" w:hAnsiTheme="minorHAnsi"/>
              </w:rPr>
            </w:pPr>
          </w:p>
        </w:tc>
        <w:tc>
          <w:tcPr>
            <w:tcW w:w="436"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tcPr>
          <w:p w:rsidR="0025162C" w:rsidRPr="00FB6B5B" w:rsidRDefault="0025162C" w:rsidP="00C753E2">
            <w:pPr>
              <w:rPr>
                <w:rFonts w:asciiTheme="minorHAnsi" w:hAnsiTheme="minorHAnsi"/>
              </w:rPr>
            </w:pPr>
          </w:p>
        </w:tc>
        <w:tc>
          <w:tcPr>
            <w:tcW w:w="436"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tcPr>
          <w:p w:rsidR="0025162C" w:rsidRPr="00FB6B5B" w:rsidRDefault="0025162C" w:rsidP="00C753E2">
            <w:pPr>
              <w:rPr>
                <w:rFonts w:asciiTheme="minorHAnsi" w:hAnsiTheme="minorHAnsi"/>
              </w:rPr>
            </w:pPr>
          </w:p>
        </w:tc>
        <w:tc>
          <w:tcPr>
            <w:tcW w:w="1170" w:type="pct"/>
            <w:tcBorders>
              <w:top w:val="single" w:sz="8" w:space="0" w:color="000000"/>
              <w:left w:val="single" w:sz="8" w:space="0" w:color="000000"/>
              <w:bottom w:val="single" w:sz="8" w:space="0" w:color="000000"/>
              <w:right w:val="single" w:sz="8" w:space="0" w:color="000000"/>
            </w:tcBorders>
            <w:shd w:val="clear" w:color="auto" w:fill="DCE6F2"/>
            <w:tcMar>
              <w:top w:w="15" w:type="dxa"/>
              <w:left w:w="108" w:type="dxa"/>
              <w:bottom w:w="0" w:type="dxa"/>
              <w:right w:w="108" w:type="dxa"/>
            </w:tcMar>
          </w:tcPr>
          <w:p w:rsidR="0025162C" w:rsidRPr="00FB6B5B" w:rsidRDefault="0025162C" w:rsidP="00C753E2">
            <w:pPr>
              <w:rPr>
                <w:rFonts w:asciiTheme="minorHAnsi" w:hAnsiTheme="minorHAnsi"/>
              </w:rPr>
            </w:pPr>
          </w:p>
        </w:tc>
      </w:tr>
      <w:tr w:rsidR="0025162C" w:rsidRPr="00FB6B5B" w:rsidTr="00C753E2">
        <w:trPr>
          <w:trHeight w:val="714"/>
        </w:trPr>
        <w:tc>
          <w:tcPr>
            <w:tcW w:w="1594" w:type="pct"/>
            <w:tcBorders>
              <w:top w:val="single" w:sz="8" w:space="0" w:color="000000"/>
              <w:left w:val="single" w:sz="8" w:space="0" w:color="000000"/>
              <w:bottom w:val="single" w:sz="8" w:space="0" w:color="000000"/>
              <w:right w:val="single" w:sz="8" w:space="0" w:color="000000"/>
            </w:tcBorders>
            <w:shd w:val="clear" w:color="auto" w:fill="DCE6F2"/>
            <w:tcMar>
              <w:top w:w="15" w:type="dxa"/>
              <w:left w:w="108" w:type="dxa"/>
              <w:bottom w:w="0" w:type="dxa"/>
              <w:right w:w="108" w:type="dxa"/>
            </w:tcMar>
            <w:vAlign w:val="center"/>
          </w:tcPr>
          <w:p w:rsidR="0025162C" w:rsidRPr="00FB6B5B" w:rsidRDefault="0025162C" w:rsidP="00C753E2">
            <w:pPr>
              <w:rPr>
                <w:rFonts w:asciiTheme="minorHAnsi" w:hAnsiTheme="minorHAnsi"/>
              </w:rPr>
            </w:pPr>
            <w:r w:rsidRPr="00FB6B5B">
              <w:rPr>
                <w:rFonts w:asciiTheme="minorHAnsi" w:hAnsiTheme="minorHAnsi"/>
              </w:rPr>
              <w:lastRenderedPageBreak/>
              <w:t>Trend between approved and actual spending</w:t>
            </w:r>
          </w:p>
          <w:p w:rsidR="0025162C" w:rsidRPr="00FB6B5B" w:rsidRDefault="0025162C" w:rsidP="00C753E2">
            <w:pPr>
              <w:rPr>
                <w:rFonts w:asciiTheme="minorHAnsi" w:hAnsiTheme="minorHAnsi"/>
              </w:rPr>
            </w:pPr>
            <w:r w:rsidRPr="00FB6B5B">
              <w:rPr>
                <w:rFonts w:asciiTheme="minorHAnsi" w:hAnsiTheme="minorHAnsi"/>
              </w:rPr>
              <w:t>Trend between commitments and disbursements</w:t>
            </w:r>
          </w:p>
        </w:tc>
        <w:tc>
          <w:tcPr>
            <w:tcW w:w="493"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tcPr>
          <w:p w:rsidR="0025162C" w:rsidRPr="00FB6B5B" w:rsidRDefault="0025162C" w:rsidP="00C753E2">
            <w:pPr>
              <w:rPr>
                <w:rFonts w:asciiTheme="minorHAnsi" w:hAnsiTheme="minorHAnsi"/>
                <w:i/>
                <w:iCs/>
              </w:rPr>
            </w:pPr>
          </w:p>
        </w:tc>
        <w:tc>
          <w:tcPr>
            <w:tcW w:w="436"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tcPr>
          <w:p w:rsidR="0025162C" w:rsidRPr="00FB6B5B" w:rsidRDefault="0025162C" w:rsidP="00C753E2">
            <w:pPr>
              <w:rPr>
                <w:rFonts w:asciiTheme="minorHAnsi" w:hAnsiTheme="minorHAnsi"/>
              </w:rPr>
            </w:pPr>
          </w:p>
        </w:tc>
        <w:tc>
          <w:tcPr>
            <w:tcW w:w="436"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tcPr>
          <w:p w:rsidR="0025162C" w:rsidRPr="00FB6B5B" w:rsidRDefault="0025162C" w:rsidP="00C753E2">
            <w:pPr>
              <w:rPr>
                <w:rFonts w:asciiTheme="minorHAnsi" w:hAnsiTheme="minorHAnsi"/>
              </w:rPr>
            </w:pPr>
          </w:p>
        </w:tc>
        <w:tc>
          <w:tcPr>
            <w:tcW w:w="436"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tcPr>
          <w:p w:rsidR="0025162C" w:rsidRPr="00FB6B5B" w:rsidRDefault="0025162C" w:rsidP="00C753E2">
            <w:pPr>
              <w:rPr>
                <w:rFonts w:asciiTheme="minorHAnsi" w:hAnsiTheme="minorHAnsi"/>
              </w:rPr>
            </w:pPr>
          </w:p>
        </w:tc>
        <w:tc>
          <w:tcPr>
            <w:tcW w:w="436"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tcPr>
          <w:p w:rsidR="0025162C" w:rsidRPr="00FB6B5B" w:rsidRDefault="0025162C" w:rsidP="00C753E2">
            <w:pPr>
              <w:rPr>
                <w:rFonts w:asciiTheme="minorHAnsi" w:hAnsiTheme="minorHAnsi"/>
              </w:rPr>
            </w:pPr>
          </w:p>
        </w:tc>
        <w:tc>
          <w:tcPr>
            <w:tcW w:w="1170" w:type="pct"/>
            <w:tcBorders>
              <w:top w:val="single" w:sz="8" w:space="0" w:color="000000"/>
              <w:left w:val="single" w:sz="8" w:space="0" w:color="000000"/>
              <w:bottom w:val="single" w:sz="8" w:space="0" w:color="000000"/>
              <w:right w:val="single" w:sz="8" w:space="0" w:color="000000"/>
            </w:tcBorders>
            <w:shd w:val="clear" w:color="auto" w:fill="DCE6F2"/>
            <w:tcMar>
              <w:top w:w="15" w:type="dxa"/>
              <w:left w:w="108" w:type="dxa"/>
              <w:bottom w:w="0" w:type="dxa"/>
              <w:right w:w="108" w:type="dxa"/>
            </w:tcMar>
          </w:tcPr>
          <w:p w:rsidR="0025162C" w:rsidRPr="00FB6B5B" w:rsidRDefault="0025162C" w:rsidP="00C753E2">
            <w:pPr>
              <w:rPr>
                <w:rFonts w:asciiTheme="minorHAnsi" w:hAnsiTheme="minorHAnsi"/>
              </w:rPr>
            </w:pPr>
          </w:p>
        </w:tc>
      </w:tr>
    </w:tbl>
    <w:p w:rsidR="0025162C" w:rsidRDefault="0025162C" w:rsidP="0025162C">
      <w:pPr>
        <w:rPr>
          <w:b/>
        </w:rPr>
      </w:pPr>
    </w:p>
    <w:p w:rsidR="0025162C" w:rsidRDefault="0025162C" w:rsidP="0025162C">
      <w:pPr>
        <w:rPr>
          <w:b/>
        </w:rPr>
      </w:pPr>
    </w:p>
    <w:p w:rsidR="0025162C" w:rsidRDefault="0025162C" w:rsidP="0025162C">
      <w:pPr>
        <w:rPr>
          <w:b/>
        </w:rPr>
      </w:pPr>
    </w:p>
    <w:p w:rsidR="0025162C" w:rsidRDefault="0025162C" w:rsidP="0025162C">
      <w:pPr>
        <w:rPr>
          <w:b/>
        </w:rPr>
      </w:pPr>
    </w:p>
    <w:tbl>
      <w:tblPr>
        <w:tblpPr w:leftFromText="180" w:rightFromText="180" w:horzAnchor="margin" w:tblpY="788"/>
        <w:tblW w:w="5000" w:type="pct"/>
        <w:tblCellMar>
          <w:left w:w="0" w:type="dxa"/>
          <w:right w:w="0" w:type="dxa"/>
        </w:tblCellMar>
        <w:tblLook w:val="0420" w:firstRow="1" w:lastRow="0" w:firstColumn="0" w:lastColumn="0" w:noHBand="0" w:noVBand="1"/>
      </w:tblPr>
      <w:tblGrid>
        <w:gridCol w:w="2773"/>
        <w:gridCol w:w="951"/>
        <w:gridCol w:w="1039"/>
        <w:gridCol w:w="1039"/>
        <w:gridCol w:w="1039"/>
        <w:gridCol w:w="1039"/>
        <w:gridCol w:w="1696"/>
      </w:tblGrid>
      <w:tr w:rsidR="0025162C" w:rsidRPr="0054654F" w:rsidTr="00C753E2">
        <w:trPr>
          <w:trHeight w:val="714"/>
        </w:trPr>
        <w:tc>
          <w:tcPr>
            <w:tcW w:w="1589" w:type="pct"/>
            <w:tcBorders>
              <w:top w:val="single" w:sz="8" w:space="0" w:color="000000"/>
              <w:left w:val="single" w:sz="8" w:space="0" w:color="000000"/>
              <w:bottom w:val="single" w:sz="8" w:space="0" w:color="000000"/>
              <w:right w:val="single" w:sz="8" w:space="0" w:color="000000"/>
            </w:tcBorders>
            <w:shd w:val="clear" w:color="auto" w:fill="DCE6F2"/>
            <w:tcMar>
              <w:top w:w="15" w:type="dxa"/>
              <w:left w:w="108" w:type="dxa"/>
              <w:bottom w:w="0" w:type="dxa"/>
              <w:right w:w="108" w:type="dxa"/>
            </w:tcMar>
            <w:vAlign w:val="center"/>
            <w:hideMark/>
          </w:tcPr>
          <w:p w:rsidR="0025162C" w:rsidRPr="0054654F" w:rsidRDefault="0025162C" w:rsidP="00C753E2">
            <w:pPr>
              <w:rPr>
                <w:rFonts w:asciiTheme="minorHAnsi" w:hAnsiTheme="minorHAnsi"/>
              </w:rPr>
            </w:pPr>
            <w:r w:rsidRPr="0054654F">
              <w:rPr>
                <w:rFonts w:asciiTheme="minorHAnsi" w:hAnsiTheme="minorHAnsi"/>
              </w:rPr>
              <w:lastRenderedPageBreak/>
              <w:t>Profits generated at central hospitals through paying services</w:t>
            </w:r>
          </w:p>
        </w:tc>
        <w:tc>
          <w:tcPr>
            <w:tcW w:w="497"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25162C" w:rsidRPr="0054654F" w:rsidRDefault="0025162C" w:rsidP="00C753E2">
            <w:pPr>
              <w:rPr>
                <w:rFonts w:asciiTheme="minorHAnsi" w:hAnsiTheme="minorHAnsi"/>
              </w:rPr>
            </w:pPr>
            <w:r w:rsidRPr="0054654F">
              <w:rPr>
                <w:rFonts w:asciiTheme="minorHAnsi" w:hAnsiTheme="minorHAnsi"/>
                <w:i/>
                <w:iCs/>
              </w:rPr>
              <w:t>$0</w:t>
            </w:r>
          </w:p>
        </w:tc>
        <w:tc>
          <w:tcPr>
            <w:tcW w:w="437"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25162C" w:rsidRPr="0054654F" w:rsidRDefault="0025162C" w:rsidP="00C753E2">
            <w:pPr>
              <w:rPr>
                <w:rFonts w:asciiTheme="minorHAnsi" w:hAnsiTheme="minorHAnsi"/>
              </w:rPr>
            </w:pPr>
            <w:r w:rsidRPr="0054654F">
              <w:rPr>
                <w:rFonts w:asciiTheme="minorHAnsi" w:hAnsiTheme="minorHAnsi"/>
              </w:rPr>
              <w:t>$1 M</w:t>
            </w:r>
          </w:p>
        </w:tc>
        <w:tc>
          <w:tcPr>
            <w:tcW w:w="437"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25162C" w:rsidRPr="0054654F" w:rsidRDefault="0025162C" w:rsidP="00C753E2">
            <w:pPr>
              <w:rPr>
                <w:rFonts w:asciiTheme="minorHAnsi" w:hAnsiTheme="minorHAnsi"/>
              </w:rPr>
            </w:pPr>
            <w:r w:rsidRPr="0054654F">
              <w:rPr>
                <w:rFonts w:asciiTheme="minorHAnsi" w:hAnsiTheme="minorHAnsi"/>
              </w:rPr>
              <w:t>$2 M</w:t>
            </w:r>
          </w:p>
        </w:tc>
        <w:tc>
          <w:tcPr>
            <w:tcW w:w="437"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25162C" w:rsidRPr="0054654F" w:rsidRDefault="0025162C" w:rsidP="00C753E2">
            <w:pPr>
              <w:rPr>
                <w:rFonts w:asciiTheme="minorHAnsi" w:hAnsiTheme="minorHAnsi"/>
              </w:rPr>
            </w:pPr>
            <w:r w:rsidRPr="0054654F">
              <w:rPr>
                <w:rFonts w:asciiTheme="minorHAnsi" w:hAnsiTheme="minorHAnsi"/>
              </w:rPr>
              <w:t>$3 M</w:t>
            </w:r>
          </w:p>
        </w:tc>
        <w:tc>
          <w:tcPr>
            <w:tcW w:w="437"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25162C" w:rsidRPr="0054654F" w:rsidRDefault="0025162C" w:rsidP="00C753E2">
            <w:pPr>
              <w:rPr>
                <w:rFonts w:asciiTheme="minorHAnsi" w:hAnsiTheme="minorHAnsi"/>
              </w:rPr>
            </w:pPr>
            <w:r w:rsidRPr="0054654F">
              <w:rPr>
                <w:rFonts w:asciiTheme="minorHAnsi" w:hAnsiTheme="minorHAnsi"/>
              </w:rPr>
              <w:t>$3.5 M</w:t>
            </w:r>
          </w:p>
        </w:tc>
        <w:tc>
          <w:tcPr>
            <w:tcW w:w="1166" w:type="pct"/>
            <w:tcBorders>
              <w:top w:val="single" w:sz="8" w:space="0" w:color="000000"/>
              <w:left w:val="single" w:sz="8" w:space="0" w:color="000000"/>
              <w:bottom w:val="single" w:sz="8" w:space="0" w:color="000000"/>
              <w:right w:val="single" w:sz="8" w:space="0" w:color="000000"/>
            </w:tcBorders>
            <w:shd w:val="clear" w:color="auto" w:fill="DCE6F2"/>
            <w:tcMar>
              <w:top w:w="15" w:type="dxa"/>
              <w:left w:w="108" w:type="dxa"/>
              <w:bottom w:w="0" w:type="dxa"/>
              <w:right w:w="108" w:type="dxa"/>
            </w:tcMar>
            <w:hideMark/>
          </w:tcPr>
          <w:p w:rsidR="0025162C" w:rsidRPr="0054654F" w:rsidRDefault="0025162C" w:rsidP="00C753E2">
            <w:pPr>
              <w:rPr>
                <w:rFonts w:asciiTheme="minorHAnsi" w:hAnsiTheme="minorHAnsi"/>
              </w:rPr>
            </w:pPr>
            <w:r w:rsidRPr="0054654F">
              <w:rPr>
                <w:rFonts w:asciiTheme="minorHAnsi" w:hAnsiTheme="minorHAnsi"/>
              </w:rPr>
              <w:t>Revenue collected minus capital and recurrent administrative costs</w:t>
            </w:r>
          </w:p>
        </w:tc>
      </w:tr>
      <w:tr w:rsidR="00890C3D" w:rsidRPr="0054654F" w:rsidTr="00C753E2">
        <w:trPr>
          <w:trHeight w:val="957"/>
        </w:trPr>
        <w:tc>
          <w:tcPr>
            <w:tcW w:w="1589" w:type="pct"/>
            <w:tcBorders>
              <w:top w:val="single" w:sz="8" w:space="0" w:color="000000"/>
              <w:left w:val="single" w:sz="8" w:space="0" w:color="000000"/>
              <w:bottom w:val="single" w:sz="8" w:space="0" w:color="000000"/>
              <w:right w:val="single" w:sz="8" w:space="0" w:color="000000"/>
            </w:tcBorders>
            <w:shd w:val="clear" w:color="auto" w:fill="DCE6F2"/>
            <w:tcMar>
              <w:top w:w="15" w:type="dxa"/>
              <w:left w:w="108" w:type="dxa"/>
              <w:bottom w:w="0" w:type="dxa"/>
              <w:right w:w="108" w:type="dxa"/>
            </w:tcMar>
            <w:vAlign w:val="center"/>
            <w:hideMark/>
          </w:tcPr>
          <w:p w:rsidR="00890C3D" w:rsidRPr="0054654F" w:rsidRDefault="00890C3D" w:rsidP="00C753E2">
            <w:pPr>
              <w:rPr>
                <w:rFonts w:asciiTheme="minorHAnsi" w:hAnsiTheme="minorHAnsi"/>
              </w:rPr>
            </w:pPr>
            <w:r w:rsidRPr="0054654F">
              <w:rPr>
                <w:rFonts w:asciiTheme="minorHAnsi" w:hAnsiTheme="minorHAnsi"/>
              </w:rPr>
              <w:t>Health Financing Summit held in February/March to prepare for annual gov’t budgeting cycle</w:t>
            </w:r>
          </w:p>
        </w:tc>
        <w:tc>
          <w:tcPr>
            <w:tcW w:w="497" w:type="pct"/>
            <w:tcBorders>
              <w:top w:val="single" w:sz="8" w:space="0" w:color="000000"/>
              <w:left w:val="single" w:sz="8" w:space="0" w:color="000000"/>
              <w:bottom w:val="single" w:sz="8" w:space="0" w:color="000000"/>
              <w:right w:val="single" w:sz="8" w:space="0" w:color="000000"/>
            </w:tcBorders>
            <w:shd w:val="clear" w:color="auto" w:fill="DCE6F2"/>
            <w:tcMar>
              <w:top w:w="15" w:type="dxa"/>
              <w:left w:w="108" w:type="dxa"/>
              <w:bottom w:w="0" w:type="dxa"/>
              <w:right w:w="108" w:type="dxa"/>
            </w:tcMar>
            <w:vAlign w:val="center"/>
            <w:hideMark/>
          </w:tcPr>
          <w:p w:rsidR="00890C3D" w:rsidRPr="0054654F" w:rsidRDefault="00890C3D" w:rsidP="00C753E2">
            <w:pPr>
              <w:rPr>
                <w:rFonts w:asciiTheme="minorHAnsi" w:hAnsiTheme="minorHAnsi"/>
              </w:rPr>
            </w:pPr>
            <w:r w:rsidRPr="0054654F">
              <w:rPr>
                <w:rFonts w:asciiTheme="minorHAnsi" w:hAnsiTheme="minorHAnsi"/>
                <w:i/>
                <w:iCs/>
              </w:rPr>
              <w:t>No meeting</w:t>
            </w:r>
          </w:p>
        </w:tc>
        <w:tc>
          <w:tcPr>
            <w:tcW w:w="437"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890C3D" w:rsidRPr="000704D0" w:rsidRDefault="00890C3D" w:rsidP="00504416">
            <w:r w:rsidRPr="000704D0">
              <w:t>Meeting held</w:t>
            </w:r>
          </w:p>
        </w:tc>
        <w:tc>
          <w:tcPr>
            <w:tcW w:w="437"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890C3D" w:rsidRPr="000704D0" w:rsidRDefault="00890C3D" w:rsidP="00504416">
            <w:r w:rsidRPr="000704D0">
              <w:t>Meeting held</w:t>
            </w:r>
          </w:p>
        </w:tc>
        <w:tc>
          <w:tcPr>
            <w:tcW w:w="437"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890C3D" w:rsidRPr="000704D0" w:rsidRDefault="00890C3D" w:rsidP="00504416">
            <w:r w:rsidRPr="000704D0">
              <w:t>Meeting held</w:t>
            </w:r>
          </w:p>
        </w:tc>
        <w:tc>
          <w:tcPr>
            <w:tcW w:w="437" w:type="pct"/>
            <w:tcBorders>
              <w:top w:val="single" w:sz="8" w:space="0" w:color="000000"/>
              <w:left w:val="single" w:sz="8" w:space="0" w:color="000000"/>
              <w:bottom w:val="single" w:sz="8" w:space="0" w:color="000000"/>
              <w:right w:val="single" w:sz="8" w:space="0" w:color="000000"/>
            </w:tcBorders>
            <w:shd w:val="clear" w:color="auto" w:fill="DCE6F2"/>
            <w:tcMar>
              <w:top w:w="72" w:type="dxa"/>
              <w:left w:w="144" w:type="dxa"/>
              <w:bottom w:w="72" w:type="dxa"/>
              <w:right w:w="144" w:type="dxa"/>
            </w:tcMar>
            <w:vAlign w:val="center"/>
            <w:hideMark/>
          </w:tcPr>
          <w:p w:rsidR="00890C3D" w:rsidRPr="000704D0" w:rsidRDefault="00890C3D" w:rsidP="00504416">
            <w:r w:rsidRPr="000704D0">
              <w:t>Meeting held</w:t>
            </w:r>
          </w:p>
        </w:tc>
        <w:tc>
          <w:tcPr>
            <w:tcW w:w="1166" w:type="pct"/>
            <w:tcBorders>
              <w:top w:val="single" w:sz="8" w:space="0" w:color="000000"/>
              <w:left w:val="single" w:sz="8" w:space="0" w:color="000000"/>
              <w:bottom w:val="single" w:sz="8" w:space="0" w:color="000000"/>
              <w:right w:val="single" w:sz="8" w:space="0" w:color="000000"/>
            </w:tcBorders>
            <w:shd w:val="clear" w:color="auto" w:fill="DCE6F2"/>
            <w:tcMar>
              <w:top w:w="15" w:type="dxa"/>
              <w:left w:w="108" w:type="dxa"/>
              <w:bottom w:w="0" w:type="dxa"/>
              <w:right w:w="108" w:type="dxa"/>
            </w:tcMar>
            <w:vAlign w:val="center"/>
            <w:hideMark/>
          </w:tcPr>
          <w:p w:rsidR="00890C3D" w:rsidRPr="0054654F" w:rsidRDefault="00890C3D" w:rsidP="00C753E2">
            <w:pPr>
              <w:rPr>
                <w:rFonts w:asciiTheme="minorHAnsi" w:hAnsiTheme="minorHAnsi"/>
              </w:rPr>
            </w:pPr>
            <w:r w:rsidRPr="0054654F">
              <w:rPr>
                <w:rFonts w:asciiTheme="minorHAnsi" w:hAnsiTheme="minorHAnsi"/>
              </w:rPr>
              <w:t>Meeting held</w:t>
            </w:r>
          </w:p>
        </w:tc>
      </w:tr>
      <w:tr w:rsidR="0025162C" w:rsidRPr="0054654F" w:rsidTr="00C753E2">
        <w:trPr>
          <w:trHeight w:val="714"/>
        </w:trPr>
        <w:tc>
          <w:tcPr>
            <w:tcW w:w="1589" w:type="pct"/>
            <w:tcBorders>
              <w:top w:val="single" w:sz="8" w:space="0" w:color="000000"/>
              <w:left w:val="single" w:sz="8" w:space="0" w:color="000000"/>
              <w:bottom w:val="single" w:sz="8" w:space="0" w:color="000000"/>
              <w:right w:val="single" w:sz="8" w:space="0" w:color="000000"/>
            </w:tcBorders>
            <w:shd w:val="clear" w:color="auto" w:fill="FDEADA"/>
            <w:tcMar>
              <w:top w:w="15" w:type="dxa"/>
              <w:left w:w="108" w:type="dxa"/>
              <w:bottom w:w="0" w:type="dxa"/>
              <w:right w:w="108" w:type="dxa"/>
            </w:tcMar>
            <w:vAlign w:val="center"/>
            <w:hideMark/>
          </w:tcPr>
          <w:p w:rsidR="0025162C" w:rsidRPr="0054654F" w:rsidRDefault="0025162C" w:rsidP="00C753E2">
            <w:pPr>
              <w:rPr>
                <w:rFonts w:asciiTheme="minorHAnsi" w:hAnsiTheme="minorHAnsi"/>
              </w:rPr>
            </w:pPr>
            <w:r w:rsidRPr="0054654F">
              <w:rPr>
                <w:rFonts w:asciiTheme="minorHAnsi" w:hAnsiTheme="minorHAnsi"/>
              </w:rPr>
              <w:t>Total funding available for pre-service training</w:t>
            </w:r>
          </w:p>
        </w:tc>
        <w:tc>
          <w:tcPr>
            <w:tcW w:w="497" w:type="pct"/>
            <w:tcBorders>
              <w:top w:val="single" w:sz="8" w:space="0" w:color="000000"/>
              <w:left w:val="single" w:sz="8" w:space="0" w:color="000000"/>
              <w:bottom w:val="single" w:sz="8" w:space="0" w:color="000000"/>
              <w:right w:val="single" w:sz="8" w:space="0" w:color="000000"/>
            </w:tcBorders>
            <w:shd w:val="clear" w:color="auto" w:fill="FDEADA"/>
            <w:tcMar>
              <w:top w:w="72" w:type="dxa"/>
              <w:left w:w="144" w:type="dxa"/>
              <w:bottom w:w="72" w:type="dxa"/>
              <w:right w:w="144" w:type="dxa"/>
            </w:tcMar>
            <w:vAlign w:val="center"/>
            <w:hideMark/>
          </w:tcPr>
          <w:p w:rsidR="0025162C" w:rsidRPr="0054654F" w:rsidRDefault="0025162C" w:rsidP="00C753E2">
            <w:pPr>
              <w:rPr>
                <w:rFonts w:asciiTheme="minorHAnsi" w:hAnsiTheme="minorHAnsi"/>
              </w:rPr>
            </w:pPr>
            <w:r w:rsidRPr="0054654F">
              <w:rPr>
                <w:rFonts w:asciiTheme="minorHAnsi" w:hAnsiTheme="minorHAnsi"/>
              </w:rPr>
              <w:t>$17 M</w:t>
            </w:r>
          </w:p>
        </w:tc>
        <w:tc>
          <w:tcPr>
            <w:tcW w:w="437" w:type="pct"/>
            <w:tcBorders>
              <w:top w:val="single" w:sz="8" w:space="0" w:color="000000"/>
              <w:left w:val="single" w:sz="8" w:space="0" w:color="000000"/>
              <w:bottom w:val="single" w:sz="8" w:space="0" w:color="000000"/>
              <w:right w:val="single" w:sz="8" w:space="0" w:color="000000"/>
            </w:tcBorders>
            <w:shd w:val="clear" w:color="auto" w:fill="FDEADA"/>
            <w:tcMar>
              <w:top w:w="72" w:type="dxa"/>
              <w:left w:w="144" w:type="dxa"/>
              <w:bottom w:w="72" w:type="dxa"/>
              <w:right w:w="144" w:type="dxa"/>
            </w:tcMar>
            <w:vAlign w:val="center"/>
            <w:hideMark/>
          </w:tcPr>
          <w:p w:rsidR="0025162C" w:rsidRPr="0054654F" w:rsidRDefault="0025162C" w:rsidP="00C753E2">
            <w:pPr>
              <w:rPr>
                <w:rFonts w:asciiTheme="minorHAnsi" w:hAnsiTheme="minorHAnsi"/>
              </w:rPr>
            </w:pPr>
            <w:r w:rsidRPr="0054654F">
              <w:rPr>
                <w:rFonts w:asciiTheme="minorHAnsi" w:hAnsiTheme="minorHAnsi"/>
              </w:rPr>
              <w:t>$20 M</w:t>
            </w:r>
          </w:p>
        </w:tc>
        <w:tc>
          <w:tcPr>
            <w:tcW w:w="437" w:type="pct"/>
            <w:tcBorders>
              <w:top w:val="single" w:sz="8" w:space="0" w:color="000000"/>
              <w:left w:val="single" w:sz="8" w:space="0" w:color="000000"/>
              <w:bottom w:val="single" w:sz="8" w:space="0" w:color="000000"/>
              <w:right w:val="single" w:sz="8" w:space="0" w:color="000000"/>
            </w:tcBorders>
            <w:shd w:val="clear" w:color="auto" w:fill="FDEADA"/>
            <w:tcMar>
              <w:top w:w="72" w:type="dxa"/>
              <w:left w:w="144" w:type="dxa"/>
              <w:bottom w:w="72" w:type="dxa"/>
              <w:right w:w="144" w:type="dxa"/>
            </w:tcMar>
            <w:vAlign w:val="center"/>
            <w:hideMark/>
          </w:tcPr>
          <w:p w:rsidR="0025162C" w:rsidRPr="0054654F" w:rsidRDefault="0025162C" w:rsidP="00C753E2">
            <w:pPr>
              <w:rPr>
                <w:rFonts w:asciiTheme="minorHAnsi" w:hAnsiTheme="minorHAnsi"/>
              </w:rPr>
            </w:pPr>
            <w:r w:rsidRPr="0054654F">
              <w:rPr>
                <w:rFonts w:asciiTheme="minorHAnsi" w:hAnsiTheme="minorHAnsi"/>
              </w:rPr>
              <w:t>$23 M</w:t>
            </w:r>
          </w:p>
        </w:tc>
        <w:tc>
          <w:tcPr>
            <w:tcW w:w="437" w:type="pct"/>
            <w:tcBorders>
              <w:top w:val="single" w:sz="8" w:space="0" w:color="000000"/>
              <w:left w:val="single" w:sz="8" w:space="0" w:color="000000"/>
              <w:bottom w:val="single" w:sz="8" w:space="0" w:color="000000"/>
              <w:right w:val="single" w:sz="8" w:space="0" w:color="000000"/>
            </w:tcBorders>
            <w:shd w:val="clear" w:color="auto" w:fill="FDEADA"/>
            <w:tcMar>
              <w:top w:w="72" w:type="dxa"/>
              <w:left w:w="144" w:type="dxa"/>
              <w:bottom w:w="72" w:type="dxa"/>
              <w:right w:w="144" w:type="dxa"/>
            </w:tcMar>
            <w:vAlign w:val="center"/>
            <w:hideMark/>
          </w:tcPr>
          <w:p w:rsidR="0025162C" w:rsidRPr="0054654F" w:rsidRDefault="0025162C" w:rsidP="00C753E2">
            <w:pPr>
              <w:rPr>
                <w:rFonts w:asciiTheme="minorHAnsi" w:hAnsiTheme="minorHAnsi"/>
              </w:rPr>
            </w:pPr>
            <w:r w:rsidRPr="0054654F">
              <w:rPr>
                <w:rFonts w:asciiTheme="minorHAnsi" w:hAnsiTheme="minorHAnsi"/>
              </w:rPr>
              <w:t>$26 M</w:t>
            </w:r>
          </w:p>
        </w:tc>
        <w:tc>
          <w:tcPr>
            <w:tcW w:w="437" w:type="pct"/>
            <w:tcBorders>
              <w:top w:val="single" w:sz="8" w:space="0" w:color="000000"/>
              <w:left w:val="single" w:sz="8" w:space="0" w:color="000000"/>
              <w:bottom w:val="single" w:sz="8" w:space="0" w:color="000000"/>
              <w:right w:val="single" w:sz="8" w:space="0" w:color="000000"/>
            </w:tcBorders>
            <w:shd w:val="clear" w:color="auto" w:fill="FDEADA"/>
            <w:tcMar>
              <w:top w:w="72" w:type="dxa"/>
              <w:left w:w="144" w:type="dxa"/>
              <w:bottom w:w="72" w:type="dxa"/>
              <w:right w:w="144" w:type="dxa"/>
            </w:tcMar>
            <w:vAlign w:val="center"/>
            <w:hideMark/>
          </w:tcPr>
          <w:p w:rsidR="0025162C" w:rsidRPr="0054654F" w:rsidRDefault="0025162C" w:rsidP="00C753E2">
            <w:pPr>
              <w:rPr>
                <w:rFonts w:asciiTheme="minorHAnsi" w:hAnsiTheme="minorHAnsi"/>
              </w:rPr>
            </w:pPr>
            <w:r w:rsidRPr="0054654F">
              <w:rPr>
                <w:rFonts w:asciiTheme="minorHAnsi" w:hAnsiTheme="minorHAnsi"/>
              </w:rPr>
              <w:t>$29 M</w:t>
            </w:r>
          </w:p>
        </w:tc>
        <w:tc>
          <w:tcPr>
            <w:tcW w:w="1166" w:type="pct"/>
            <w:tcBorders>
              <w:top w:val="single" w:sz="8" w:space="0" w:color="000000"/>
              <w:left w:val="single" w:sz="8" w:space="0" w:color="000000"/>
              <w:bottom w:val="single" w:sz="8" w:space="0" w:color="000000"/>
              <w:right w:val="single" w:sz="8" w:space="0" w:color="000000"/>
            </w:tcBorders>
            <w:shd w:val="clear" w:color="auto" w:fill="FDEADA"/>
            <w:tcMar>
              <w:top w:w="15" w:type="dxa"/>
              <w:left w:w="108" w:type="dxa"/>
              <w:bottom w:w="0" w:type="dxa"/>
              <w:right w:w="108" w:type="dxa"/>
            </w:tcMar>
            <w:hideMark/>
          </w:tcPr>
          <w:p w:rsidR="0025162C" w:rsidRPr="0054654F" w:rsidRDefault="0025162C" w:rsidP="00C753E2">
            <w:pPr>
              <w:rPr>
                <w:rFonts w:asciiTheme="minorHAnsi" w:hAnsiTheme="minorHAnsi"/>
              </w:rPr>
            </w:pPr>
            <w:r w:rsidRPr="0054654F">
              <w:rPr>
                <w:rFonts w:asciiTheme="minorHAnsi" w:hAnsiTheme="minorHAnsi"/>
              </w:rPr>
              <w:t>Absolute funding for pre-service training, measured by resource mapping</w:t>
            </w:r>
          </w:p>
        </w:tc>
      </w:tr>
      <w:tr w:rsidR="0025162C" w:rsidRPr="0054654F" w:rsidTr="00C753E2">
        <w:trPr>
          <w:trHeight w:val="714"/>
        </w:trPr>
        <w:tc>
          <w:tcPr>
            <w:tcW w:w="1589" w:type="pct"/>
            <w:tcBorders>
              <w:top w:val="single" w:sz="8" w:space="0" w:color="000000"/>
              <w:left w:val="single" w:sz="8" w:space="0" w:color="000000"/>
              <w:bottom w:val="single" w:sz="8" w:space="0" w:color="000000"/>
              <w:right w:val="single" w:sz="8" w:space="0" w:color="000000"/>
            </w:tcBorders>
            <w:shd w:val="clear" w:color="auto" w:fill="FDEADA"/>
            <w:tcMar>
              <w:top w:w="15" w:type="dxa"/>
              <w:left w:w="108" w:type="dxa"/>
              <w:bottom w:w="0" w:type="dxa"/>
              <w:right w:w="108" w:type="dxa"/>
            </w:tcMar>
            <w:vAlign w:val="center"/>
            <w:hideMark/>
          </w:tcPr>
          <w:p w:rsidR="0025162C" w:rsidRPr="0054654F" w:rsidRDefault="0025162C" w:rsidP="00C753E2">
            <w:pPr>
              <w:rPr>
                <w:rFonts w:asciiTheme="minorHAnsi" w:hAnsiTheme="minorHAnsi"/>
              </w:rPr>
            </w:pPr>
            <w:r w:rsidRPr="0054654F">
              <w:rPr>
                <w:rFonts w:asciiTheme="minorHAnsi" w:hAnsiTheme="minorHAnsi"/>
              </w:rPr>
              <w:t>No. of health centers established as cost centers</w:t>
            </w:r>
          </w:p>
        </w:tc>
        <w:tc>
          <w:tcPr>
            <w:tcW w:w="497" w:type="pct"/>
            <w:tcBorders>
              <w:top w:val="single" w:sz="8" w:space="0" w:color="000000"/>
              <w:left w:val="single" w:sz="8" w:space="0" w:color="000000"/>
              <w:bottom w:val="single" w:sz="8" w:space="0" w:color="000000"/>
              <w:right w:val="single" w:sz="8" w:space="0" w:color="000000"/>
            </w:tcBorders>
            <w:shd w:val="clear" w:color="auto" w:fill="FDEADA"/>
            <w:tcMar>
              <w:top w:w="15" w:type="dxa"/>
              <w:left w:w="108" w:type="dxa"/>
              <w:bottom w:w="0" w:type="dxa"/>
              <w:right w:w="108" w:type="dxa"/>
            </w:tcMar>
            <w:vAlign w:val="center"/>
            <w:hideMark/>
          </w:tcPr>
          <w:p w:rsidR="0025162C" w:rsidRPr="0054654F" w:rsidRDefault="0025162C" w:rsidP="00C753E2">
            <w:pPr>
              <w:rPr>
                <w:rFonts w:asciiTheme="minorHAnsi" w:hAnsiTheme="minorHAnsi"/>
              </w:rPr>
            </w:pPr>
            <w:r w:rsidRPr="0054654F">
              <w:rPr>
                <w:rFonts w:asciiTheme="minorHAnsi" w:hAnsiTheme="minorHAnsi"/>
                <w:i/>
                <w:iCs/>
              </w:rPr>
              <w:t>0</w:t>
            </w:r>
          </w:p>
        </w:tc>
        <w:tc>
          <w:tcPr>
            <w:tcW w:w="437" w:type="pct"/>
            <w:tcBorders>
              <w:top w:val="single" w:sz="8" w:space="0" w:color="000000"/>
              <w:left w:val="single" w:sz="8" w:space="0" w:color="000000"/>
              <w:bottom w:val="single" w:sz="8" w:space="0" w:color="000000"/>
              <w:right w:val="single" w:sz="8" w:space="0" w:color="000000"/>
            </w:tcBorders>
            <w:shd w:val="clear" w:color="auto" w:fill="FDEADA"/>
            <w:tcMar>
              <w:top w:w="72" w:type="dxa"/>
              <w:left w:w="144" w:type="dxa"/>
              <w:bottom w:w="72" w:type="dxa"/>
              <w:right w:w="144" w:type="dxa"/>
            </w:tcMar>
            <w:vAlign w:val="center"/>
            <w:hideMark/>
          </w:tcPr>
          <w:p w:rsidR="0025162C" w:rsidRPr="0054654F" w:rsidRDefault="0025162C" w:rsidP="00C753E2">
            <w:pPr>
              <w:rPr>
                <w:rFonts w:asciiTheme="minorHAnsi" w:hAnsiTheme="minorHAnsi"/>
              </w:rPr>
            </w:pPr>
            <w:r w:rsidRPr="0054654F">
              <w:rPr>
                <w:rFonts w:asciiTheme="minorHAnsi" w:hAnsiTheme="minorHAnsi"/>
              </w:rPr>
              <w:t>4</w:t>
            </w:r>
          </w:p>
        </w:tc>
        <w:tc>
          <w:tcPr>
            <w:tcW w:w="437" w:type="pct"/>
            <w:tcBorders>
              <w:top w:val="single" w:sz="8" w:space="0" w:color="000000"/>
              <w:left w:val="single" w:sz="8" w:space="0" w:color="000000"/>
              <w:bottom w:val="single" w:sz="8" w:space="0" w:color="000000"/>
              <w:right w:val="single" w:sz="8" w:space="0" w:color="000000"/>
            </w:tcBorders>
            <w:shd w:val="clear" w:color="auto" w:fill="FDEADA"/>
            <w:tcMar>
              <w:top w:w="72" w:type="dxa"/>
              <w:left w:w="144" w:type="dxa"/>
              <w:bottom w:w="72" w:type="dxa"/>
              <w:right w:w="144" w:type="dxa"/>
            </w:tcMar>
            <w:vAlign w:val="center"/>
            <w:hideMark/>
          </w:tcPr>
          <w:p w:rsidR="0025162C" w:rsidRPr="0054654F" w:rsidRDefault="0025162C" w:rsidP="00C753E2">
            <w:pPr>
              <w:rPr>
                <w:rFonts w:asciiTheme="minorHAnsi" w:hAnsiTheme="minorHAnsi"/>
              </w:rPr>
            </w:pPr>
            <w:r w:rsidRPr="0054654F">
              <w:rPr>
                <w:rFonts w:asciiTheme="minorHAnsi" w:hAnsiTheme="minorHAnsi"/>
              </w:rPr>
              <w:t>6</w:t>
            </w:r>
          </w:p>
        </w:tc>
        <w:tc>
          <w:tcPr>
            <w:tcW w:w="437" w:type="pct"/>
            <w:tcBorders>
              <w:top w:val="single" w:sz="8" w:space="0" w:color="000000"/>
              <w:left w:val="single" w:sz="8" w:space="0" w:color="000000"/>
              <w:bottom w:val="single" w:sz="8" w:space="0" w:color="000000"/>
              <w:right w:val="single" w:sz="8" w:space="0" w:color="000000"/>
            </w:tcBorders>
            <w:shd w:val="clear" w:color="auto" w:fill="FDEADA"/>
            <w:tcMar>
              <w:top w:w="72" w:type="dxa"/>
              <w:left w:w="144" w:type="dxa"/>
              <w:bottom w:w="72" w:type="dxa"/>
              <w:right w:w="144" w:type="dxa"/>
            </w:tcMar>
            <w:vAlign w:val="center"/>
            <w:hideMark/>
          </w:tcPr>
          <w:p w:rsidR="0025162C" w:rsidRPr="0054654F" w:rsidRDefault="0025162C" w:rsidP="00C753E2">
            <w:pPr>
              <w:rPr>
                <w:rFonts w:asciiTheme="minorHAnsi" w:hAnsiTheme="minorHAnsi"/>
              </w:rPr>
            </w:pPr>
            <w:r w:rsidRPr="0054654F">
              <w:rPr>
                <w:rFonts w:asciiTheme="minorHAnsi" w:hAnsiTheme="minorHAnsi"/>
              </w:rPr>
              <w:t>8</w:t>
            </w:r>
          </w:p>
        </w:tc>
        <w:tc>
          <w:tcPr>
            <w:tcW w:w="437" w:type="pct"/>
            <w:tcBorders>
              <w:top w:val="single" w:sz="8" w:space="0" w:color="000000"/>
              <w:left w:val="single" w:sz="8" w:space="0" w:color="000000"/>
              <w:bottom w:val="single" w:sz="8" w:space="0" w:color="000000"/>
              <w:right w:val="single" w:sz="8" w:space="0" w:color="000000"/>
            </w:tcBorders>
            <w:shd w:val="clear" w:color="auto" w:fill="FDEADA"/>
            <w:tcMar>
              <w:top w:w="72" w:type="dxa"/>
              <w:left w:w="144" w:type="dxa"/>
              <w:bottom w:w="72" w:type="dxa"/>
              <w:right w:w="144" w:type="dxa"/>
            </w:tcMar>
            <w:vAlign w:val="center"/>
            <w:hideMark/>
          </w:tcPr>
          <w:p w:rsidR="0025162C" w:rsidRPr="0054654F" w:rsidRDefault="0025162C" w:rsidP="00C753E2">
            <w:pPr>
              <w:rPr>
                <w:rFonts w:asciiTheme="minorHAnsi" w:hAnsiTheme="minorHAnsi"/>
              </w:rPr>
            </w:pPr>
            <w:r w:rsidRPr="0054654F">
              <w:rPr>
                <w:rFonts w:asciiTheme="minorHAnsi" w:hAnsiTheme="minorHAnsi"/>
              </w:rPr>
              <w:t>10</w:t>
            </w:r>
          </w:p>
        </w:tc>
        <w:tc>
          <w:tcPr>
            <w:tcW w:w="1166" w:type="pct"/>
            <w:tcBorders>
              <w:top w:val="single" w:sz="8" w:space="0" w:color="000000"/>
              <w:left w:val="single" w:sz="8" w:space="0" w:color="000000"/>
              <w:bottom w:val="single" w:sz="8" w:space="0" w:color="000000"/>
              <w:right w:val="single" w:sz="8" w:space="0" w:color="000000"/>
            </w:tcBorders>
            <w:shd w:val="clear" w:color="auto" w:fill="FDEADA"/>
            <w:tcMar>
              <w:top w:w="15" w:type="dxa"/>
              <w:left w:w="108" w:type="dxa"/>
              <w:bottom w:w="0" w:type="dxa"/>
              <w:right w:w="108" w:type="dxa"/>
            </w:tcMar>
            <w:vAlign w:val="center"/>
            <w:hideMark/>
          </w:tcPr>
          <w:p w:rsidR="0025162C" w:rsidRPr="0054654F" w:rsidRDefault="0025162C" w:rsidP="00C753E2">
            <w:pPr>
              <w:rPr>
                <w:rFonts w:asciiTheme="minorHAnsi" w:hAnsiTheme="minorHAnsi"/>
              </w:rPr>
            </w:pPr>
            <w:r w:rsidRPr="0054654F">
              <w:rPr>
                <w:rFonts w:asciiTheme="minorHAnsi" w:hAnsiTheme="minorHAnsi"/>
              </w:rPr>
              <w:t>Absolute number of health centers that are cost centers in Votes 901-928</w:t>
            </w:r>
          </w:p>
        </w:tc>
      </w:tr>
      <w:tr w:rsidR="0025162C" w:rsidRPr="0054654F" w:rsidTr="00C753E2">
        <w:trPr>
          <w:trHeight w:val="600"/>
        </w:trPr>
        <w:tc>
          <w:tcPr>
            <w:tcW w:w="1589" w:type="pct"/>
            <w:tcBorders>
              <w:top w:val="single" w:sz="8" w:space="0" w:color="000000"/>
              <w:left w:val="single" w:sz="8" w:space="0" w:color="000000"/>
              <w:bottom w:val="single" w:sz="8" w:space="0" w:color="000000"/>
              <w:right w:val="single" w:sz="8" w:space="0" w:color="000000"/>
            </w:tcBorders>
            <w:shd w:val="clear" w:color="auto" w:fill="FDEADA"/>
            <w:tcMar>
              <w:top w:w="15" w:type="dxa"/>
              <w:left w:w="108" w:type="dxa"/>
              <w:bottom w:w="0" w:type="dxa"/>
              <w:right w:w="108" w:type="dxa"/>
            </w:tcMar>
            <w:vAlign w:val="center"/>
            <w:hideMark/>
          </w:tcPr>
          <w:p w:rsidR="0025162C" w:rsidRPr="0054654F" w:rsidRDefault="0025162C" w:rsidP="00C753E2">
            <w:pPr>
              <w:rPr>
                <w:rFonts w:asciiTheme="minorHAnsi" w:hAnsiTheme="minorHAnsi"/>
              </w:rPr>
            </w:pPr>
            <w:r w:rsidRPr="0054654F">
              <w:rPr>
                <w:rFonts w:asciiTheme="minorHAnsi" w:hAnsiTheme="minorHAnsi"/>
              </w:rPr>
              <w:t>No. of public private partnership contracts maintained by MoH (excluding CHAM SLAs)</w:t>
            </w:r>
          </w:p>
        </w:tc>
        <w:tc>
          <w:tcPr>
            <w:tcW w:w="497" w:type="pct"/>
            <w:tcBorders>
              <w:top w:val="single" w:sz="8" w:space="0" w:color="000000"/>
              <w:left w:val="single" w:sz="8" w:space="0" w:color="000000"/>
              <w:bottom w:val="single" w:sz="8" w:space="0" w:color="000000"/>
              <w:right w:val="single" w:sz="8" w:space="0" w:color="000000"/>
            </w:tcBorders>
            <w:shd w:val="clear" w:color="auto" w:fill="FDEADA"/>
            <w:tcMar>
              <w:top w:w="15" w:type="dxa"/>
              <w:left w:w="108" w:type="dxa"/>
              <w:bottom w:w="0" w:type="dxa"/>
              <w:right w:w="108" w:type="dxa"/>
            </w:tcMar>
            <w:vAlign w:val="center"/>
            <w:hideMark/>
          </w:tcPr>
          <w:p w:rsidR="0025162C" w:rsidRPr="0054654F" w:rsidRDefault="0025162C" w:rsidP="00C753E2">
            <w:pPr>
              <w:rPr>
                <w:rFonts w:asciiTheme="minorHAnsi" w:hAnsiTheme="minorHAnsi"/>
              </w:rPr>
            </w:pPr>
            <w:r w:rsidRPr="0054654F">
              <w:rPr>
                <w:rFonts w:asciiTheme="minorHAnsi" w:hAnsiTheme="minorHAnsi"/>
              </w:rPr>
              <w:t>~30</w:t>
            </w:r>
          </w:p>
        </w:tc>
        <w:tc>
          <w:tcPr>
            <w:tcW w:w="437" w:type="pct"/>
            <w:tcBorders>
              <w:top w:val="single" w:sz="8" w:space="0" w:color="000000"/>
              <w:left w:val="single" w:sz="8" w:space="0" w:color="000000"/>
              <w:bottom w:val="single" w:sz="8" w:space="0" w:color="000000"/>
              <w:right w:val="single" w:sz="8" w:space="0" w:color="000000"/>
            </w:tcBorders>
            <w:shd w:val="clear" w:color="auto" w:fill="FDEADA"/>
            <w:tcMar>
              <w:top w:w="72" w:type="dxa"/>
              <w:left w:w="144" w:type="dxa"/>
              <w:bottom w:w="72" w:type="dxa"/>
              <w:right w:w="144" w:type="dxa"/>
            </w:tcMar>
            <w:vAlign w:val="center"/>
            <w:hideMark/>
          </w:tcPr>
          <w:p w:rsidR="0025162C" w:rsidRPr="0054654F" w:rsidRDefault="0025162C" w:rsidP="00C753E2">
            <w:pPr>
              <w:rPr>
                <w:rFonts w:asciiTheme="minorHAnsi" w:hAnsiTheme="minorHAnsi"/>
              </w:rPr>
            </w:pPr>
            <w:r w:rsidRPr="0054654F">
              <w:rPr>
                <w:rFonts w:asciiTheme="minorHAnsi" w:hAnsiTheme="minorHAnsi"/>
              </w:rPr>
              <w:t>35</w:t>
            </w:r>
          </w:p>
        </w:tc>
        <w:tc>
          <w:tcPr>
            <w:tcW w:w="437" w:type="pct"/>
            <w:tcBorders>
              <w:top w:val="single" w:sz="8" w:space="0" w:color="000000"/>
              <w:left w:val="single" w:sz="8" w:space="0" w:color="000000"/>
              <w:bottom w:val="single" w:sz="8" w:space="0" w:color="000000"/>
              <w:right w:val="single" w:sz="8" w:space="0" w:color="000000"/>
            </w:tcBorders>
            <w:shd w:val="clear" w:color="auto" w:fill="FDEADA"/>
            <w:tcMar>
              <w:top w:w="72" w:type="dxa"/>
              <w:left w:w="144" w:type="dxa"/>
              <w:bottom w:w="72" w:type="dxa"/>
              <w:right w:w="144" w:type="dxa"/>
            </w:tcMar>
            <w:vAlign w:val="center"/>
            <w:hideMark/>
          </w:tcPr>
          <w:p w:rsidR="0025162C" w:rsidRPr="0054654F" w:rsidRDefault="0025162C" w:rsidP="00C753E2">
            <w:pPr>
              <w:rPr>
                <w:rFonts w:asciiTheme="minorHAnsi" w:hAnsiTheme="minorHAnsi"/>
              </w:rPr>
            </w:pPr>
            <w:r w:rsidRPr="0054654F">
              <w:rPr>
                <w:rFonts w:asciiTheme="minorHAnsi" w:hAnsiTheme="minorHAnsi"/>
              </w:rPr>
              <w:t>40</w:t>
            </w:r>
          </w:p>
        </w:tc>
        <w:tc>
          <w:tcPr>
            <w:tcW w:w="437" w:type="pct"/>
            <w:tcBorders>
              <w:top w:val="single" w:sz="8" w:space="0" w:color="000000"/>
              <w:left w:val="single" w:sz="8" w:space="0" w:color="000000"/>
              <w:bottom w:val="single" w:sz="8" w:space="0" w:color="000000"/>
              <w:right w:val="single" w:sz="8" w:space="0" w:color="000000"/>
            </w:tcBorders>
            <w:shd w:val="clear" w:color="auto" w:fill="FDEADA"/>
            <w:tcMar>
              <w:top w:w="72" w:type="dxa"/>
              <w:left w:w="144" w:type="dxa"/>
              <w:bottom w:w="72" w:type="dxa"/>
              <w:right w:w="144" w:type="dxa"/>
            </w:tcMar>
            <w:vAlign w:val="center"/>
            <w:hideMark/>
          </w:tcPr>
          <w:p w:rsidR="0025162C" w:rsidRPr="0054654F" w:rsidRDefault="0025162C" w:rsidP="00C753E2">
            <w:pPr>
              <w:rPr>
                <w:rFonts w:asciiTheme="minorHAnsi" w:hAnsiTheme="minorHAnsi"/>
              </w:rPr>
            </w:pPr>
            <w:r w:rsidRPr="0054654F">
              <w:rPr>
                <w:rFonts w:asciiTheme="minorHAnsi" w:hAnsiTheme="minorHAnsi"/>
              </w:rPr>
              <w:t>45</w:t>
            </w:r>
          </w:p>
        </w:tc>
        <w:tc>
          <w:tcPr>
            <w:tcW w:w="437" w:type="pct"/>
            <w:tcBorders>
              <w:top w:val="single" w:sz="8" w:space="0" w:color="000000"/>
              <w:left w:val="single" w:sz="8" w:space="0" w:color="000000"/>
              <w:bottom w:val="single" w:sz="8" w:space="0" w:color="000000"/>
              <w:right w:val="single" w:sz="8" w:space="0" w:color="000000"/>
            </w:tcBorders>
            <w:shd w:val="clear" w:color="auto" w:fill="FDEADA"/>
            <w:tcMar>
              <w:top w:w="72" w:type="dxa"/>
              <w:left w:w="144" w:type="dxa"/>
              <w:bottom w:w="72" w:type="dxa"/>
              <w:right w:w="144" w:type="dxa"/>
            </w:tcMar>
            <w:vAlign w:val="center"/>
            <w:hideMark/>
          </w:tcPr>
          <w:p w:rsidR="0025162C" w:rsidRPr="0054654F" w:rsidRDefault="0025162C" w:rsidP="00C753E2">
            <w:pPr>
              <w:rPr>
                <w:rFonts w:asciiTheme="minorHAnsi" w:hAnsiTheme="minorHAnsi"/>
              </w:rPr>
            </w:pPr>
            <w:r w:rsidRPr="0054654F">
              <w:rPr>
                <w:rFonts w:asciiTheme="minorHAnsi" w:hAnsiTheme="minorHAnsi"/>
              </w:rPr>
              <w:t>50</w:t>
            </w:r>
          </w:p>
        </w:tc>
        <w:tc>
          <w:tcPr>
            <w:tcW w:w="1166" w:type="pct"/>
            <w:tcBorders>
              <w:top w:val="single" w:sz="8" w:space="0" w:color="000000"/>
              <w:left w:val="single" w:sz="8" w:space="0" w:color="000000"/>
              <w:bottom w:val="single" w:sz="8" w:space="0" w:color="000000"/>
              <w:right w:val="single" w:sz="8" w:space="0" w:color="000000"/>
            </w:tcBorders>
            <w:shd w:val="clear" w:color="auto" w:fill="FDEADA"/>
            <w:tcMar>
              <w:top w:w="15" w:type="dxa"/>
              <w:left w:w="108" w:type="dxa"/>
              <w:bottom w:w="0" w:type="dxa"/>
              <w:right w:w="108" w:type="dxa"/>
            </w:tcMar>
            <w:vAlign w:val="center"/>
            <w:hideMark/>
          </w:tcPr>
          <w:p w:rsidR="0025162C" w:rsidRPr="0054654F" w:rsidRDefault="0025162C" w:rsidP="00C753E2">
            <w:pPr>
              <w:rPr>
                <w:rFonts w:asciiTheme="minorHAnsi" w:hAnsiTheme="minorHAnsi"/>
              </w:rPr>
            </w:pPr>
            <w:r w:rsidRPr="0054654F">
              <w:rPr>
                <w:rFonts w:asciiTheme="minorHAnsi" w:hAnsiTheme="minorHAnsi"/>
              </w:rPr>
              <w:t>Records from MoH Administration Directorate</w:t>
            </w:r>
          </w:p>
        </w:tc>
      </w:tr>
      <w:tr w:rsidR="0025162C" w:rsidRPr="0054654F" w:rsidTr="00C753E2">
        <w:trPr>
          <w:trHeight w:val="714"/>
        </w:trPr>
        <w:tc>
          <w:tcPr>
            <w:tcW w:w="1589" w:type="pct"/>
            <w:tcBorders>
              <w:top w:val="single" w:sz="8" w:space="0" w:color="000000"/>
              <w:left w:val="single" w:sz="8" w:space="0" w:color="000000"/>
              <w:bottom w:val="single" w:sz="8" w:space="0" w:color="000000"/>
              <w:right w:val="single" w:sz="8" w:space="0" w:color="000000"/>
            </w:tcBorders>
            <w:shd w:val="clear" w:color="auto" w:fill="FDEADA"/>
            <w:tcMar>
              <w:top w:w="15" w:type="dxa"/>
              <w:left w:w="108" w:type="dxa"/>
              <w:bottom w:w="0" w:type="dxa"/>
              <w:right w:w="108" w:type="dxa"/>
            </w:tcMar>
            <w:vAlign w:val="center"/>
            <w:hideMark/>
          </w:tcPr>
          <w:p w:rsidR="0025162C" w:rsidRPr="0054654F" w:rsidRDefault="0025162C" w:rsidP="00C753E2">
            <w:pPr>
              <w:rPr>
                <w:rFonts w:asciiTheme="minorHAnsi" w:hAnsiTheme="minorHAnsi"/>
              </w:rPr>
            </w:pPr>
            <w:r w:rsidRPr="0054654F">
              <w:rPr>
                <w:rFonts w:asciiTheme="minorHAnsi" w:hAnsiTheme="minorHAnsi"/>
              </w:rPr>
              <w:t>No. of central hospitals collecting by-pass fees for all services</w:t>
            </w:r>
          </w:p>
        </w:tc>
        <w:tc>
          <w:tcPr>
            <w:tcW w:w="497" w:type="pct"/>
            <w:tcBorders>
              <w:top w:val="single" w:sz="8" w:space="0" w:color="000000"/>
              <w:left w:val="single" w:sz="8" w:space="0" w:color="000000"/>
              <w:bottom w:val="single" w:sz="8" w:space="0" w:color="000000"/>
              <w:right w:val="single" w:sz="8" w:space="0" w:color="000000"/>
            </w:tcBorders>
            <w:shd w:val="clear" w:color="auto" w:fill="FDEADA"/>
            <w:tcMar>
              <w:top w:w="15" w:type="dxa"/>
              <w:left w:w="108" w:type="dxa"/>
              <w:bottom w:w="0" w:type="dxa"/>
              <w:right w:w="108" w:type="dxa"/>
            </w:tcMar>
            <w:vAlign w:val="center"/>
            <w:hideMark/>
          </w:tcPr>
          <w:p w:rsidR="0025162C" w:rsidRPr="0054654F" w:rsidRDefault="0025162C" w:rsidP="00C753E2">
            <w:pPr>
              <w:rPr>
                <w:rFonts w:asciiTheme="minorHAnsi" w:hAnsiTheme="minorHAnsi"/>
              </w:rPr>
            </w:pPr>
            <w:r w:rsidRPr="0054654F">
              <w:rPr>
                <w:rFonts w:asciiTheme="minorHAnsi" w:hAnsiTheme="minorHAnsi"/>
                <w:i/>
                <w:iCs/>
              </w:rPr>
              <w:t>1</w:t>
            </w:r>
          </w:p>
        </w:tc>
        <w:tc>
          <w:tcPr>
            <w:tcW w:w="437" w:type="pct"/>
            <w:tcBorders>
              <w:top w:val="single" w:sz="8" w:space="0" w:color="000000"/>
              <w:left w:val="single" w:sz="8" w:space="0" w:color="000000"/>
              <w:bottom w:val="single" w:sz="8" w:space="0" w:color="000000"/>
              <w:right w:val="single" w:sz="8" w:space="0" w:color="000000"/>
            </w:tcBorders>
            <w:shd w:val="clear" w:color="auto" w:fill="FDEADA"/>
            <w:tcMar>
              <w:top w:w="72" w:type="dxa"/>
              <w:left w:w="144" w:type="dxa"/>
              <w:bottom w:w="72" w:type="dxa"/>
              <w:right w:w="144" w:type="dxa"/>
            </w:tcMar>
            <w:vAlign w:val="center"/>
            <w:hideMark/>
          </w:tcPr>
          <w:p w:rsidR="0025162C" w:rsidRPr="0054654F" w:rsidRDefault="0025162C" w:rsidP="00C753E2">
            <w:pPr>
              <w:rPr>
                <w:rFonts w:asciiTheme="minorHAnsi" w:hAnsiTheme="minorHAnsi"/>
              </w:rPr>
            </w:pPr>
            <w:r w:rsidRPr="0054654F">
              <w:rPr>
                <w:rFonts w:asciiTheme="minorHAnsi" w:hAnsiTheme="minorHAnsi"/>
              </w:rPr>
              <w:t>4</w:t>
            </w:r>
          </w:p>
        </w:tc>
        <w:tc>
          <w:tcPr>
            <w:tcW w:w="437" w:type="pct"/>
            <w:tcBorders>
              <w:top w:val="single" w:sz="8" w:space="0" w:color="000000"/>
              <w:left w:val="single" w:sz="8" w:space="0" w:color="000000"/>
              <w:bottom w:val="single" w:sz="8" w:space="0" w:color="000000"/>
              <w:right w:val="single" w:sz="8" w:space="0" w:color="000000"/>
            </w:tcBorders>
            <w:shd w:val="clear" w:color="auto" w:fill="FDEADA"/>
            <w:tcMar>
              <w:top w:w="72" w:type="dxa"/>
              <w:left w:w="144" w:type="dxa"/>
              <w:bottom w:w="72" w:type="dxa"/>
              <w:right w:w="144" w:type="dxa"/>
            </w:tcMar>
            <w:vAlign w:val="center"/>
            <w:hideMark/>
          </w:tcPr>
          <w:p w:rsidR="0025162C" w:rsidRPr="0054654F" w:rsidRDefault="0025162C" w:rsidP="00C753E2">
            <w:pPr>
              <w:rPr>
                <w:rFonts w:asciiTheme="minorHAnsi" w:hAnsiTheme="minorHAnsi"/>
              </w:rPr>
            </w:pPr>
            <w:r w:rsidRPr="0054654F">
              <w:rPr>
                <w:rFonts w:asciiTheme="minorHAnsi" w:hAnsiTheme="minorHAnsi"/>
              </w:rPr>
              <w:t>4</w:t>
            </w:r>
          </w:p>
        </w:tc>
        <w:tc>
          <w:tcPr>
            <w:tcW w:w="437" w:type="pct"/>
            <w:tcBorders>
              <w:top w:val="single" w:sz="8" w:space="0" w:color="000000"/>
              <w:left w:val="single" w:sz="8" w:space="0" w:color="000000"/>
              <w:bottom w:val="single" w:sz="8" w:space="0" w:color="000000"/>
              <w:right w:val="single" w:sz="8" w:space="0" w:color="000000"/>
            </w:tcBorders>
            <w:shd w:val="clear" w:color="auto" w:fill="FDEADA"/>
            <w:tcMar>
              <w:top w:w="72" w:type="dxa"/>
              <w:left w:w="144" w:type="dxa"/>
              <w:bottom w:w="72" w:type="dxa"/>
              <w:right w:w="144" w:type="dxa"/>
            </w:tcMar>
            <w:vAlign w:val="center"/>
            <w:hideMark/>
          </w:tcPr>
          <w:p w:rsidR="0025162C" w:rsidRPr="0054654F" w:rsidRDefault="0025162C" w:rsidP="00C753E2">
            <w:pPr>
              <w:rPr>
                <w:rFonts w:asciiTheme="minorHAnsi" w:hAnsiTheme="minorHAnsi"/>
              </w:rPr>
            </w:pPr>
            <w:r w:rsidRPr="0054654F">
              <w:rPr>
                <w:rFonts w:asciiTheme="minorHAnsi" w:hAnsiTheme="minorHAnsi"/>
              </w:rPr>
              <w:t>4</w:t>
            </w:r>
          </w:p>
        </w:tc>
        <w:tc>
          <w:tcPr>
            <w:tcW w:w="437" w:type="pct"/>
            <w:tcBorders>
              <w:top w:val="single" w:sz="8" w:space="0" w:color="000000"/>
              <w:left w:val="single" w:sz="8" w:space="0" w:color="000000"/>
              <w:bottom w:val="single" w:sz="8" w:space="0" w:color="000000"/>
              <w:right w:val="single" w:sz="8" w:space="0" w:color="000000"/>
            </w:tcBorders>
            <w:shd w:val="clear" w:color="auto" w:fill="FDEADA"/>
            <w:tcMar>
              <w:top w:w="72" w:type="dxa"/>
              <w:left w:w="144" w:type="dxa"/>
              <w:bottom w:w="72" w:type="dxa"/>
              <w:right w:w="144" w:type="dxa"/>
            </w:tcMar>
            <w:vAlign w:val="center"/>
            <w:hideMark/>
          </w:tcPr>
          <w:p w:rsidR="0025162C" w:rsidRPr="0054654F" w:rsidRDefault="0025162C" w:rsidP="00C753E2">
            <w:pPr>
              <w:rPr>
                <w:rFonts w:asciiTheme="minorHAnsi" w:hAnsiTheme="minorHAnsi"/>
              </w:rPr>
            </w:pPr>
            <w:r w:rsidRPr="0054654F">
              <w:rPr>
                <w:rFonts w:asciiTheme="minorHAnsi" w:hAnsiTheme="minorHAnsi"/>
              </w:rPr>
              <w:t>4</w:t>
            </w:r>
          </w:p>
        </w:tc>
        <w:tc>
          <w:tcPr>
            <w:tcW w:w="1166" w:type="pct"/>
            <w:tcBorders>
              <w:top w:val="single" w:sz="8" w:space="0" w:color="000000"/>
              <w:left w:val="single" w:sz="8" w:space="0" w:color="000000"/>
              <w:bottom w:val="single" w:sz="8" w:space="0" w:color="000000"/>
              <w:right w:val="single" w:sz="8" w:space="0" w:color="000000"/>
            </w:tcBorders>
            <w:shd w:val="clear" w:color="auto" w:fill="FDEADA"/>
            <w:tcMar>
              <w:top w:w="15" w:type="dxa"/>
              <w:left w:w="108" w:type="dxa"/>
              <w:bottom w:w="0" w:type="dxa"/>
              <w:right w:w="108" w:type="dxa"/>
            </w:tcMar>
            <w:vAlign w:val="center"/>
            <w:hideMark/>
          </w:tcPr>
          <w:p w:rsidR="0025162C" w:rsidRPr="0054654F" w:rsidRDefault="0025162C" w:rsidP="00C753E2">
            <w:pPr>
              <w:rPr>
                <w:rFonts w:asciiTheme="minorHAnsi" w:hAnsiTheme="minorHAnsi"/>
              </w:rPr>
            </w:pPr>
            <w:r w:rsidRPr="0054654F">
              <w:rPr>
                <w:rFonts w:asciiTheme="minorHAnsi" w:hAnsiTheme="minorHAnsi"/>
              </w:rPr>
              <w:t>By-pass fees must be collected by all departments in the hospital – not just a few</w:t>
            </w:r>
          </w:p>
        </w:tc>
      </w:tr>
    </w:tbl>
    <w:p w:rsidR="0025162C" w:rsidRPr="00CF0449" w:rsidRDefault="0025162C" w:rsidP="00564161">
      <w:pPr>
        <w:pStyle w:val="ListParagraph"/>
        <w:numPr>
          <w:ilvl w:val="0"/>
          <w:numId w:val="26"/>
        </w:numPr>
        <w:ind w:left="360"/>
        <w:rPr>
          <w:b/>
        </w:rPr>
      </w:pPr>
      <w:r w:rsidRPr="00BD4A85">
        <w:rPr>
          <w:b/>
        </w:rPr>
        <w:t>Indicators for Monitoring and  Evaluation Objective 1 and 2</w:t>
      </w:r>
    </w:p>
    <w:p w:rsidR="0025162C" w:rsidRDefault="0025162C" w:rsidP="0025162C">
      <w:pPr>
        <w:rPr>
          <w:b/>
        </w:rPr>
      </w:pPr>
    </w:p>
    <w:p w:rsidR="0025162C" w:rsidRPr="00BD4A85" w:rsidRDefault="0025162C" w:rsidP="0025162C">
      <w:pPr>
        <w:rPr>
          <w:b/>
        </w:rPr>
      </w:pPr>
      <w:r w:rsidRPr="00BD4A85">
        <w:rPr>
          <w:b/>
        </w:rPr>
        <w:t>Indicators for Monitoring and Evaluation Objective 3</w:t>
      </w:r>
    </w:p>
    <w:tbl>
      <w:tblPr>
        <w:tblW w:w="5000" w:type="pct"/>
        <w:tblCellMar>
          <w:left w:w="0" w:type="dxa"/>
          <w:right w:w="0" w:type="dxa"/>
        </w:tblCellMar>
        <w:tblLook w:val="0420" w:firstRow="1" w:lastRow="0" w:firstColumn="0" w:lastColumn="0" w:noHBand="0" w:noVBand="1"/>
      </w:tblPr>
      <w:tblGrid>
        <w:gridCol w:w="2654"/>
        <w:gridCol w:w="1039"/>
        <w:gridCol w:w="1039"/>
        <w:gridCol w:w="1039"/>
        <w:gridCol w:w="1039"/>
        <w:gridCol w:w="1039"/>
        <w:gridCol w:w="1799"/>
      </w:tblGrid>
      <w:tr w:rsidR="0025162C" w:rsidRPr="000704D0" w:rsidTr="00EE6BAB">
        <w:trPr>
          <w:trHeight w:val="730"/>
        </w:trPr>
        <w:tc>
          <w:tcPr>
            <w:tcW w:w="1583" w:type="pct"/>
            <w:tcBorders>
              <w:top w:val="single" w:sz="8" w:space="0" w:color="FFFFFF"/>
              <w:left w:val="single" w:sz="8" w:space="0" w:color="FFFFFF"/>
              <w:bottom w:val="single" w:sz="8" w:space="0" w:color="000000"/>
              <w:right w:val="single" w:sz="8" w:space="0" w:color="FFFFFF"/>
            </w:tcBorders>
            <w:shd w:val="clear" w:color="auto" w:fill="4F81BD"/>
            <w:tcMar>
              <w:top w:w="72" w:type="dxa"/>
              <w:left w:w="144" w:type="dxa"/>
              <w:bottom w:w="72" w:type="dxa"/>
              <w:right w:w="144" w:type="dxa"/>
            </w:tcMar>
            <w:vAlign w:val="center"/>
            <w:hideMark/>
          </w:tcPr>
          <w:p w:rsidR="0025162C" w:rsidRPr="000704D0" w:rsidRDefault="0025162C" w:rsidP="00C753E2">
            <w:r w:rsidRPr="000704D0">
              <w:rPr>
                <w:b/>
                <w:bCs/>
              </w:rPr>
              <w:t>Indicator</w:t>
            </w:r>
          </w:p>
        </w:tc>
        <w:tc>
          <w:tcPr>
            <w:tcW w:w="503" w:type="pct"/>
            <w:tcBorders>
              <w:top w:val="single" w:sz="8" w:space="0" w:color="FFFFFF"/>
              <w:left w:val="single" w:sz="8" w:space="0" w:color="FFFFFF"/>
              <w:bottom w:val="single" w:sz="8" w:space="0" w:color="000000"/>
              <w:right w:val="single" w:sz="8" w:space="0" w:color="FFFFFF"/>
            </w:tcBorders>
            <w:shd w:val="clear" w:color="auto" w:fill="4F81BD"/>
            <w:tcMar>
              <w:top w:w="72" w:type="dxa"/>
              <w:left w:w="144" w:type="dxa"/>
              <w:bottom w:w="72" w:type="dxa"/>
              <w:right w:w="144" w:type="dxa"/>
            </w:tcMar>
            <w:vAlign w:val="center"/>
            <w:hideMark/>
          </w:tcPr>
          <w:p w:rsidR="0025162C" w:rsidRPr="000704D0" w:rsidRDefault="0025162C" w:rsidP="00C753E2">
            <w:r w:rsidRPr="000704D0">
              <w:rPr>
                <w:b/>
                <w:bCs/>
              </w:rPr>
              <w:t>Base-line</w:t>
            </w:r>
          </w:p>
        </w:tc>
        <w:tc>
          <w:tcPr>
            <w:tcW w:w="434" w:type="pct"/>
            <w:tcBorders>
              <w:top w:val="single" w:sz="8" w:space="0" w:color="FFFFFF"/>
              <w:left w:val="single" w:sz="8" w:space="0" w:color="FFFFFF"/>
              <w:bottom w:val="single" w:sz="8" w:space="0" w:color="000000"/>
              <w:right w:val="single" w:sz="8" w:space="0" w:color="FFFFFF"/>
            </w:tcBorders>
            <w:shd w:val="clear" w:color="auto" w:fill="4F81BD"/>
            <w:tcMar>
              <w:top w:w="15" w:type="dxa"/>
              <w:left w:w="108" w:type="dxa"/>
              <w:bottom w:w="0" w:type="dxa"/>
              <w:right w:w="108" w:type="dxa"/>
            </w:tcMar>
            <w:vAlign w:val="center"/>
            <w:hideMark/>
          </w:tcPr>
          <w:p w:rsidR="0025162C" w:rsidRPr="000704D0" w:rsidRDefault="0025162C" w:rsidP="00C753E2">
            <w:r w:rsidRPr="000704D0">
              <w:rPr>
                <w:b/>
                <w:bCs/>
              </w:rPr>
              <w:t>2014-15 target</w:t>
            </w:r>
          </w:p>
        </w:tc>
        <w:tc>
          <w:tcPr>
            <w:tcW w:w="434" w:type="pct"/>
            <w:tcBorders>
              <w:top w:val="single" w:sz="8" w:space="0" w:color="FFFFFF"/>
              <w:left w:val="single" w:sz="8" w:space="0" w:color="FFFFFF"/>
              <w:bottom w:val="single" w:sz="8" w:space="0" w:color="000000"/>
              <w:right w:val="single" w:sz="8" w:space="0" w:color="FFFFFF"/>
            </w:tcBorders>
            <w:shd w:val="clear" w:color="auto" w:fill="4F81BD"/>
            <w:tcMar>
              <w:top w:w="15" w:type="dxa"/>
              <w:left w:w="108" w:type="dxa"/>
              <w:bottom w:w="0" w:type="dxa"/>
              <w:right w:w="108" w:type="dxa"/>
            </w:tcMar>
            <w:vAlign w:val="center"/>
            <w:hideMark/>
          </w:tcPr>
          <w:p w:rsidR="0025162C" w:rsidRPr="000704D0" w:rsidRDefault="0025162C" w:rsidP="00C753E2">
            <w:r w:rsidRPr="000704D0">
              <w:rPr>
                <w:b/>
                <w:bCs/>
              </w:rPr>
              <w:t>2015-16 target</w:t>
            </w:r>
          </w:p>
        </w:tc>
        <w:tc>
          <w:tcPr>
            <w:tcW w:w="472" w:type="pct"/>
            <w:tcBorders>
              <w:top w:val="single" w:sz="8" w:space="0" w:color="FFFFFF"/>
              <w:left w:val="single" w:sz="8" w:space="0" w:color="FFFFFF"/>
              <w:bottom w:val="single" w:sz="8" w:space="0" w:color="000000"/>
              <w:right w:val="single" w:sz="8" w:space="0" w:color="FFFFFF"/>
            </w:tcBorders>
            <w:shd w:val="clear" w:color="auto" w:fill="4F81BD"/>
            <w:tcMar>
              <w:top w:w="15" w:type="dxa"/>
              <w:left w:w="108" w:type="dxa"/>
              <w:bottom w:w="0" w:type="dxa"/>
              <w:right w:w="108" w:type="dxa"/>
            </w:tcMar>
            <w:vAlign w:val="center"/>
            <w:hideMark/>
          </w:tcPr>
          <w:p w:rsidR="0025162C" w:rsidRPr="000704D0" w:rsidRDefault="0025162C" w:rsidP="00C753E2">
            <w:r w:rsidRPr="000704D0">
              <w:rPr>
                <w:b/>
                <w:bCs/>
              </w:rPr>
              <w:t>2016-17 target</w:t>
            </w:r>
          </w:p>
        </w:tc>
        <w:tc>
          <w:tcPr>
            <w:tcW w:w="434" w:type="pct"/>
            <w:tcBorders>
              <w:top w:val="single" w:sz="8" w:space="0" w:color="FFFFFF"/>
              <w:left w:val="single" w:sz="8" w:space="0" w:color="FFFFFF"/>
              <w:bottom w:val="single" w:sz="8" w:space="0" w:color="000000"/>
              <w:right w:val="single" w:sz="8" w:space="0" w:color="FFFFFF"/>
            </w:tcBorders>
            <w:shd w:val="clear" w:color="auto" w:fill="4F81BD"/>
            <w:tcMar>
              <w:top w:w="15" w:type="dxa"/>
              <w:left w:w="108" w:type="dxa"/>
              <w:bottom w:w="0" w:type="dxa"/>
              <w:right w:w="108" w:type="dxa"/>
            </w:tcMar>
            <w:vAlign w:val="center"/>
            <w:hideMark/>
          </w:tcPr>
          <w:p w:rsidR="0025162C" w:rsidRPr="000704D0" w:rsidRDefault="0025162C" w:rsidP="00C753E2">
            <w:r w:rsidRPr="000704D0">
              <w:rPr>
                <w:b/>
                <w:bCs/>
              </w:rPr>
              <w:t>2017-18 target</w:t>
            </w:r>
          </w:p>
        </w:tc>
        <w:tc>
          <w:tcPr>
            <w:tcW w:w="1140" w:type="pct"/>
            <w:tcBorders>
              <w:top w:val="single" w:sz="8" w:space="0" w:color="FFFFFF"/>
              <w:left w:val="single" w:sz="8" w:space="0" w:color="FFFFFF"/>
              <w:bottom w:val="single" w:sz="8" w:space="0" w:color="000000"/>
              <w:right w:val="single" w:sz="8" w:space="0" w:color="FFFFFF"/>
            </w:tcBorders>
            <w:shd w:val="clear" w:color="auto" w:fill="4F81BD"/>
            <w:tcMar>
              <w:top w:w="72" w:type="dxa"/>
              <w:left w:w="144" w:type="dxa"/>
              <w:bottom w:w="72" w:type="dxa"/>
              <w:right w:w="144" w:type="dxa"/>
            </w:tcMar>
            <w:vAlign w:val="center"/>
            <w:hideMark/>
          </w:tcPr>
          <w:p w:rsidR="0025162C" w:rsidRPr="000704D0" w:rsidRDefault="0025162C" w:rsidP="00C753E2">
            <w:r w:rsidRPr="000704D0">
              <w:rPr>
                <w:b/>
                <w:bCs/>
              </w:rPr>
              <w:t>Measurement methodology</w:t>
            </w:r>
          </w:p>
        </w:tc>
      </w:tr>
      <w:tr w:rsidR="0025162C" w:rsidRPr="000704D0" w:rsidTr="00EE6BAB">
        <w:trPr>
          <w:trHeight w:val="922"/>
        </w:trPr>
        <w:tc>
          <w:tcPr>
            <w:tcW w:w="158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25162C" w:rsidRPr="000704D0" w:rsidRDefault="0025162C" w:rsidP="00C753E2">
            <w:r w:rsidRPr="000704D0">
              <w:t>National Health Accounts conducted year</w:t>
            </w:r>
            <w:r>
              <w:t>ly</w:t>
            </w:r>
          </w:p>
        </w:tc>
        <w:tc>
          <w:tcPr>
            <w:tcW w:w="50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25162C" w:rsidRPr="000704D0" w:rsidRDefault="0025162C" w:rsidP="00C753E2">
            <w:r w:rsidRPr="000704D0">
              <w:rPr>
                <w:i/>
                <w:iCs/>
              </w:rPr>
              <w:t>Yes</w:t>
            </w:r>
          </w:p>
        </w:tc>
        <w:tc>
          <w:tcPr>
            <w:tcW w:w="43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25162C" w:rsidRPr="000704D0" w:rsidRDefault="0025162C" w:rsidP="00C753E2">
            <w:r w:rsidRPr="000704D0">
              <w:t>N/A</w:t>
            </w:r>
          </w:p>
        </w:tc>
        <w:tc>
          <w:tcPr>
            <w:tcW w:w="43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25162C" w:rsidRPr="000704D0" w:rsidRDefault="0025162C" w:rsidP="00C753E2">
            <w:r w:rsidRPr="000704D0">
              <w:t>N/A</w:t>
            </w:r>
          </w:p>
        </w:tc>
        <w:tc>
          <w:tcPr>
            <w:tcW w:w="472"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25162C" w:rsidRPr="000704D0" w:rsidRDefault="0025162C" w:rsidP="00C753E2">
            <w:r w:rsidRPr="000704D0">
              <w:t>NHA con-ducted</w:t>
            </w:r>
          </w:p>
        </w:tc>
        <w:tc>
          <w:tcPr>
            <w:tcW w:w="43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25162C" w:rsidRPr="000704D0" w:rsidRDefault="0025162C" w:rsidP="00C753E2">
            <w:r w:rsidRPr="000704D0">
              <w:t>N/A</w:t>
            </w:r>
          </w:p>
        </w:tc>
        <w:tc>
          <w:tcPr>
            <w:tcW w:w="114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25162C" w:rsidRPr="000704D0" w:rsidRDefault="0025162C" w:rsidP="00C753E2">
            <w:r w:rsidRPr="000704D0">
              <w:t>NHA conducted</w:t>
            </w:r>
          </w:p>
        </w:tc>
      </w:tr>
      <w:tr w:rsidR="0025162C" w:rsidRPr="000704D0" w:rsidTr="00EE6BAB">
        <w:trPr>
          <w:trHeight w:val="1200"/>
        </w:trPr>
        <w:tc>
          <w:tcPr>
            <w:tcW w:w="158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25162C" w:rsidRPr="000704D0" w:rsidRDefault="0025162C" w:rsidP="00C753E2">
            <w:r w:rsidRPr="000704D0">
              <w:t>% of donors who submit resource mapping information</w:t>
            </w:r>
          </w:p>
        </w:tc>
        <w:tc>
          <w:tcPr>
            <w:tcW w:w="50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25162C" w:rsidRPr="000704D0" w:rsidRDefault="0025162C" w:rsidP="00C753E2">
            <w:r w:rsidRPr="000704D0">
              <w:rPr>
                <w:i/>
                <w:iCs/>
              </w:rPr>
              <w:t> 99% - 157/158</w:t>
            </w:r>
          </w:p>
        </w:tc>
        <w:tc>
          <w:tcPr>
            <w:tcW w:w="43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25162C" w:rsidRPr="000704D0" w:rsidRDefault="0025162C" w:rsidP="00C753E2">
            <w:r>
              <w:t>99</w:t>
            </w:r>
            <w:r w:rsidRPr="000704D0">
              <w:t>%</w:t>
            </w:r>
          </w:p>
        </w:tc>
        <w:tc>
          <w:tcPr>
            <w:tcW w:w="43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25162C" w:rsidRPr="000704D0" w:rsidRDefault="0025162C" w:rsidP="00C753E2">
            <w:r>
              <w:t>99</w:t>
            </w:r>
            <w:r w:rsidRPr="000704D0">
              <w:t>%</w:t>
            </w:r>
          </w:p>
        </w:tc>
        <w:tc>
          <w:tcPr>
            <w:tcW w:w="472"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25162C" w:rsidRPr="000704D0" w:rsidRDefault="0025162C" w:rsidP="00C753E2">
            <w:r>
              <w:t>99</w:t>
            </w:r>
            <w:r w:rsidRPr="000704D0">
              <w:t>%</w:t>
            </w:r>
          </w:p>
        </w:tc>
        <w:tc>
          <w:tcPr>
            <w:tcW w:w="43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25162C" w:rsidRPr="000704D0" w:rsidRDefault="0025162C" w:rsidP="00C753E2">
            <w:r>
              <w:t>99</w:t>
            </w:r>
            <w:r w:rsidRPr="000704D0">
              <w:t>%</w:t>
            </w:r>
          </w:p>
        </w:tc>
        <w:tc>
          <w:tcPr>
            <w:tcW w:w="114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25162C" w:rsidRPr="000704D0" w:rsidRDefault="0025162C" w:rsidP="00C753E2">
            <w:r w:rsidRPr="000704D0">
              <w:t xml:space="preserve">No. of donors who submit resource mapping information / sum of those who submit information + donors known not to submit info </w:t>
            </w:r>
          </w:p>
        </w:tc>
      </w:tr>
      <w:tr w:rsidR="00EE6BAB" w:rsidRPr="000704D0" w:rsidTr="00EE6BAB">
        <w:trPr>
          <w:trHeight w:val="653"/>
        </w:trPr>
        <w:tc>
          <w:tcPr>
            <w:tcW w:w="1583"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EE6BAB" w:rsidRPr="000704D0" w:rsidRDefault="00EE6BAB" w:rsidP="00C753E2">
            <w:r w:rsidRPr="000704D0">
              <w:t>March DHOs meeting to analyze RM data for DIPs</w:t>
            </w:r>
          </w:p>
        </w:tc>
        <w:tc>
          <w:tcPr>
            <w:tcW w:w="503"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EE6BAB" w:rsidRPr="000704D0" w:rsidRDefault="00EE6BAB" w:rsidP="00EE6BAB">
            <w:r w:rsidRPr="000704D0">
              <w:t>Meeting held</w:t>
            </w:r>
          </w:p>
        </w:tc>
        <w:tc>
          <w:tcPr>
            <w:tcW w:w="43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EE6BAB" w:rsidRPr="000704D0" w:rsidRDefault="00EE6BAB" w:rsidP="00EE6BAB">
            <w:r w:rsidRPr="000704D0">
              <w:t>Meeting held</w:t>
            </w:r>
          </w:p>
        </w:tc>
        <w:tc>
          <w:tcPr>
            <w:tcW w:w="43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EE6BAB" w:rsidRPr="000704D0" w:rsidRDefault="00EE6BAB" w:rsidP="00EE6BAB">
            <w:r w:rsidRPr="000704D0">
              <w:t>Meeting held</w:t>
            </w:r>
          </w:p>
        </w:tc>
        <w:tc>
          <w:tcPr>
            <w:tcW w:w="472"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EE6BAB" w:rsidRPr="000704D0" w:rsidRDefault="00EE6BAB" w:rsidP="00EE6BAB">
            <w:r w:rsidRPr="000704D0">
              <w:t>Meeting held</w:t>
            </w:r>
          </w:p>
        </w:tc>
        <w:tc>
          <w:tcPr>
            <w:tcW w:w="434" w:type="pc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EE6BAB" w:rsidRPr="000704D0" w:rsidRDefault="00EE6BAB" w:rsidP="00EE6BAB">
            <w:r w:rsidRPr="000704D0">
              <w:t>Meeting held</w:t>
            </w:r>
          </w:p>
        </w:tc>
        <w:tc>
          <w:tcPr>
            <w:tcW w:w="1140"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EE6BAB" w:rsidRPr="000704D0" w:rsidRDefault="00EE6BAB" w:rsidP="00C753E2">
            <w:r w:rsidRPr="000704D0">
              <w:t>Meeting held</w:t>
            </w:r>
          </w:p>
        </w:tc>
      </w:tr>
    </w:tbl>
    <w:p w:rsidR="0025162C" w:rsidRDefault="0025162C" w:rsidP="0025162C"/>
    <w:p w:rsidR="0025162C" w:rsidRPr="00BD4A85" w:rsidRDefault="0025162C" w:rsidP="0025162C">
      <w:pPr>
        <w:jc w:val="both"/>
      </w:pPr>
    </w:p>
    <w:p w:rsidR="0025162C" w:rsidRDefault="0025162C" w:rsidP="0025162C">
      <w:pPr>
        <w:pStyle w:val="ListParagraph"/>
        <w:ind w:left="0"/>
        <w:rPr>
          <w:b/>
        </w:rPr>
      </w:pPr>
    </w:p>
    <w:p w:rsidR="0025162C" w:rsidRPr="00BD4A85" w:rsidRDefault="0025162C" w:rsidP="0025162C"/>
    <w:p w:rsidR="0025162C" w:rsidRPr="00BD4A85" w:rsidRDefault="0025162C" w:rsidP="0025162C"/>
    <w:p w:rsidR="0025162C" w:rsidRDefault="0025162C" w:rsidP="0025162C">
      <w:pPr>
        <w:rPr>
          <w:lang w:val="en-GB"/>
        </w:rPr>
      </w:pPr>
    </w:p>
    <w:p w:rsidR="00CF0449" w:rsidRPr="00BD4A85" w:rsidRDefault="00CF0449" w:rsidP="0025162C">
      <w:pPr>
        <w:rPr>
          <w:lang w:val="en-GB"/>
        </w:rPr>
      </w:pPr>
    </w:p>
    <w:p w:rsidR="0025162C" w:rsidRPr="00BD4A85" w:rsidRDefault="0025162C" w:rsidP="0025162C">
      <w:pPr>
        <w:pStyle w:val="HeadingO"/>
      </w:pPr>
      <w:bookmarkStart w:id="1126" w:name="_Toc363225923"/>
      <w:bookmarkStart w:id="1127" w:name="_Toc384903857"/>
      <w:bookmarkStart w:id="1128" w:name="_Toc384911983"/>
      <w:r w:rsidRPr="00BD4A85">
        <w:lastRenderedPageBreak/>
        <w:t>7.0</w:t>
      </w:r>
      <w:r w:rsidRPr="00BD4A85">
        <w:tab/>
      </w:r>
      <w:r>
        <w:tab/>
      </w:r>
      <w:r w:rsidRPr="00BD4A85">
        <w:t>ADDENDUM: OTHER OPTIONS NOT PRIORITIZED FOR THE STRATEGY BUT POSSIBLE FOR FUTURE</w:t>
      </w:r>
      <w:bookmarkEnd w:id="1126"/>
      <w:bookmarkEnd w:id="1127"/>
      <w:bookmarkEnd w:id="1128"/>
    </w:p>
    <w:p w:rsidR="0025162C" w:rsidRPr="00BD4A85" w:rsidRDefault="004D598F" w:rsidP="0025162C">
      <w:bookmarkStart w:id="1129" w:name="_Toc354006022"/>
      <w:r>
        <w:rPr>
          <w:rFonts w:cs="Calibri"/>
        </w:rPr>
        <w:pict>
          <v:rect id="_x0000_i1056" style="width:0;height:1.5pt" o:hralign="center" o:hrstd="t" o:hr="t" fillcolor="#a0a0a0" stroked="f"/>
        </w:pict>
      </w:r>
    </w:p>
    <w:p w:rsidR="0025162C" w:rsidRPr="00BD4A85" w:rsidRDefault="0025162C" w:rsidP="001C7880">
      <w:pPr>
        <w:pStyle w:val="Heading2"/>
      </w:pPr>
      <w:bookmarkStart w:id="1130" w:name="_Toc363225924"/>
      <w:bookmarkStart w:id="1131" w:name="_Toc384903858"/>
      <w:bookmarkStart w:id="1132" w:name="_Toc384911984"/>
      <w:r w:rsidRPr="00BD4A85">
        <w:t>7.1</w:t>
      </w:r>
      <w:r w:rsidRPr="00BD4A85">
        <w:tab/>
        <w:t>INTRODUCTION</w:t>
      </w:r>
      <w:bookmarkStart w:id="1133" w:name="_Toc354005623"/>
      <w:bookmarkStart w:id="1134" w:name="_Toc354006023"/>
      <w:bookmarkEnd w:id="1129"/>
      <w:bookmarkEnd w:id="1130"/>
      <w:bookmarkEnd w:id="1131"/>
      <w:bookmarkEnd w:id="1132"/>
    </w:p>
    <w:p w:rsidR="0025162C" w:rsidRPr="00BD4A85" w:rsidRDefault="0025162C" w:rsidP="0025162C">
      <w:pPr>
        <w:jc w:val="both"/>
      </w:pPr>
      <w:r w:rsidRPr="00BD4A85">
        <w:t xml:space="preserve">The section present strategies that were not prioritized for the current strategy but could be considered later after a more reliable </w:t>
      </w:r>
      <w:r w:rsidRPr="00BD4A85">
        <w:rPr>
          <w:rFonts w:cs="Calibri"/>
          <w:color w:val="000000"/>
        </w:rPr>
        <w:t xml:space="preserve">fiscal space for health is achieved in terms of </w:t>
      </w:r>
      <w:r w:rsidRPr="00BD4A85">
        <w:t>1) conducive macroeconomic conditions, in particular GDP growth and tax revenue; 2) prioritization of health within the government budget; 3) earmarked taxes for health; 4) external grants for health; and 5) efficiency improvements in the health sector. The options includes: Levy on telecommunication, introduction of trust fund, introduction of earmarked funds for health from domestic and international lotteries and Strengthen resource generation mechanisms at central and local level.  Reasons why the strategies were not prioritized firstly, the current levy structure on telecom is already heavily taxed fearing impacting the consumers and also stiffing the industries’ growth. The other options for earmarking funds from lotteries and trust funds are pretty new concepts in Malawi, therefore there is need for more analysis in terms of customers base(as the case for lotteries) to sustain the mechanisms.</w:t>
      </w:r>
    </w:p>
    <w:p w:rsidR="0025162C" w:rsidRPr="00BD4A85" w:rsidRDefault="0025162C" w:rsidP="0025162C">
      <w:bookmarkStart w:id="1135" w:name="_Toc363225927"/>
      <w:bookmarkStart w:id="1136" w:name="_Toc384903860"/>
      <w:bookmarkStart w:id="1137" w:name="_Toc384911985"/>
      <w:bookmarkStart w:id="1138" w:name="_Toc354005625"/>
      <w:bookmarkStart w:id="1139" w:name="_Toc354006027"/>
      <w:bookmarkEnd w:id="1133"/>
      <w:bookmarkEnd w:id="1134"/>
      <w:r>
        <w:rPr>
          <w:rStyle w:val="Heading2Char"/>
          <w:rFonts w:eastAsia="Calibri"/>
        </w:rPr>
        <w:t>7.2</w:t>
      </w:r>
      <w:r w:rsidRPr="00BD4A85">
        <w:rPr>
          <w:rStyle w:val="Heading2Char"/>
          <w:rFonts w:eastAsia="Calibri"/>
        </w:rPr>
        <w:tab/>
        <w:t>INTRODUCE A TRUST FUND TO FINANCE A SPECIFIC HEALTH EXPENSE</w:t>
      </w:r>
      <w:bookmarkEnd w:id="1135"/>
      <w:bookmarkEnd w:id="1136"/>
      <w:bookmarkEnd w:id="1137"/>
      <w:r w:rsidR="004D598F">
        <w:pict>
          <v:rect id="_x0000_i1057" style="width:0;height:1.5pt" o:hralign="center" o:hrstd="t" o:hr="t" fillcolor="#a0a0a0" stroked="f"/>
        </w:pict>
      </w:r>
      <w:bookmarkEnd w:id="1138"/>
      <w:bookmarkEnd w:id="1139"/>
      <w:r w:rsidRPr="00BD4A85">
        <w:rPr>
          <w:sz w:val="24"/>
          <w:szCs w:val="24"/>
        </w:rPr>
        <w:br/>
      </w:r>
      <w:r w:rsidRPr="00BD4A85">
        <w:t xml:space="preserve">The purpose of the health trust fund would be to pool various resource streams for health and purchase health service from health providers such health centers, districts hospitals and not for profit organization proving health service in communities i.e. CHAM. Though trust funds rarely generate large amounts of revenue by themselves, they can be used as a tool to manage revenues from other funding mechanisms, creating a self-sustaining resource streams for health. </w:t>
      </w:r>
    </w:p>
    <w:p w:rsidR="0025162C" w:rsidRPr="00BD4A85" w:rsidRDefault="0025162C" w:rsidP="0025162C">
      <w:pPr>
        <w:jc w:val="both"/>
      </w:pPr>
      <w:r w:rsidRPr="00BD4A85">
        <w:t>The purpose of a Malawi trust fund would need to be clearly defined. One of way of doing this is to earmark returns of the funds to specific functions of health care system. For Malawi, the critical one could be procurement of ARVs or essential medicines for the poor.</w:t>
      </w:r>
    </w:p>
    <w:p w:rsidR="0025162C" w:rsidRPr="00BD4A85" w:rsidRDefault="0025162C" w:rsidP="0025162C">
      <w:pPr>
        <w:jc w:val="both"/>
      </w:pPr>
      <w:r w:rsidRPr="00BD4A85">
        <w:t xml:space="preserve">The objective is provide a stable source of funding for particular health care functions such procurement of  ARVs  and other essential commodities. </w:t>
      </w:r>
    </w:p>
    <w:p w:rsidR="0025162C" w:rsidRPr="00BD4A85" w:rsidRDefault="0025162C" w:rsidP="00A12622">
      <w:pPr>
        <w:pStyle w:val="Heading3"/>
      </w:pPr>
      <w:bookmarkStart w:id="1140" w:name="_Toc363225928"/>
      <w:r>
        <w:t>7.2</w:t>
      </w:r>
      <w:r w:rsidRPr="00BD4A85">
        <w:t>.1</w:t>
      </w:r>
      <w:r w:rsidRPr="00BD4A85">
        <w:tab/>
        <w:t>STRATEGIC INTERVENTIONS</w:t>
      </w:r>
      <w:bookmarkEnd w:id="1140"/>
    </w:p>
    <w:p w:rsidR="0025162C" w:rsidRPr="00BD4A85" w:rsidRDefault="0025162C" w:rsidP="00564161">
      <w:pPr>
        <w:pStyle w:val="ListParagraph"/>
        <w:numPr>
          <w:ilvl w:val="0"/>
          <w:numId w:val="30"/>
        </w:numPr>
        <w:jc w:val="both"/>
        <w:rPr>
          <w:b/>
        </w:rPr>
      </w:pPr>
      <w:r w:rsidRPr="00BD4A85">
        <w:rPr>
          <w:b/>
        </w:rPr>
        <w:t>Initial capitalization</w:t>
      </w:r>
    </w:p>
    <w:p w:rsidR="0025162C" w:rsidRPr="00BD4A85" w:rsidRDefault="0025162C" w:rsidP="0025162C">
      <w:pPr>
        <w:jc w:val="both"/>
      </w:pPr>
      <w:r w:rsidRPr="00BD4A85">
        <w:t xml:space="preserve">Provide large upfront capitalization needed to begin investing. This one-time grant may come from government, a donor, or a company. </w:t>
      </w:r>
    </w:p>
    <w:p w:rsidR="0025162C" w:rsidRPr="00BD4A85" w:rsidRDefault="0025162C" w:rsidP="00564161">
      <w:pPr>
        <w:pStyle w:val="ListParagraph"/>
        <w:numPr>
          <w:ilvl w:val="0"/>
          <w:numId w:val="30"/>
        </w:numPr>
        <w:jc w:val="both"/>
        <w:rPr>
          <w:b/>
        </w:rPr>
      </w:pPr>
      <w:r w:rsidRPr="00BD4A85">
        <w:rPr>
          <w:b/>
        </w:rPr>
        <w:t>Revenue collection</w:t>
      </w:r>
    </w:p>
    <w:p w:rsidR="0025162C" w:rsidRPr="00BD4A85" w:rsidRDefault="0025162C" w:rsidP="0025162C">
      <w:pPr>
        <w:jc w:val="both"/>
        <w:rPr>
          <w:b/>
        </w:rPr>
      </w:pPr>
      <w:r w:rsidRPr="00BD4A85">
        <w:t xml:space="preserve">The trust fund apart from generating returns on itself can pool resources generated by other revenue streams. </w:t>
      </w:r>
    </w:p>
    <w:p w:rsidR="0025162C" w:rsidRPr="00BD4A85" w:rsidRDefault="0025162C" w:rsidP="00564161">
      <w:pPr>
        <w:pStyle w:val="ListParagraph"/>
        <w:numPr>
          <w:ilvl w:val="0"/>
          <w:numId w:val="30"/>
        </w:numPr>
        <w:jc w:val="both"/>
        <w:rPr>
          <w:b/>
        </w:rPr>
      </w:pPr>
      <w:r w:rsidRPr="00BD4A85">
        <w:rPr>
          <w:b/>
        </w:rPr>
        <w:lastRenderedPageBreak/>
        <w:t>Investment strategy</w:t>
      </w:r>
    </w:p>
    <w:p w:rsidR="0025162C" w:rsidRPr="00BD4A85" w:rsidRDefault="0025162C" w:rsidP="0025162C">
      <w:pPr>
        <w:jc w:val="both"/>
      </w:pPr>
      <w:r w:rsidRPr="00BD4A85">
        <w:t xml:space="preserve">Investments could be made in domestic as well as foreign government bonds. </w:t>
      </w:r>
    </w:p>
    <w:p w:rsidR="0025162C" w:rsidRPr="00BD4A85" w:rsidRDefault="0025162C" w:rsidP="00564161">
      <w:pPr>
        <w:pStyle w:val="ListParagraph"/>
        <w:numPr>
          <w:ilvl w:val="0"/>
          <w:numId w:val="30"/>
        </w:numPr>
        <w:jc w:val="both"/>
        <w:rPr>
          <w:b/>
        </w:rPr>
      </w:pPr>
      <w:r w:rsidRPr="00BD4A85">
        <w:rPr>
          <w:b/>
        </w:rPr>
        <w:t>Spending of proceeds</w:t>
      </w:r>
    </w:p>
    <w:p w:rsidR="0025162C" w:rsidRPr="00BD4A85" w:rsidRDefault="0025162C" w:rsidP="0025162C">
      <w:pPr>
        <w:jc w:val="both"/>
        <w:rPr>
          <w:b/>
        </w:rPr>
      </w:pPr>
      <w:r w:rsidRPr="00BD4A85">
        <w:t xml:space="preserve">The spending of proceeds from the trust could be made in such way that there is always sufficient fund for continuous reinvesting. Depending on the fund’s objective, spending could be managed either by an independent board of trustees or a government entity such as the MOH or the National AIDS Commission. </w:t>
      </w:r>
    </w:p>
    <w:p w:rsidR="0025162C" w:rsidRPr="00BD4A85" w:rsidRDefault="0025162C" w:rsidP="0025162C">
      <w:bookmarkStart w:id="1141" w:name="_Toc363225929"/>
      <w:bookmarkStart w:id="1142" w:name="_Toc384903861"/>
      <w:bookmarkStart w:id="1143" w:name="_Toc384911986"/>
      <w:bookmarkStart w:id="1144" w:name="_Toc354005630"/>
      <w:bookmarkStart w:id="1145" w:name="_Toc354006032"/>
      <w:r>
        <w:rPr>
          <w:rStyle w:val="Heading2Char"/>
          <w:rFonts w:eastAsia="Calibri"/>
        </w:rPr>
        <w:t>7.3</w:t>
      </w:r>
      <w:r>
        <w:rPr>
          <w:rStyle w:val="Heading2Char"/>
          <w:rFonts w:eastAsia="Calibri"/>
        </w:rPr>
        <w:tab/>
      </w:r>
      <w:r w:rsidRPr="00BD4A85">
        <w:rPr>
          <w:rStyle w:val="Heading2Char"/>
          <w:rFonts w:eastAsia="Calibri"/>
        </w:rPr>
        <w:t>INTRODUCE EARMARKED FUNDS FOR HEALTH FROM INTERNATIONAL AND DOMESTIC LOTTERIES</w:t>
      </w:r>
      <w:bookmarkEnd w:id="1141"/>
      <w:bookmarkEnd w:id="1142"/>
      <w:bookmarkEnd w:id="1143"/>
      <w:r w:rsidR="004D598F">
        <w:pict>
          <v:rect id="_x0000_i1058" style="width:0;height:1.5pt" o:hralign="center" o:hrstd="t" o:hr="t" fillcolor="#a0a0a0" stroked="f"/>
        </w:pict>
      </w:r>
      <w:bookmarkEnd w:id="1144"/>
      <w:bookmarkEnd w:id="1145"/>
    </w:p>
    <w:p w:rsidR="0025162C" w:rsidRPr="001B572B" w:rsidRDefault="0025162C" w:rsidP="0025162C">
      <w:pPr>
        <w:jc w:val="both"/>
      </w:pPr>
      <w:r w:rsidRPr="001B572B">
        <w:t>Lotteries can generate significant revenue to finance public health. Developed countries like Belgium and the UK finance a portion of their foreign development aid through national lotteries (UNDP, 2012). Countries such as Mexico and Nigeria have successfully used lottery revenues to generate additional revenue for government. A Malawian lottery that earmarks revenues might generate substantial funds to finance the public health system.</w:t>
      </w:r>
    </w:p>
    <w:p w:rsidR="0025162C" w:rsidRDefault="0025162C" w:rsidP="0025162C">
      <w:pPr>
        <w:pStyle w:val="NoSpacing"/>
      </w:pPr>
      <w:r w:rsidRPr="001B572B">
        <w:t xml:space="preserve">However, the recent failure of two companies in Malawi suggests that the market is not yet large enough </w:t>
      </w:r>
      <w:r>
        <w:t xml:space="preserve">to sustain a national lottery. </w:t>
      </w:r>
    </w:p>
    <w:p w:rsidR="0025162C" w:rsidRPr="001B572B" w:rsidRDefault="0025162C" w:rsidP="0025162C">
      <w:pPr>
        <w:pStyle w:val="NoSpacing"/>
      </w:pPr>
    </w:p>
    <w:p w:rsidR="0025162C" w:rsidRPr="001B572B" w:rsidRDefault="0025162C" w:rsidP="0025162C">
      <w:pPr>
        <w:jc w:val="both"/>
      </w:pPr>
      <w:r w:rsidRPr="001B572B">
        <w:t>The objective of the National Lotteries is to generate revenue to finance the public health system.</w:t>
      </w:r>
    </w:p>
    <w:p w:rsidR="0025162C" w:rsidRPr="00BD4A85" w:rsidRDefault="0025162C" w:rsidP="00A12622">
      <w:pPr>
        <w:pStyle w:val="Heading3"/>
      </w:pPr>
      <w:bookmarkStart w:id="1146" w:name="_Toc363225930"/>
      <w:r>
        <w:t>7.3</w:t>
      </w:r>
      <w:r w:rsidRPr="00BD4A85">
        <w:t>.1</w:t>
      </w:r>
      <w:r w:rsidRPr="00BD4A85">
        <w:tab/>
        <w:t>STRATEGIC INTERVENTIONS</w:t>
      </w:r>
      <w:bookmarkEnd w:id="1146"/>
    </w:p>
    <w:p w:rsidR="0025162C" w:rsidRPr="001B572B" w:rsidRDefault="0025162C" w:rsidP="0025162C">
      <w:pPr>
        <w:jc w:val="both"/>
      </w:pPr>
      <w:r w:rsidRPr="001B572B">
        <w:t>The failure of the Malawi National Lottery, for example raises question about the sustainability of the system in Malawi context. It is recommended that if similar system is set up the following would be the way forward:</w:t>
      </w:r>
    </w:p>
    <w:p w:rsidR="0025162C" w:rsidRPr="001B572B" w:rsidRDefault="0025162C" w:rsidP="00564161">
      <w:pPr>
        <w:pStyle w:val="ListParagraph"/>
        <w:numPr>
          <w:ilvl w:val="0"/>
          <w:numId w:val="10"/>
        </w:numPr>
      </w:pPr>
      <w:r w:rsidRPr="001B572B">
        <w:t>The business model of lottery should be based on large customer base as it is with Telecommunication industry</w:t>
      </w:r>
      <w:r>
        <w:t>.</w:t>
      </w:r>
      <w:r w:rsidRPr="001B572B">
        <w:t xml:space="preserve"> </w:t>
      </w:r>
    </w:p>
    <w:p w:rsidR="0025162C" w:rsidRPr="001B572B" w:rsidRDefault="0025162C" w:rsidP="00564161">
      <w:pPr>
        <w:pStyle w:val="ListParagraph"/>
        <w:numPr>
          <w:ilvl w:val="0"/>
          <w:numId w:val="10"/>
        </w:numPr>
      </w:pPr>
      <w:r w:rsidRPr="001B572B">
        <w:t>Establish lottery companies as parastatals, in which a portion of revenues are automatically allocated to Treasury or another public fund</w:t>
      </w:r>
      <w:r>
        <w:t>.</w:t>
      </w:r>
    </w:p>
    <w:p w:rsidR="0025162C" w:rsidRPr="001B572B" w:rsidRDefault="0025162C" w:rsidP="00564161">
      <w:pPr>
        <w:pStyle w:val="ListParagraph"/>
        <w:numPr>
          <w:ilvl w:val="0"/>
          <w:numId w:val="10"/>
        </w:numPr>
      </w:pPr>
      <w:r w:rsidRPr="001B572B">
        <w:t>The funds of lottery could be earmarked to specific disease areas or procurement of health commodities to increase the efficiency and impact on utilization of funds.</w:t>
      </w:r>
    </w:p>
    <w:p w:rsidR="0025162C" w:rsidRPr="00BD4A85" w:rsidRDefault="0025162C" w:rsidP="0025162C">
      <w:bookmarkStart w:id="1147" w:name="_Toc363225931"/>
      <w:bookmarkStart w:id="1148" w:name="_Toc384903862"/>
      <w:bookmarkStart w:id="1149" w:name="_Toc384911987"/>
      <w:bookmarkStart w:id="1150" w:name="_Toc354005631"/>
      <w:bookmarkStart w:id="1151" w:name="_Toc354006033"/>
      <w:r>
        <w:rPr>
          <w:rStyle w:val="Heading2Char"/>
          <w:rFonts w:eastAsia="Calibri"/>
        </w:rPr>
        <w:t>7.4</w:t>
      </w:r>
      <w:r>
        <w:rPr>
          <w:rStyle w:val="Heading2Char"/>
          <w:rFonts w:eastAsia="Calibri"/>
        </w:rPr>
        <w:tab/>
      </w:r>
      <w:r w:rsidRPr="00BD4A85">
        <w:rPr>
          <w:rStyle w:val="Heading2Char"/>
          <w:rFonts w:eastAsia="Calibri"/>
        </w:rPr>
        <w:t>STRENGTHEN RESOURCE GENERATION MECHANISMS AT CENTRAL AND LOCAL LEVEL</w:t>
      </w:r>
      <w:bookmarkEnd w:id="1147"/>
      <w:bookmarkEnd w:id="1148"/>
      <w:bookmarkEnd w:id="1149"/>
      <w:r w:rsidR="004D598F">
        <w:pict>
          <v:rect id="_x0000_i1059" style="width:0;height:1.5pt" o:hralign="center" o:hrstd="t" o:hr="t" fillcolor="#a0a0a0" stroked="f"/>
        </w:pict>
      </w:r>
      <w:bookmarkEnd w:id="1150"/>
      <w:bookmarkEnd w:id="1151"/>
    </w:p>
    <w:p w:rsidR="0025162C" w:rsidRPr="00BD4A85" w:rsidRDefault="0025162C" w:rsidP="0025162C">
      <w:pPr>
        <w:autoSpaceDE w:val="0"/>
        <w:autoSpaceDN w:val="0"/>
        <w:adjustRightInd w:val="0"/>
        <w:spacing w:after="0" w:line="240" w:lineRule="auto"/>
        <w:jc w:val="both"/>
        <w:rPr>
          <w:rFonts w:cs="Calibri"/>
        </w:rPr>
      </w:pPr>
      <w:r w:rsidRPr="00BD4A85">
        <w:t xml:space="preserve">Increased public revenue collection may also generate additional funds for health. The MOH receives funding from Treasury, and increases in public revenue will almost certainly lead to increased funding for the ministry. Even if the proportion of government funding allocated to the ministry remains constant, a continuing increase in the size of the government budget will generate additional revenue </w:t>
      </w:r>
      <w:r w:rsidRPr="00BD4A85">
        <w:lastRenderedPageBreak/>
        <w:t xml:space="preserve">for health. </w:t>
      </w:r>
      <w:r w:rsidRPr="00BD4A85">
        <w:rPr>
          <w:rFonts w:cs="Calibri"/>
        </w:rPr>
        <w:t>Assuming a sustained budget increase of 5.0 percent per year in the next five years, the amount available for health will be around MKW82 billion at 2013 prices</w:t>
      </w:r>
      <w:r>
        <w:rPr>
          <w:rFonts w:cs="Calibri"/>
        </w:rPr>
        <w:t>.</w:t>
      </w:r>
    </w:p>
    <w:p w:rsidR="0025162C" w:rsidRPr="00BD4A85" w:rsidRDefault="0025162C" w:rsidP="0025162C">
      <w:pPr>
        <w:jc w:val="both"/>
        <w:rPr>
          <w:b/>
        </w:rPr>
      </w:pPr>
    </w:p>
    <w:p w:rsidR="0025162C" w:rsidRPr="00BD4A85" w:rsidRDefault="0025162C" w:rsidP="0025162C">
      <w:pPr>
        <w:jc w:val="both"/>
      </w:pPr>
      <w:r w:rsidRPr="00BD4A85">
        <w:t>The objective of strengthening resource generation mechanism is to increase overall fiscal space of Malawi which automatically increases funding for the ministry of health.</w:t>
      </w:r>
    </w:p>
    <w:p w:rsidR="0025162C" w:rsidRPr="00BD4A85" w:rsidRDefault="0025162C" w:rsidP="00A12622">
      <w:pPr>
        <w:pStyle w:val="Heading3"/>
      </w:pPr>
      <w:bookmarkStart w:id="1152" w:name="_Toc363225932"/>
      <w:r>
        <w:t>7.4</w:t>
      </w:r>
      <w:r w:rsidRPr="00BD4A85">
        <w:t>.1</w:t>
      </w:r>
      <w:r w:rsidRPr="00BD4A85">
        <w:tab/>
        <w:t>STRATEGIC INTERVENTIONS</w:t>
      </w:r>
      <w:bookmarkEnd w:id="1152"/>
      <w:r w:rsidRPr="00BD4A85">
        <w:t xml:space="preserve"> </w:t>
      </w:r>
    </w:p>
    <w:p w:rsidR="0025162C" w:rsidRPr="002D0A00" w:rsidRDefault="0025162C" w:rsidP="00564161">
      <w:pPr>
        <w:pStyle w:val="ListParagraph"/>
        <w:numPr>
          <w:ilvl w:val="0"/>
          <w:numId w:val="11"/>
        </w:numPr>
        <w:jc w:val="both"/>
        <w:rPr>
          <w:bCs/>
        </w:rPr>
      </w:pPr>
      <w:r w:rsidRPr="00BD4A85">
        <w:t>At country level, promote policies that successfully promote economic growth by investing in highly economic growth areas such as tourism, mining, transport, manufacturing and value addition both at central and local levels to increase the resources</w:t>
      </w:r>
      <w:r>
        <w:t>.</w:t>
      </w:r>
    </w:p>
    <w:p w:rsidR="0025162C" w:rsidRPr="002D0A00" w:rsidRDefault="0025162C" w:rsidP="00564161">
      <w:pPr>
        <w:pStyle w:val="ListParagraph"/>
        <w:numPr>
          <w:ilvl w:val="0"/>
          <w:numId w:val="11"/>
        </w:numPr>
        <w:jc w:val="both"/>
        <w:rPr>
          <w:bCs/>
        </w:rPr>
      </w:pPr>
      <w:r w:rsidRPr="002D0A00">
        <w:rPr>
          <w:bCs/>
        </w:rPr>
        <w:t>Identify ways of broadening the tax base and non-tax revenues at central and local levels</w:t>
      </w:r>
      <w:r>
        <w:rPr>
          <w:bCs/>
        </w:rPr>
        <w:t>.</w:t>
      </w:r>
    </w:p>
    <w:p w:rsidR="0025162C" w:rsidRPr="00BD4A85" w:rsidRDefault="0025162C" w:rsidP="00564161">
      <w:pPr>
        <w:pStyle w:val="ListParagraph"/>
        <w:numPr>
          <w:ilvl w:val="0"/>
          <w:numId w:val="11"/>
        </w:numPr>
        <w:jc w:val="both"/>
        <w:rPr>
          <w:bCs/>
        </w:rPr>
      </w:pPr>
      <w:r w:rsidRPr="00BD4A85">
        <w:rPr>
          <w:bCs/>
        </w:rPr>
        <w:t>Build capacity of local and central level staff in revenue collection and management to increase efficiency and absorption capacity</w:t>
      </w:r>
      <w:r>
        <w:rPr>
          <w:bCs/>
        </w:rPr>
        <w:t>.</w:t>
      </w:r>
    </w:p>
    <w:p w:rsidR="0025162C" w:rsidRPr="00BD4A85" w:rsidRDefault="0025162C" w:rsidP="00564161">
      <w:pPr>
        <w:pStyle w:val="ListParagraph"/>
        <w:numPr>
          <w:ilvl w:val="0"/>
          <w:numId w:val="11"/>
        </w:numPr>
        <w:jc w:val="both"/>
      </w:pPr>
      <w:r w:rsidRPr="00BD4A85">
        <w:t>Government can explore options for closing tax loopholes and exemptions, in order to ensure that all individuals and businesses pay for the public services they receive</w:t>
      </w:r>
      <w:r>
        <w:t>.</w:t>
      </w:r>
    </w:p>
    <w:p w:rsidR="0025162C" w:rsidRPr="00BD4A85" w:rsidRDefault="0025162C" w:rsidP="00564161">
      <w:pPr>
        <w:pStyle w:val="ListParagraph"/>
        <w:numPr>
          <w:ilvl w:val="0"/>
          <w:numId w:val="11"/>
        </w:numPr>
        <w:jc w:val="both"/>
      </w:pPr>
      <w:r w:rsidRPr="00BD4A85">
        <w:t>It is also possible to expand tax revenue from the informal sector, particularly through improved collection of the 16.5 percent VAT</w:t>
      </w:r>
      <w:r>
        <w:t>.</w:t>
      </w:r>
    </w:p>
    <w:p w:rsidR="0025162C" w:rsidRPr="00BD4A85" w:rsidRDefault="0025162C" w:rsidP="001C7880">
      <w:pPr>
        <w:pStyle w:val="Heading2"/>
      </w:pPr>
      <w:bookmarkStart w:id="1153" w:name="_Toc363225933"/>
      <w:bookmarkStart w:id="1154" w:name="_Toc384903863"/>
      <w:bookmarkStart w:id="1155" w:name="_Toc384911988"/>
      <w:bookmarkStart w:id="1156" w:name="_Toc354005632"/>
      <w:bookmarkStart w:id="1157" w:name="_Toc354006034"/>
      <w:r>
        <w:t>7.5</w:t>
      </w:r>
      <w:r w:rsidRPr="00BD4A85">
        <w:tab/>
        <w:t>INCREASE ABSOLUTE FUNDING OF DONOR HEALTH SECTOR INVESTMENTS</w:t>
      </w:r>
      <w:bookmarkEnd w:id="1153"/>
      <w:bookmarkEnd w:id="1154"/>
      <w:bookmarkEnd w:id="1155"/>
    </w:p>
    <w:p w:rsidR="0025162C" w:rsidRPr="00BD4A85" w:rsidRDefault="004D598F" w:rsidP="0025162C">
      <w:pPr>
        <w:rPr>
          <w:lang w:val="en-GB"/>
        </w:rPr>
      </w:pPr>
      <w:r>
        <w:rPr>
          <w:rFonts w:cs="Calibri"/>
        </w:rPr>
        <w:pict>
          <v:rect id="_x0000_i1060" style="width:0;height:1.5pt" o:hralign="center" o:hrstd="t" o:hr="t" fillcolor="#a0a0a0" stroked="f"/>
        </w:pict>
      </w:r>
    </w:p>
    <w:bookmarkEnd w:id="1156"/>
    <w:bookmarkEnd w:id="1157"/>
    <w:p w:rsidR="0025162C" w:rsidRPr="00BD4A85" w:rsidRDefault="0025162C" w:rsidP="0025162C">
      <w:pPr>
        <w:jc w:val="both"/>
      </w:pPr>
      <w:r w:rsidRPr="00BD4A85">
        <w:rPr>
          <w:rFonts w:cs="FootlightMTLight"/>
        </w:rPr>
        <w:t>The strategy aims at increases sustainable, harmonization and aligned donor funding to key interventions as identified in HSSP.</w:t>
      </w:r>
      <w:r w:rsidRPr="00BD4A85">
        <w:t xml:space="preserve"> Although donors already contributes large percentage of health funding, aligning the funding to HSSP priority areas such as diagnostics, infrastructure, and essential medicines remains a key strategic element. </w:t>
      </w:r>
    </w:p>
    <w:p w:rsidR="0025162C" w:rsidRPr="00BD4A85" w:rsidRDefault="0025162C" w:rsidP="0025162C">
      <w:pPr>
        <w:jc w:val="both"/>
      </w:pPr>
      <w:r w:rsidRPr="00BD4A85">
        <w:t>The key objective is increased absolute funding to HSSP priority areas in order to increase attainment of health outcomes.</w:t>
      </w:r>
    </w:p>
    <w:p w:rsidR="0025162C" w:rsidRPr="00BD4A85" w:rsidRDefault="0025162C" w:rsidP="00A12622">
      <w:pPr>
        <w:pStyle w:val="Heading3"/>
      </w:pPr>
      <w:bookmarkStart w:id="1158" w:name="_Toc363225934"/>
      <w:r>
        <w:t>7.5</w:t>
      </w:r>
      <w:r w:rsidRPr="00BD4A85">
        <w:t>.1</w:t>
      </w:r>
      <w:r w:rsidRPr="00BD4A85">
        <w:tab/>
        <w:t>STRATEGIC INTERVENTIONS</w:t>
      </w:r>
      <w:bookmarkEnd w:id="1158"/>
    </w:p>
    <w:p w:rsidR="0025162C" w:rsidRPr="00BD4A85" w:rsidRDefault="0025162C" w:rsidP="00564161">
      <w:pPr>
        <w:pStyle w:val="1-DocTextBold"/>
        <w:numPr>
          <w:ilvl w:val="0"/>
          <w:numId w:val="8"/>
        </w:numPr>
        <w:spacing w:before="0" w:after="0"/>
        <w:jc w:val="both"/>
        <w:rPr>
          <w:rFonts w:ascii="Calibri" w:hAnsi="Calibri"/>
          <w:b w:val="0"/>
          <w:bCs/>
          <w:szCs w:val="22"/>
          <w:lang w:val="en-US"/>
        </w:rPr>
      </w:pPr>
      <w:r w:rsidRPr="00BD4A85">
        <w:rPr>
          <w:rFonts w:ascii="Calibri" w:hAnsi="Calibri"/>
          <w:b w:val="0"/>
          <w:bCs/>
          <w:szCs w:val="22"/>
          <w:lang w:val="en-US"/>
        </w:rPr>
        <w:t>Lobby with donors to pool more funds -move away from the project funding approach-“islands of excellence” towards broader support for integrated budgetary process</w:t>
      </w:r>
      <w:r>
        <w:rPr>
          <w:rFonts w:ascii="Calibri" w:hAnsi="Calibri"/>
          <w:b w:val="0"/>
          <w:bCs/>
          <w:szCs w:val="22"/>
          <w:lang w:val="en-US"/>
        </w:rPr>
        <w:t>.</w:t>
      </w:r>
    </w:p>
    <w:p w:rsidR="0025162C" w:rsidRPr="001A33B9" w:rsidRDefault="0025162C" w:rsidP="00564161">
      <w:pPr>
        <w:pStyle w:val="1-DocTextBold"/>
        <w:numPr>
          <w:ilvl w:val="0"/>
          <w:numId w:val="8"/>
        </w:numPr>
        <w:spacing w:before="0" w:after="0"/>
        <w:jc w:val="both"/>
        <w:rPr>
          <w:bCs/>
        </w:rPr>
      </w:pPr>
      <w:r w:rsidRPr="00C11D59">
        <w:rPr>
          <w:rFonts w:ascii="Calibri" w:hAnsi="Calibri"/>
          <w:b w:val="0"/>
          <w:bCs/>
          <w:szCs w:val="22"/>
          <w:lang w:val="en-US"/>
        </w:rPr>
        <w:t>Agreement on financing expansion of successful initiatives to national scale</w:t>
      </w:r>
      <w:r>
        <w:rPr>
          <w:rFonts w:ascii="Calibri" w:hAnsi="Calibri"/>
          <w:b w:val="0"/>
          <w:bCs/>
          <w:szCs w:val="22"/>
          <w:lang w:val="en-US"/>
        </w:rPr>
        <w:t>.</w:t>
      </w:r>
    </w:p>
    <w:p w:rsidR="0025162C" w:rsidRPr="00BD4A85" w:rsidRDefault="0025162C" w:rsidP="00564161">
      <w:pPr>
        <w:pStyle w:val="1-DocTextBold"/>
        <w:numPr>
          <w:ilvl w:val="0"/>
          <w:numId w:val="8"/>
        </w:numPr>
        <w:spacing w:before="0" w:after="0"/>
        <w:jc w:val="both"/>
        <w:rPr>
          <w:rFonts w:ascii="Calibri" w:hAnsi="Calibri"/>
          <w:b w:val="0"/>
          <w:bCs/>
          <w:szCs w:val="22"/>
          <w:lang w:val="en-US"/>
        </w:rPr>
      </w:pPr>
      <w:r w:rsidRPr="00BD4A85">
        <w:rPr>
          <w:rFonts w:ascii="Calibri" w:hAnsi="Calibri"/>
          <w:b w:val="0"/>
          <w:bCs/>
          <w:szCs w:val="22"/>
          <w:lang w:val="en-US"/>
        </w:rPr>
        <w:t>Lobby with donors to allocate their funds in line with the HSSP priorities that reflect the spirit of the 2005 Paris Declaration on Aid Effectiveness and the 2008 Accra Agenda for Action and WHO World Health Report 2010 recommendations</w:t>
      </w:r>
      <w:r>
        <w:rPr>
          <w:rFonts w:ascii="Calibri" w:hAnsi="Calibri"/>
          <w:b w:val="0"/>
          <w:bCs/>
          <w:szCs w:val="22"/>
          <w:lang w:val="en-US"/>
        </w:rPr>
        <w:t>.</w:t>
      </w:r>
    </w:p>
    <w:p w:rsidR="0025162C" w:rsidRPr="00BD4A85" w:rsidRDefault="0025162C" w:rsidP="00564161">
      <w:pPr>
        <w:pStyle w:val="1-DocTextBold"/>
        <w:numPr>
          <w:ilvl w:val="0"/>
          <w:numId w:val="8"/>
        </w:numPr>
        <w:spacing w:before="0" w:after="0"/>
        <w:jc w:val="both"/>
        <w:rPr>
          <w:rFonts w:ascii="Calibri" w:hAnsi="Calibri"/>
          <w:b w:val="0"/>
          <w:bCs/>
          <w:szCs w:val="22"/>
          <w:lang w:val="en-US"/>
        </w:rPr>
      </w:pPr>
      <w:r w:rsidRPr="00BD4A85">
        <w:rPr>
          <w:rFonts w:ascii="Calibri" w:hAnsi="Calibri"/>
          <w:b w:val="0"/>
          <w:bCs/>
          <w:szCs w:val="22"/>
          <w:lang w:val="en-US"/>
        </w:rPr>
        <w:t>Lobby with donors to increase resources for health through Joint Funding Agreements (JFA)</w:t>
      </w:r>
      <w:r>
        <w:rPr>
          <w:rFonts w:ascii="Calibri" w:hAnsi="Calibri"/>
          <w:b w:val="0"/>
          <w:bCs/>
          <w:szCs w:val="22"/>
          <w:lang w:val="en-US"/>
        </w:rPr>
        <w:t>.</w:t>
      </w:r>
    </w:p>
    <w:p w:rsidR="0025162C" w:rsidRPr="00C11D59" w:rsidRDefault="0025162C" w:rsidP="00564161">
      <w:pPr>
        <w:pStyle w:val="1-DocTextBold"/>
        <w:numPr>
          <w:ilvl w:val="0"/>
          <w:numId w:val="8"/>
        </w:numPr>
        <w:spacing w:before="0" w:after="0"/>
        <w:jc w:val="both"/>
        <w:rPr>
          <w:rFonts w:ascii="Calibri" w:hAnsi="Calibri"/>
          <w:b w:val="0"/>
          <w:bCs/>
          <w:szCs w:val="22"/>
          <w:lang w:val="en-US"/>
        </w:rPr>
      </w:pPr>
      <w:r w:rsidRPr="00C11D59">
        <w:rPr>
          <w:rFonts w:ascii="Calibri" w:hAnsi="Calibri"/>
          <w:b w:val="0"/>
          <w:bCs/>
          <w:szCs w:val="22"/>
          <w:lang w:val="en-US"/>
        </w:rPr>
        <w:t>Develop a Technical Cooperation document for Round Table Resource Mobilization</w:t>
      </w:r>
      <w:r>
        <w:rPr>
          <w:rFonts w:ascii="Calibri" w:hAnsi="Calibri"/>
          <w:b w:val="0"/>
          <w:bCs/>
          <w:szCs w:val="22"/>
          <w:lang w:val="en-US"/>
        </w:rPr>
        <w:t>.</w:t>
      </w:r>
    </w:p>
    <w:p w:rsidR="0025162C" w:rsidRPr="00C14268" w:rsidRDefault="0025162C" w:rsidP="00564161">
      <w:pPr>
        <w:pStyle w:val="1-DocTextBold"/>
        <w:numPr>
          <w:ilvl w:val="0"/>
          <w:numId w:val="8"/>
        </w:numPr>
        <w:spacing w:before="0" w:after="0"/>
        <w:jc w:val="both"/>
        <w:rPr>
          <w:rFonts w:ascii="Calibri" w:hAnsi="Calibri"/>
          <w:b w:val="0"/>
          <w:bCs/>
          <w:szCs w:val="22"/>
          <w:lang w:val="en-US"/>
        </w:rPr>
      </w:pPr>
      <w:r w:rsidRPr="00C11D59">
        <w:rPr>
          <w:rFonts w:ascii="Calibri" w:hAnsi="Calibri"/>
          <w:b w:val="0"/>
          <w:bCs/>
          <w:szCs w:val="22"/>
          <w:lang w:val="en-US"/>
        </w:rPr>
        <w:t>Organize Annual Donor Round Table Resource Mobilization Forums</w:t>
      </w:r>
      <w:r>
        <w:rPr>
          <w:rFonts w:ascii="Calibri" w:hAnsi="Calibri"/>
          <w:b w:val="0"/>
          <w:bCs/>
          <w:szCs w:val="22"/>
          <w:lang w:val="en-US"/>
        </w:rPr>
        <w:t>.</w:t>
      </w:r>
      <w:r w:rsidRPr="00C11D59">
        <w:rPr>
          <w:rFonts w:ascii="Calibri" w:hAnsi="Calibri"/>
          <w:b w:val="0"/>
          <w:bCs/>
          <w:szCs w:val="22"/>
          <w:lang w:val="en-US"/>
        </w:rPr>
        <w:t xml:space="preserve"> </w:t>
      </w:r>
    </w:p>
    <w:p w:rsidR="008457CC" w:rsidRPr="0025162C" w:rsidRDefault="008457CC" w:rsidP="001C7880">
      <w:pPr>
        <w:pStyle w:val="Heading2"/>
      </w:pPr>
    </w:p>
    <w:sectPr w:rsidR="008457CC" w:rsidRPr="0025162C" w:rsidSect="0075162C">
      <w:footerReference w:type="defaul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98F" w:rsidRDefault="004D598F" w:rsidP="00F52F02">
      <w:pPr>
        <w:spacing w:after="0" w:line="240" w:lineRule="auto"/>
      </w:pPr>
      <w:r>
        <w:separator/>
      </w:r>
    </w:p>
  </w:endnote>
  <w:endnote w:type="continuationSeparator" w:id="0">
    <w:p w:rsidR="004D598F" w:rsidRDefault="004D598F" w:rsidP="00F52F02">
      <w:pPr>
        <w:spacing w:after="0" w:line="240" w:lineRule="auto"/>
      </w:pPr>
      <w:r>
        <w:continuationSeparator/>
      </w:r>
    </w:p>
  </w:endnote>
  <w:endnote w:type="continuationNotice" w:id="1">
    <w:p w:rsidR="004D598F" w:rsidRDefault="004D59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w:altName w:val="Gill Sans MT"/>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Times">
    <w:panose1 w:val="02020603050405020304"/>
    <w:charset w:val="00"/>
    <w:family w:val="roman"/>
    <w:pitch w:val="variable"/>
    <w:sig w:usb0="E0002AFF" w:usb1="C0007841" w:usb2="00000009" w:usb3="00000000" w:csb0="000001FF" w:csb1="00000000"/>
  </w:font>
  <w:font w:name="FootlightMTLight">
    <w:panose1 w:val="00000000000000000000"/>
    <w:charset w:val="00"/>
    <w:family w:val="roman"/>
    <w:notTrueType/>
    <w:pitch w:val="default"/>
    <w:sig w:usb0="00000003" w:usb1="00000000" w:usb2="00000000" w:usb3="00000000" w:csb0="00000001" w:csb1="00000000"/>
  </w:font>
  <w:font w:name="Symbo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35A" w:rsidRDefault="00BA435A">
    <w:pPr>
      <w:pStyle w:val="Footer"/>
      <w:jc w:val="right"/>
    </w:pPr>
    <w:r>
      <w:fldChar w:fldCharType="begin"/>
    </w:r>
    <w:r>
      <w:instrText xml:space="preserve"> PAGE   \* MERGEFORMAT </w:instrText>
    </w:r>
    <w:r>
      <w:fldChar w:fldCharType="separate"/>
    </w:r>
    <w:r w:rsidR="005532F3">
      <w:rPr>
        <w:noProof/>
      </w:rPr>
      <w:t>4</w:t>
    </w:r>
    <w:r>
      <w:rPr>
        <w:noProof/>
      </w:rPr>
      <w:fldChar w:fldCharType="end"/>
    </w:r>
  </w:p>
  <w:p w:rsidR="00BA435A" w:rsidRDefault="00BA43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98F" w:rsidRDefault="004D598F" w:rsidP="00F52F02">
      <w:pPr>
        <w:spacing w:after="0" w:line="240" w:lineRule="auto"/>
      </w:pPr>
      <w:r>
        <w:separator/>
      </w:r>
    </w:p>
  </w:footnote>
  <w:footnote w:type="continuationSeparator" w:id="0">
    <w:p w:rsidR="004D598F" w:rsidRDefault="004D598F" w:rsidP="00F52F02">
      <w:pPr>
        <w:spacing w:after="0" w:line="240" w:lineRule="auto"/>
      </w:pPr>
      <w:r>
        <w:continuationSeparator/>
      </w:r>
    </w:p>
  </w:footnote>
  <w:footnote w:type="continuationNotice" w:id="1">
    <w:p w:rsidR="004D598F" w:rsidRDefault="004D598F">
      <w:pPr>
        <w:spacing w:after="0" w:line="240" w:lineRule="auto"/>
      </w:pPr>
    </w:p>
  </w:footnote>
  <w:footnote w:id="2">
    <w:p w:rsidR="00BA435A" w:rsidRPr="004444BC" w:rsidRDefault="00BA435A" w:rsidP="00CA2DDC">
      <w:pPr>
        <w:pStyle w:val="FootnoteText"/>
        <w:rPr>
          <w:sz w:val="18"/>
          <w:szCs w:val="18"/>
        </w:rPr>
      </w:pPr>
      <w:r w:rsidRPr="0090725E">
        <w:rPr>
          <w:rStyle w:val="FootnoteReference"/>
          <w:sz w:val="18"/>
          <w:szCs w:val="18"/>
        </w:rPr>
        <w:footnoteRef/>
      </w:r>
      <w:r w:rsidRPr="0090725E">
        <w:rPr>
          <w:sz w:val="18"/>
          <w:szCs w:val="18"/>
        </w:rPr>
        <w:t xml:space="preserve"> </w:t>
      </w:r>
      <w:r w:rsidRPr="004444BC">
        <w:rPr>
          <w:sz w:val="18"/>
          <w:szCs w:val="18"/>
        </w:rPr>
        <w:t>Malawi Health Sector Strategic Plan (HSSP) 2011-15. p. 107.</w:t>
      </w:r>
    </w:p>
  </w:footnote>
  <w:footnote w:id="3">
    <w:p w:rsidR="00BA435A" w:rsidRDefault="00BA435A">
      <w:pPr>
        <w:pStyle w:val="FootnoteText"/>
      </w:pPr>
      <w:r>
        <w:rPr>
          <w:rStyle w:val="FootnoteReference"/>
        </w:rPr>
        <w:footnoteRef/>
      </w:r>
      <w:r>
        <w:t xml:space="preserve"> Malawi Government, 2014</w:t>
      </w:r>
    </w:p>
  </w:footnote>
  <w:footnote w:id="4">
    <w:p w:rsidR="00BA435A" w:rsidRDefault="00BA435A">
      <w:pPr>
        <w:pStyle w:val="FootnoteText"/>
      </w:pPr>
      <w:r>
        <w:rPr>
          <w:rStyle w:val="FootnoteReference"/>
        </w:rPr>
        <w:footnoteRef/>
      </w:r>
      <w:r>
        <w:t xml:space="preserve"> Conclusive guidance has been given by WHO 2014 Report: Making fair choices on the path to universal health coverage. Final Report of the WHO Consultative Group on Equity and Universal Health Coverage, Geneva.</w:t>
      </w:r>
    </w:p>
  </w:footnote>
  <w:footnote w:id="5">
    <w:p w:rsidR="00BA435A" w:rsidRPr="00F6726B" w:rsidRDefault="00BA435A">
      <w:pPr>
        <w:pStyle w:val="FootnoteText"/>
      </w:pPr>
      <w:r>
        <w:rPr>
          <w:rStyle w:val="FootnoteReference"/>
        </w:rPr>
        <w:footnoteRef/>
      </w:r>
      <w:r w:rsidRPr="00F6726B">
        <w:t xml:space="preserve"> WHO 2010</w:t>
      </w:r>
    </w:p>
  </w:footnote>
  <w:footnote w:id="6">
    <w:p w:rsidR="00BA435A" w:rsidRPr="00A12622" w:rsidRDefault="00BA435A" w:rsidP="00B861E9">
      <w:pPr>
        <w:pStyle w:val="FootnoteText"/>
        <w:rPr>
          <w:lang w:val="fr-FR"/>
        </w:rPr>
      </w:pPr>
      <w:r>
        <w:rPr>
          <w:rStyle w:val="FootnoteReference"/>
        </w:rPr>
        <w:footnoteRef/>
      </w:r>
      <w:r w:rsidRPr="00A12622">
        <w:rPr>
          <w:lang w:val="fr-FR"/>
        </w:rPr>
        <w:t xml:space="preserve"> Anderson </w:t>
      </w:r>
      <w:r w:rsidRPr="00A12622">
        <w:rPr>
          <w:i/>
          <w:lang w:val="fr-FR"/>
        </w:rPr>
        <w:t>et. al</w:t>
      </w:r>
      <w:r w:rsidRPr="00A12622">
        <w:rPr>
          <w:lang w:val="fr-FR"/>
        </w:rPr>
        <w:t>, 2009 (</w:t>
      </w:r>
      <w:hyperlink r:id="rId1" w:history="1">
        <w:r w:rsidRPr="00A12622">
          <w:rPr>
            <w:rStyle w:val="Hyperlink"/>
            <w:lang w:val="fr-FR"/>
          </w:rPr>
          <w:t>http://www.who.int/choice/publications/p_2009_CE_Alcohol_Lancet.pdf</w:t>
        </w:r>
      </w:hyperlink>
      <w:r w:rsidRPr="00A12622">
        <w:rPr>
          <w:lang w:val="fr-FR"/>
        </w:rPr>
        <w:t>), Jha, 2006 (</w:t>
      </w:r>
      <w:hyperlink r:id="rId2" w:history="1">
        <w:r w:rsidRPr="00A12622">
          <w:rPr>
            <w:rStyle w:val="Hyperlink"/>
            <w:lang w:val="fr-FR"/>
          </w:rPr>
          <w:t>http://informahealthcare.com/doi/abs/10.1080/09595230600944511</w:t>
        </w:r>
      </w:hyperlink>
      <w:r w:rsidRPr="00A12622">
        <w:rPr>
          <w:lang w:val="fr-FR"/>
        </w:rPr>
        <w:t>)</w:t>
      </w:r>
    </w:p>
  </w:footnote>
  <w:footnote w:id="7">
    <w:p w:rsidR="00BA435A" w:rsidRDefault="00BA435A" w:rsidP="0025162C">
      <w:pPr>
        <w:pStyle w:val="FootnoteText"/>
      </w:pPr>
      <w:r>
        <w:rPr>
          <w:rStyle w:val="FootnoteReference"/>
        </w:rPr>
        <w:footnoteRef/>
      </w:r>
      <w:r>
        <w:t xml:space="preserve"> The Abuja Declaration: 10 Years On (</w:t>
      </w:r>
      <w:hyperlink r:id="rId3" w:history="1">
        <w:r>
          <w:rPr>
            <w:rStyle w:val="Hyperlink"/>
          </w:rPr>
          <w:t>http://www.who.int/healthsystems/publications/abuja_report_aug_2011.pdf</w:t>
        </w:r>
      </w:hyperlink>
      <w:r>
        <w:t>), WHO 2011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07D75"/>
    <w:multiLevelType w:val="hybridMultilevel"/>
    <w:tmpl w:val="6624EEAE"/>
    <w:lvl w:ilvl="0" w:tplc="04090017">
      <w:start w:val="1"/>
      <w:numFmt w:val="lowerLetter"/>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AE0645"/>
    <w:multiLevelType w:val="hybridMultilevel"/>
    <w:tmpl w:val="6E344E1A"/>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704DB1"/>
    <w:multiLevelType w:val="hybridMultilevel"/>
    <w:tmpl w:val="8B1073B0"/>
    <w:lvl w:ilvl="0" w:tplc="A4F4C110">
      <w:start w:val="1"/>
      <w:numFmt w:val="lowerLetter"/>
      <w:lvlText w:val="%1)"/>
      <w:lvlJc w:val="left"/>
      <w:pPr>
        <w:tabs>
          <w:tab w:val="num" w:pos="720"/>
        </w:tabs>
        <w:ind w:left="720" w:hanging="360"/>
      </w:pPr>
    </w:lvl>
    <w:lvl w:ilvl="1" w:tplc="20A26D0A">
      <w:start w:val="1"/>
      <w:numFmt w:val="lowerLetter"/>
      <w:lvlText w:val="%2)"/>
      <w:lvlJc w:val="left"/>
      <w:pPr>
        <w:tabs>
          <w:tab w:val="num" w:pos="1440"/>
        </w:tabs>
        <w:ind w:left="1440" w:hanging="360"/>
      </w:pPr>
    </w:lvl>
    <w:lvl w:ilvl="2" w:tplc="04090017">
      <w:start w:val="1"/>
      <w:numFmt w:val="lowerLetter"/>
      <w:lvlText w:val="%3)"/>
      <w:lvlJc w:val="left"/>
      <w:pPr>
        <w:ind w:left="2160" w:hanging="360"/>
      </w:pPr>
      <w:rPr>
        <w:rFonts w:hint="default"/>
      </w:rPr>
    </w:lvl>
    <w:lvl w:ilvl="3" w:tplc="023ABADA" w:tentative="1">
      <w:start w:val="1"/>
      <w:numFmt w:val="lowerLetter"/>
      <w:lvlText w:val="%4)"/>
      <w:lvlJc w:val="left"/>
      <w:pPr>
        <w:tabs>
          <w:tab w:val="num" w:pos="2880"/>
        </w:tabs>
        <w:ind w:left="2880" w:hanging="360"/>
      </w:pPr>
    </w:lvl>
    <w:lvl w:ilvl="4" w:tplc="E4E23B84" w:tentative="1">
      <w:start w:val="1"/>
      <w:numFmt w:val="lowerLetter"/>
      <w:lvlText w:val="%5)"/>
      <w:lvlJc w:val="left"/>
      <w:pPr>
        <w:tabs>
          <w:tab w:val="num" w:pos="3600"/>
        </w:tabs>
        <w:ind w:left="3600" w:hanging="360"/>
      </w:pPr>
    </w:lvl>
    <w:lvl w:ilvl="5" w:tplc="BCA6A06E" w:tentative="1">
      <w:start w:val="1"/>
      <w:numFmt w:val="lowerLetter"/>
      <w:lvlText w:val="%6)"/>
      <w:lvlJc w:val="left"/>
      <w:pPr>
        <w:tabs>
          <w:tab w:val="num" w:pos="4320"/>
        </w:tabs>
        <w:ind w:left="4320" w:hanging="360"/>
      </w:pPr>
    </w:lvl>
    <w:lvl w:ilvl="6" w:tplc="340C2830" w:tentative="1">
      <w:start w:val="1"/>
      <w:numFmt w:val="lowerLetter"/>
      <w:lvlText w:val="%7)"/>
      <w:lvlJc w:val="left"/>
      <w:pPr>
        <w:tabs>
          <w:tab w:val="num" w:pos="5040"/>
        </w:tabs>
        <w:ind w:left="5040" w:hanging="360"/>
      </w:pPr>
    </w:lvl>
    <w:lvl w:ilvl="7" w:tplc="387EC046" w:tentative="1">
      <w:start w:val="1"/>
      <w:numFmt w:val="lowerLetter"/>
      <w:lvlText w:val="%8)"/>
      <w:lvlJc w:val="left"/>
      <w:pPr>
        <w:tabs>
          <w:tab w:val="num" w:pos="5760"/>
        </w:tabs>
        <w:ind w:left="5760" w:hanging="360"/>
      </w:pPr>
    </w:lvl>
    <w:lvl w:ilvl="8" w:tplc="E38634E8" w:tentative="1">
      <w:start w:val="1"/>
      <w:numFmt w:val="lowerLetter"/>
      <w:lvlText w:val="%9)"/>
      <w:lvlJc w:val="left"/>
      <w:pPr>
        <w:tabs>
          <w:tab w:val="num" w:pos="6480"/>
        </w:tabs>
        <w:ind w:left="6480" w:hanging="360"/>
      </w:pPr>
    </w:lvl>
  </w:abstractNum>
  <w:abstractNum w:abstractNumId="3">
    <w:nsid w:val="12D81BD2"/>
    <w:multiLevelType w:val="hybridMultilevel"/>
    <w:tmpl w:val="07AA52F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3E4A20"/>
    <w:multiLevelType w:val="hybridMultilevel"/>
    <w:tmpl w:val="067053E8"/>
    <w:lvl w:ilvl="0" w:tplc="04090001">
      <w:start w:val="1"/>
      <w:numFmt w:val="bullet"/>
      <w:lvlText w:val=""/>
      <w:lvlJc w:val="left"/>
      <w:pPr>
        <w:ind w:left="720" w:hanging="360"/>
      </w:pPr>
      <w:rPr>
        <w:rFonts w:ascii="Symbol" w:hAnsi="Symbol"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150F2788"/>
    <w:multiLevelType w:val="hybridMultilevel"/>
    <w:tmpl w:val="AC0019A2"/>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16B66BB7"/>
    <w:multiLevelType w:val="hybridMultilevel"/>
    <w:tmpl w:val="2CC269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7510A0"/>
    <w:multiLevelType w:val="hybridMultilevel"/>
    <w:tmpl w:val="DD3625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A45A15"/>
    <w:multiLevelType w:val="hybridMultilevel"/>
    <w:tmpl w:val="3F22708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C32CBD"/>
    <w:multiLevelType w:val="hybridMultilevel"/>
    <w:tmpl w:val="5B623D8E"/>
    <w:lvl w:ilvl="0" w:tplc="FFFFFFFF">
      <w:start w:val="1"/>
      <w:numFmt w:val="bullet"/>
      <w:pStyle w:val="1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1C0D4728"/>
    <w:multiLevelType w:val="hybridMultilevel"/>
    <w:tmpl w:val="39386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0B384A"/>
    <w:multiLevelType w:val="hybridMultilevel"/>
    <w:tmpl w:val="0D1E81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2927299"/>
    <w:multiLevelType w:val="hybridMultilevel"/>
    <w:tmpl w:val="2C368E9A"/>
    <w:lvl w:ilvl="0" w:tplc="1BE0D32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B0577F"/>
    <w:multiLevelType w:val="hybridMultilevel"/>
    <w:tmpl w:val="AE5A2E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9236E22"/>
    <w:multiLevelType w:val="hybridMultilevel"/>
    <w:tmpl w:val="BFE8E2C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
    <w:nsid w:val="2CDC3943"/>
    <w:multiLevelType w:val="hybridMultilevel"/>
    <w:tmpl w:val="EBE8CC6A"/>
    <w:lvl w:ilvl="0" w:tplc="04090003">
      <w:start w:val="1"/>
      <w:numFmt w:val="bullet"/>
      <w:lvlText w:val="o"/>
      <w:lvlJc w:val="left"/>
      <w:pPr>
        <w:ind w:left="770" w:hanging="360"/>
      </w:pPr>
      <w:rPr>
        <w:rFonts w:ascii="Courier New" w:hAnsi="Courier New" w:cs="Courier New"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nsid w:val="2EDA21D0"/>
    <w:multiLevelType w:val="hybridMultilevel"/>
    <w:tmpl w:val="8E0A76D4"/>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336B44AD"/>
    <w:multiLevelType w:val="hybridMultilevel"/>
    <w:tmpl w:val="B10C8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F77A57"/>
    <w:multiLevelType w:val="hybridMultilevel"/>
    <w:tmpl w:val="6D442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79503B9"/>
    <w:multiLevelType w:val="hybridMultilevel"/>
    <w:tmpl w:val="FF32CD5A"/>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0">
    <w:nsid w:val="392632ED"/>
    <w:multiLevelType w:val="hybridMultilevel"/>
    <w:tmpl w:val="ED14DDA0"/>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nsid w:val="3CA9661C"/>
    <w:multiLevelType w:val="hybridMultilevel"/>
    <w:tmpl w:val="92F2CFCC"/>
    <w:lvl w:ilvl="0" w:tplc="04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nsid w:val="3E1569DB"/>
    <w:multiLevelType w:val="hybridMultilevel"/>
    <w:tmpl w:val="8BD4C0D4"/>
    <w:lvl w:ilvl="0" w:tplc="04090001">
      <w:start w:val="1"/>
      <w:numFmt w:val="bullet"/>
      <w:lvlText w:val=""/>
      <w:lvlJc w:val="left"/>
      <w:pPr>
        <w:ind w:left="720" w:hanging="360"/>
      </w:pPr>
      <w:rPr>
        <w:rFonts w:ascii="Symbol" w:hAnsi="Symbol"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nsid w:val="3F392FCB"/>
    <w:multiLevelType w:val="hybridMultilevel"/>
    <w:tmpl w:val="7DFE147C"/>
    <w:lvl w:ilvl="0" w:tplc="04090017">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4">
    <w:nsid w:val="43583AEB"/>
    <w:multiLevelType w:val="hybridMultilevel"/>
    <w:tmpl w:val="F4A2A2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C32572"/>
    <w:multiLevelType w:val="multilevel"/>
    <w:tmpl w:val="95F2D298"/>
    <w:lvl w:ilvl="0">
      <w:start w:val="4"/>
      <w:numFmt w:val="decimal"/>
      <w:lvlText w:val="%1"/>
      <w:lvlJc w:val="left"/>
      <w:pPr>
        <w:ind w:left="435" w:hanging="435"/>
      </w:pPr>
      <w:rPr>
        <w:rFonts w:hint="default"/>
      </w:rPr>
    </w:lvl>
    <w:lvl w:ilvl="1">
      <w:start w:val="9"/>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4D2728BF"/>
    <w:multiLevelType w:val="hybridMultilevel"/>
    <w:tmpl w:val="C30089A0"/>
    <w:lvl w:ilvl="0" w:tplc="A4F4C110">
      <w:start w:val="1"/>
      <w:numFmt w:val="lowerLetter"/>
      <w:lvlText w:val="%1)"/>
      <w:lvlJc w:val="left"/>
      <w:pPr>
        <w:tabs>
          <w:tab w:val="num" w:pos="720"/>
        </w:tabs>
        <w:ind w:left="720" w:hanging="360"/>
      </w:pPr>
    </w:lvl>
    <w:lvl w:ilvl="1" w:tplc="20A26D0A">
      <w:start w:val="1"/>
      <w:numFmt w:val="lowerLetter"/>
      <w:lvlText w:val="%2)"/>
      <w:lvlJc w:val="left"/>
      <w:pPr>
        <w:tabs>
          <w:tab w:val="num" w:pos="1440"/>
        </w:tabs>
        <w:ind w:left="1440" w:hanging="360"/>
      </w:pPr>
    </w:lvl>
    <w:lvl w:ilvl="2" w:tplc="4DB8F092">
      <w:start w:val="1"/>
      <w:numFmt w:val="decimal"/>
      <w:lvlText w:val="%3."/>
      <w:lvlJc w:val="left"/>
      <w:pPr>
        <w:ind w:left="2160" w:hanging="360"/>
      </w:pPr>
      <w:rPr>
        <w:rFonts w:hint="default"/>
      </w:rPr>
    </w:lvl>
    <w:lvl w:ilvl="3" w:tplc="023ABADA" w:tentative="1">
      <w:start w:val="1"/>
      <w:numFmt w:val="lowerLetter"/>
      <w:lvlText w:val="%4)"/>
      <w:lvlJc w:val="left"/>
      <w:pPr>
        <w:tabs>
          <w:tab w:val="num" w:pos="2880"/>
        </w:tabs>
        <w:ind w:left="2880" w:hanging="360"/>
      </w:pPr>
    </w:lvl>
    <w:lvl w:ilvl="4" w:tplc="E4E23B84" w:tentative="1">
      <w:start w:val="1"/>
      <w:numFmt w:val="lowerLetter"/>
      <w:lvlText w:val="%5)"/>
      <w:lvlJc w:val="left"/>
      <w:pPr>
        <w:tabs>
          <w:tab w:val="num" w:pos="3600"/>
        </w:tabs>
        <w:ind w:left="3600" w:hanging="360"/>
      </w:pPr>
    </w:lvl>
    <w:lvl w:ilvl="5" w:tplc="BCA6A06E" w:tentative="1">
      <w:start w:val="1"/>
      <w:numFmt w:val="lowerLetter"/>
      <w:lvlText w:val="%6)"/>
      <w:lvlJc w:val="left"/>
      <w:pPr>
        <w:tabs>
          <w:tab w:val="num" w:pos="4320"/>
        </w:tabs>
        <w:ind w:left="4320" w:hanging="360"/>
      </w:pPr>
    </w:lvl>
    <w:lvl w:ilvl="6" w:tplc="340C2830" w:tentative="1">
      <w:start w:val="1"/>
      <w:numFmt w:val="lowerLetter"/>
      <w:lvlText w:val="%7)"/>
      <w:lvlJc w:val="left"/>
      <w:pPr>
        <w:tabs>
          <w:tab w:val="num" w:pos="5040"/>
        </w:tabs>
        <w:ind w:left="5040" w:hanging="360"/>
      </w:pPr>
    </w:lvl>
    <w:lvl w:ilvl="7" w:tplc="387EC046" w:tentative="1">
      <w:start w:val="1"/>
      <w:numFmt w:val="lowerLetter"/>
      <w:lvlText w:val="%8)"/>
      <w:lvlJc w:val="left"/>
      <w:pPr>
        <w:tabs>
          <w:tab w:val="num" w:pos="5760"/>
        </w:tabs>
        <w:ind w:left="5760" w:hanging="360"/>
      </w:pPr>
    </w:lvl>
    <w:lvl w:ilvl="8" w:tplc="E38634E8" w:tentative="1">
      <w:start w:val="1"/>
      <w:numFmt w:val="lowerLetter"/>
      <w:lvlText w:val="%9)"/>
      <w:lvlJc w:val="left"/>
      <w:pPr>
        <w:tabs>
          <w:tab w:val="num" w:pos="6480"/>
        </w:tabs>
        <w:ind w:left="6480" w:hanging="360"/>
      </w:pPr>
    </w:lvl>
  </w:abstractNum>
  <w:abstractNum w:abstractNumId="27">
    <w:nsid w:val="4E9313A6"/>
    <w:multiLevelType w:val="hybridMultilevel"/>
    <w:tmpl w:val="30DAA9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21132B"/>
    <w:multiLevelType w:val="hybridMultilevel"/>
    <w:tmpl w:val="0E8A35F0"/>
    <w:lvl w:ilvl="0" w:tplc="20A26D0A">
      <w:start w:val="1"/>
      <w:numFmt w:val="lowerLetter"/>
      <w:lvlText w:val="%1)"/>
      <w:lvlJc w:val="left"/>
      <w:pPr>
        <w:tabs>
          <w:tab w:val="num" w:pos="1440"/>
        </w:tabs>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A707BE"/>
    <w:multiLevelType w:val="hybridMultilevel"/>
    <w:tmpl w:val="62A6F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6164541"/>
    <w:multiLevelType w:val="hybridMultilevel"/>
    <w:tmpl w:val="0164A162"/>
    <w:lvl w:ilvl="0" w:tplc="04090001">
      <w:start w:val="1"/>
      <w:numFmt w:val="bullet"/>
      <w:lvlText w:val=""/>
      <w:lvlJc w:val="left"/>
      <w:pPr>
        <w:ind w:left="720" w:hanging="360"/>
      </w:pPr>
      <w:rPr>
        <w:rFonts w:ascii="Symbol" w:hAnsi="Symbo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nsid w:val="584A5A37"/>
    <w:multiLevelType w:val="hybridMultilevel"/>
    <w:tmpl w:val="9C90D5F0"/>
    <w:lvl w:ilvl="0" w:tplc="1BE0D32C">
      <w:start w:val="1"/>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B591C00"/>
    <w:multiLevelType w:val="hybridMultilevel"/>
    <w:tmpl w:val="A654734A"/>
    <w:lvl w:ilvl="0" w:tplc="30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0206823"/>
    <w:multiLevelType w:val="hybridMultilevel"/>
    <w:tmpl w:val="B8C02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1F82DFA"/>
    <w:multiLevelType w:val="multilevel"/>
    <w:tmpl w:val="2C2E357E"/>
    <w:lvl w:ilvl="0">
      <w:start w:val="5"/>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66C43D57"/>
    <w:multiLevelType w:val="hybridMultilevel"/>
    <w:tmpl w:val="9BEC38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3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70C10D1"/>
    <w:multiLevelType w:val="hybridMultilevel"/>
    <w:tmpl w:val="AD96D27A"/>
    <w:lvl w:ilvl="0" w:tplc="04090001">
      <w:start w:val="1"/>
      <w:numFmt w:val="bullet"/>
      <w:lvlText w:val=""/>
      <w:lvlJc w:val="left"/>
      <w:pPr>
        <w:ind w:left="720" w:hanging="360"/>
      </w:pPr>
      <w:rPr>
        <w:rFonts w:ascii="Symbol" w:hAnsi="Symbol" w:hint="default"/>
        <w:b w:val="0"/>
      </w:rPr>
    </w:lvl>
    <w:lvl w:ilvl="1" w:tplc="10090019" w:tentative="1">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nsid w:val="68D46253"/>
    <w:multiLevelType w:val="hybridMultilevel"/>
    <w:tmpl w:val="A0964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DFA58ED"/>
    <w:multiLevelType w:val="hybridMultilevel"/>
    <w:tmpl w:val="8EB65236"/>
    <w:lvl w:ilvl="0" w:tplc="04090017">
      <w:start w:val="1"/>
      <w:numFmt w:val="lowerLetter"/>
      <w:lvlText w:val="%1)"/>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EA458E0"/>
    <w:multiLevelType w:val="hybridMultilevel"/>
    <w:tmpl w:val="9B2C65DC"/>
    <w:lvl w:ilvl="0" w:tplc="20A26D0A">
      <w:start w:val="1"/>
      <w:numFmt w:val="lowerLetter"/>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55E768D"/>
    <w:multiLevelType w:val="hybridMultilevel"/>
    <w:tmpl w:val="AB72A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6E635FB"/>
    <w:multiLevelType w:val="hybridMultilevel"/>
    <w:tmpl w:val="571A06E2"/>
    <w:lvl w:ilvl="0" w:tplc="04090001">
      <w:start w:val="1"/>
      <w:numFmt w:val="bullet"/>
      <w:lvlText w:val=""/>
      <w:lvlJc w:val="left"/>
      <w:pPr>
        <w:ind w:left="720" w:hanging="360"/>
      </w:pPr>
      <w:rPr>
        <w:rFonts w:ascii="Symbol" w:hAnsi="Symbo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nsid w:val="7869293A"/>
    <w:multiLevelType w:val="hybridMultilevel"/>
    <w:tmpl w:val="85C2F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D9B7918"/>
    <w:multiLevelType w:val="hybridMultilevel"/>
    <w:tmpl w:val="24A4F978"/>
    <w:lvl w:ilvl="0" w:tplc="30090003">
      <w:start w:val="1"/>
      <w:numFmt w:val="bullet"/>
      <w:lvlText w:val="o"/>
      <w:lvlJc w:val="left"/>
      <w:pPr>
        <w:ind w:left="770" w:hanging="360"/>
      </w:pPr>
      <w:rPr>
        <w:rFonts w:ascii="Courier New" w:hAnsi="Courier New" w:cs="Courier New"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abstractNumId w:val="16"/>
  </w:num>
  <w:num w:numId="2">
    <w:abstractNumId w:val="21"/>
  </w:num>
  <w:num w:numId="3">
    <w:abstractNumId w:val="0"/>
  </w:num>
  <w:num w:numId="4">
    <w:abstractNumId w:val="17"/>
  </w:num>
  <w:num w:numId="5">
    <w:abstractNumId w:val="19"/>
  </w:num>
  <w:num w:numId="6">
    <w:abstractNumId w:val="18"/>
  </w:num>
  <w:num w:numId="7">
    <w:abstractNumId w:val="11"/>
  </w:num>
  <w:num w:numId="8">
    <w:abstractNumId w:val="13"/>
  </w:num>
  <w:num w:numId="9">
    <w:abstractNumId w:val="35"/>
  </w:num>
  <w:num w:numId="10">
    <w:abstractNumId w:val="33"/>
  </w:num>
  <w:num w:numId="11">
    <w:abstractNumId w:val="6"/>
  </w:num>
  <w:num w:numId="12">
    <w:abstractNumId w:val="14"/>
  </w:num>
  <w:num w:numId="13">
    <w:abstractNumId w:val="36"/>
  </w:num>
  <w:num w:numId="14">
    <w:abstractNumId w:val="4"/>
  </w:num>
  <w:num w:numId="15">
    <w:abstractNumId w:val="9"/>
  </w:num>
  <w:num w:numId="16">
    <w:abstractNumId w:val="41"/>
  </w:num>
  <w:num w:numId="17">
    <w:abstractNumId w:val="30"/>
  </w:num>
  <w:num w:numId="18">
    <w:abstractNumId w:val="22"/>
  </w:num>
  <w:num w:numId="19">
    <w:abstractNumId w:val="3"/>
  </w:num>
  <w:num w:numId="20">
    <w:abstractNumId w:val="37"/>
  </w:num>
  <w:num w:numId="21">
    <w:abstractNumId w:val="40"/>
  </w:num>
  <w:num w:numId="22">
    <w:abstractNumId w:val="26"/>
  </w:num>
  <w:num w:numId="23">
    <w:abstractNumId w:val="39"/>
  </w:num>
  <w:num w:numId="24">
    <w:abstractNumId w:val="28"/>
  </w:num>
  <w:num w:numId="25">
    <w:abstractNumId w:val="32"/>
  </w:num>
  <w:num w:numId="26">
    <w:abstractNumId w:val="27"/>
  </w:num>
  <w:num w:numId="27">
    <w:abstractNumId w:val="20"/>
  </w:num>
  <w:num w:numId="28">
    <w:abstractNumId w:val="15"/>
  </w:num>
  <w:num w:numId="29">
    <w:abstractNumId w:val="5"/>
  </w:num>
  <w:num w:numId="30">
    <w:abstractNumId w:val="24"/>
  </w:num>
  <w:num w:numId="31">
    <w:abstractNumId w:val="31"/>
  </w:num>
  <w:num w:numId="32">
    <w:abstractNumId w:val="43"/>
  </w:num>
  <w:num w:numId="33">
    <w:abstractNumId w:val="42"/>
  </w:num>
  <w:num w:numId="34">
    <w:abstractNumId w:val="34"/>
  </w:num>
  <w:num w:numId="35">
    <w:abstractNumId w:val="29"/>
  </w:num>
  <w:num w:numId="36">
    <w:abstractNumId w:val="10"/>
  </w:num>
  <w:num w:numId="37">
    <w:abstractNumId w:val="12"/>
  </w:num>
  <w:num w:numId="38">
    <w:abstractNumId w:val="2"/>
  </w:num>
  <w:num w:numId="39">
    <w:abstractNumId w:val="1"/>
  </w:num>
  <w:num w:numId="40">
    <w:abstractNumId w:val="8"/>
  </w:num>
  <w:num w:numId="41">
    <w:abstractNumId w:val="25"/>
  </w:num>
  <w:num w:numId="42">
    <w:abstractNumId w:val="7"/>
  </w:num>
  <w:num w:numId="43">
    <w:abstractNumId w:val="38"/>
  </w:num>
  <w:num w:numId="44">
    <w:abstractNumId w:val="2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DAD"/>
    <w:rsid w:val="000002A5"/>
    <w:rsid w:val="00001541"/>
    <w:rsid w:val="00001807"/>
    <w:rsid w:val="000115FE"/>
    <w:rsid w:val="0001183F"/>
    <w:rsid w:val="00011E35"/>
    <w:rsid w:val="000123D8"/>
    <w:rsid w:val="00012EED"/>
    <w:rsid w:val="0001495C"/>
    <w:rsid w:val="00014A50"/>
    <w:rsid w:val="00014DC7"/>
    <w:rsid w:val="00014F20"/>
    <w:rsid w:val="0001564C"/>
    <w:rsid w:val="00015DCA"/>
    <w:rsid w:val="00020BD8"/>
    <w:rsid w:val="00025169"/>
    <w:rsid w:val="0002598A"/>
    <w:rsid w:val="00027312"/>
    <w:rsid w:val="00032992"/>
    <w:rsid w:val="000353CC"/>
    <w:rsid w:val="0003577B"/>
    <w:rsid w:val="0003748A"/>
    <w:rsid w:val="00040DAD"/>
    <w:rsid w:val="00041029"/>
    <w:rsid w:val="00041B8E"/>
    <w:rsid w:val="000427B6"/>
    <w:rsid w:val="00043123"/>
    <w:rsid w:val="0004331F"/>
    <w:rsid w:val="000435BE"/>
    <w:rsid w:val="00044B6E"/>
    <w:rsid w:val="000453A4"/>
    <w:rsid w:val="00045938"/>
    <w:rsid w:val="00045AF8"/>
    <w:rsid w:val="000477FC"/>
    <w:rsid w:val="00051CED"/>
    <w:rsid w:val="000525D9"/>
    <w:rsid w:val="000549DD"/>
    <w:rsid w:val="00056635"/>
    <w:rsid w:val="0005766D"/>
    <w:rsid w:val="000633B8"/>
    <w:rsid w:val="00067621"/>
    <w:rsid w:val="000701E3"/>
    <w:rsid w:val="00070539"/>
    <w:rsid w:val="00070FAF"/>
    <w:rsid w:val="000713A6"/>
    <w:rsid w:val="00071D05"/>
    <w:rsid w:val="00073C32"/>
    <w:rsid w:val="00074685"/>
    <w:rsid w:val="00075904"/>
    <w:rsid w:val="00075C4E"/>
    <w:rsid w:val="00077B4D"/>
    <w:rsid w:val="00080E61"/>
    <w:rsid w:val="000816D5"/>
    <w:rsid w:val="0008232A"/>
    <w:rsid w:val="00085FEC"/>
    <w:rsid w:val="00086391"/>
    <w:rsid w:val="00090E9D"/>
    <w:rsid w:val="00093323"/>
    <w:rsid w:val="000945FD"/>
    <w:rsid w:val="00094CA4"/>
    <w:rsid w:val="00094E87"/>
    <w:rsid w:val="00097590"/>
    <w:rsid w:val="000A047C"/>
    <w:rsid w:val="000A0768"/>
    <w:rsid w:val="000A4562"/>
    <w:rsid w:val="000A5640"/>
    <w:rsid w:val="000A6610"/>
    <w:rsid w:val="000B3951"/>
    <w:rsid w:val="000B57AD"/>
    <w:rsid w:val="000B58FF"/>
    <w:rsid w:val="000B6924"/>
    <w:rsid w:val="000B7004"/>
    <w:rsid w:val="000B7108"/>
    <w:rsid w:val="000B7E2A"/>
    <w:rsid w:val="000C049C"/>
    <w:rsid w:val="000C075F"/>
    <w:rsid w:val="000C35EE"/>
    <w:rsid w:val="000C3A83"/>
    <w:rsid w:val="000C3B30"/>
    <w:rsid w:val="000C3F2D"/>
    <w:rsid w:val="000C492A"/>
    <w:rsid w:val="000C4E66"/>
    <w:rsid w:val="000C56DF"/>
    <w:rsid w:val="000C7F9C"/>
    <w:rsid w:val="000D09FC"/>
    <w:rsid w:val="000D2AD3"/>
    <w:rsid w:val="000D2CA5"/>
    <w:rsid w:val="000D373F"/>
    <w:rsid w:val="000D4EAD"/>
    <w:rsid w:val="000D65B7"/>
    <w:rsid w:val="000E3180"/>
    <w:rsid w:val="000E32F6"/>
    <w:rsid w:val="000E422A"/>
    <w:rsid w:val="000E6097"/>
    <w:rsid w:val="000E6CAA"/>
    <w:rsid w:val="000E7E55"/>
    <w:rsid w:val="000F07F4"/>
    <w:rsid w:val="000F1621"/>
    <w:rsid w:val="000F1FD4"/>
    <w:rsid w:val="000F20C5"/>
    <w:rsid w:val="000F607E"/>
    <w:rsid w:val="000F6834"/>
    <w:rsid w:val="00100089"/>
    <w:rsid w:val="00100FD6"/>
    <w:rsid w:val="00102418"/>
    <w:rsid w:val="001038D6"/>
    <w:rsid w:val="00104547"/>
    <w:rsid w:val="00104DA2"/>
    <w:rsid w:val="001056BC"/>
    <w:rsid w:val="00107F00"/>
    <w:rsid w:val="0011097A"/>
    <w:rsid w:val="00113B0F"/>
    <w:rsid w:val="00114182"/>
    <w:rsid w:val="001157CC"/>
    <w:rsid w:val="001164CB"/>
    <w:rsid w:val="00117047"/>
    <w:rsid w:val="0012180F"/>
    <w:rsid w:val="00121E44"/>
    <w:rsid w:val="0012230B"/>
    <w:rsid w:val="00122A33"/>
    <w:rsid w:val="00127449"/>
    <w:rsid w:val="00127AFE"/>
    <w:rsid w:val="00127C9A"/>
    <w:rsid w:val="00127FD4"/>
    <w:rsid w:val="001317C1"/>
    <w:rsid w:val="0013198F"/>
    <w:rsid w:val="00131BBF"/>
    <w:rsid w:val="001326A2"/>
    <w:rsid w:val="00132D37"/>
    <w:rsid w:val="00132DA2"/>
    <w:rsid w:val="00135363"/>
    <w:rsid w:val="00135970"/>
    <w:rsid w:val="0013682B"/>
    <w:rsid w:val="00136B27"/>
    <w:rsid w:val="00136B3B"/>
    <w:rsid w:val="00141378"/>
    <w:rsid w:val="00142DFC"/>
    <w:rsid w:val="00143D9F"/>
    <w:rsid w:val="00143EAF"/>
    <w:rsid w:val="001449D0"/>
    <w:rsid w:val="00145F41"/>
    <w:rsid w:val="00146927"/>
    <w:rsid w:val="00146E82"/>
    <w:rsid w:val="00147EB9"/>
    <w:rsid w:val="00150BA3"/>
    <w:rsid w:val="0015138E"/>
    <w:rsid w:val="00151734"/>
    <w:rsid w:val="00154561"/>
    <w:rsid w:val="00154D46"/>
    <w:rsid w:val="001567E5"/>
    <w:rsid w:val="001641CB"/>
    <w:rsid w:val="00165976"/>
    <w:rsid w:val="0016787A"/>
    <w:rsid w:val="00170969"/>
    <w:rsid w:val="00170E52"/>
    <w:rsid w:val="001729EF"/>
    <w:rsid w:val="00175435"/>
    <w:rsid w:val="001765A9"/>
    <w:rsid w:val="001765BE"/>
    <w:rsid w:val="00177414"/>
    <w:rsid w:val="0018007C"/>
    <w:rsid w:val="00182DDD"/>
    <w:rsid w:val="001857D5"/>
    <w:rsid w:val="001877A9"/>
    <w:rsid w:val="00187BF6"/>
    <w:rsid w:val="001974DA"/>
    <w:rsid w:val="00197B68"/>
    <w:rsid w:val="00197D3C"/>
    <w:rsid w:val="001A12AA"/>
    <w:rsid w:val="001A26DC"/>
    <w:rsid w:val="001A273A"/>
    <w:rsid w:val="001A33B9"/>
    <w:rsid w:val="001A55AE"/>
    <w:rsid w:val="001B0504"/>
    <w:rsid w:val="001B15D3"/>
    <w:rsid w:val="001B1AD8"/>
    <w:rsid w:val="001B2EC8"/>
    <w:rsid w:val="001B49EA"/>
    <w:rsid w:val="001B572B"/>
    <w:rsid w:val="001B653C"/>
    <w:rsid w:val="001C038A"/>
    <w:rsid w:val="001C19E4"/>
    <w:rsid w:val="001C1CAB"/>
    <w:rsid w:val="001C21D8"/>
    <w:rsid w:val="001C25C6"/>
    <w:rsid w:val="001C3137"/>
    <w:rsid w:val="001C497F"/>
    <w:rsid w:val="001C5361"/>
    <w:rsid w:val="001C5EE3"/>
    <w:rsid w:val="001C6408"/>
    <w:rsid w:val="001C644D"/>
    <w:rsid w:val="001C751D"/>
    <w:rsid w:val="001C7880"/>
    <w:rsid w:val="001D107C"/>
    <w:rsid w:val="001D142E"/>
    <w:rsid w:val="001D5BAE"/>
    <w:rsid w:val="001D6D9F"/>
    <w:rsid w:val="001D7C55"/>
    <w:rsid w:val="001E3EC5"/>
    <w:rsid w:val="001E5AE3"/>
    <w:rsid w:val="001E66FB"/>
    <w:rsid w:val="001E6743"/>
    <w:rsid w:val="001E6DB9"/>
    <w:rsid w:val="001F0CC3"/>
    <w:rsid w:val="001F0FE9"/>
    <w:rsid w:val="001F1EE1"/>
    <w:rsid w:val="001F4607"/>
    <w:rsid w:val="001F5B5D"/>
    <w:rsid w:val="001F6387"/>
    <w:rsid w:val="001F6F71"/>
    <w:rsid w:val="00201731"/>
    <w:rsid w:val="00202AB6"/>
    <w:rsid w:val="00204EA5"/>
    <w:rsid w:val="00206E63"/>
    <w:rsid w:val="00211F85"/>
    <w:rsid w:val="00213610"/>
    <w:rsid w:val="00214F74"/>
    <w:rsid w:val="00215F8D"/>
    <w:rsid w:val="00216308"/>
    <w:rsid w:val="002216F9"/>
    <w:rsid w:val="002232CC"/>
    <w:rsid w:val="002245A0"/>
    <w:rsid w:val="0022558E"/>
    <w:rsid w:val="002263D5"/>
    <w:rsid w:val="002307A5"/>
    <w:rsid w:val="00231ABC"/>
    <w:rsid w:val="00231C00"/>
    <w:rsid w:val="00232042"/>
    <w:rsid w:val="00233309"/>
    <w:rsid w:val="00236DBA"/>
    <w:rsid w:val="00241B9E"/>
    <w:rsid w:val="00242B87"/>
    <w:rsid w:val="00242E0B"/>
    <w:rsid w:val="00242F0A"/>
    <w:rsid w:val="00244B83"/>
    <w:rsid w:val="0025162C"/>
    <w:rsid w:val="00251C1A"/>
    <w:rsid w:val="00256491"/>
    <w:rsid w:val="00257B61"/>
    <w:rsid w:val="00257E5A"/>
    <w:rsid w:val="002602B2"/>
    <w:rsid w:val="002609E8"/>
    <w:rsid w:val="00261000"/>
    <w:rsid w:val="0026120D"/>
    <w:rsid w:val="002625E7"/>
    <w:rsid w:val="00262DA3"/>
    <w:rsid w:val="0026410E"/>
    <w:rsid w:val="0026726D"/>
    <w:rsid w:val="00271B4A"/>
    <w:rsid w:val="002722BB"/>
    <w:rsid w:val="00273DE6"/>
    <w:rsid w:val="00275199"/>
    <w:rsid w:val="0027615A"/>
    <w:rsid w:val="00276A5E"/>
    <w:rsid w:val="00280B19"/>
    <w:rsid w:val="00283A0F"/>
    <w:rsid w:val="00290418"/>
    <w:rsid w:val="0029106C"/>
    <w:rsid w:val="00292373"/>
    <w:rsid w:val="00292D2C"/>
    <w:rsid w:val="00292DA9"/>
    <w:rsid w:val="002936B6"/>
    <w:rsid w:val="00294191"/>
    <w:rsid w:val="002948DF"/>
    <w:rsid w:val="00294994"/>
    <w:rsid w:val="002955F6"/>
    <w:rsid w:val="00297448"/>
    <w:rsid w:val="00297729"/>
    <w:rsid w:val="00297EC2"/>
    <w:rsid w:val="002A1ECD"/>
    <w:rsid w:val="002A55B6"/>
    <w:rsid w:val="002B020C"/>
    <w:rsid w:val="002B0CC2"/>
    <w:rsid w:val="002B230A"/>
    <w:rsid w:val="002B23CC"/>
    <w:rsid w:val="002B291E"/>
    <w:rsid w:val="002B2D8A"/>
    <w:rsid w:val="002B31AF"/>
    <w:rsid w:val="002B6B24"/>
    <w:rsid w:val="002B736B"/>
    <w:rsid w:val="002C173D"/>
    <w:rsid w:val="002C3990"/>
    <w:rsid w:val="002C4487"/>
    <w:rsid w:val="002C4AC2"/>
    <w:rsid w:val="002C4E40"/>
    <w:rsid w:val="002C52D6"/>
    <w:rsid w:val="002C5838"/>
    <w:rsid w:val="002C6E46"/>
    <w:rsid w:val="002E104B"/>
    <w:rsid w:val="002E1A02"/>
    <w:rsid w:val="002E33D8"/>
    <w:rsid w:val="002E3953"/>
    <w:rsid w:val="002E493B"/>
    <w:rsid w:val="002E5851"/>
    <w:rsid w:val="002E67E4"/>
    <w:rsid w:val="002E76BE"/>
    <w:rsid w:val="002E76EB"/>
    <w:rsid w:val="002E78BD"/>
    <w:rsid w:val="002E7DE1"/>
    <w:rsid w:val="002F20FA"/>
    <w:rsid w:val="002F32D0"/>
    <w:rsid w:val="002F35C3"/>
    <w:rsid w:val="002F3EEB"/>
    <w:rsid w:val="002F47A4"/>
    <w:rsid w:val="002F5396"/>
    <w:rsid w:val="002F5E0F"/>
    <w:rsid w:val="002F76FB"/>
    <w:rsid w:val="002F7861"/>
    <w:rsid w:val="002F7EFC"/>
    <w:rsid w:val="00300699"/>
    <w:rsid w:val="00301F49"/>
    <w:rsid w:val="00303CD3"/>
    <w:rsid w:val="00303D2C"/>
    <w:rsid w:val="0030536E"/>
    <w:rsid w:val="00305E65"/>
    <w:rsid w:val="00315FFF"/>
    <w:rsid w:val="0031668A"/>
    <w:rsid w:val="003177AA"/>
    <w:rsid w:val="0032151A"/>
    <w:rsid w:val="00322662"/>
    <w:rsid w:val="00322B45"/>
    <w:rsid w:val="0032613C"/>
    <w:rsid w:val="00327438"/>
    <w:rsid w:val="00327B28"/>
    <w:rsid w:val="00327BDA"/>
    <w:rsid w:val="003311BC"/>
    <w:rsid w:val="00332816"/>
    <w:rsid w:val="00333550"/>
    <w:rsid w:val="0033726E"/>
    <w:rsid w:val="00340B14"/>
    <w:rsid w:val="00343590"/>
    <w:rsid w:val="00343B1F"/>
    <w:rsid w:val="003538FC"/>
    <w:rsid w:val="003550F8"/>
    <w:rsid w:val="00356290"/>
    <w:rsid w:val="003564A8"/>
    <w:rsid w:val="003564FC"/>
    <w:rsid w:val="003578EB"/>
    <w:rsid w:val="0036138F"/>
    <w:rsid w:val="0036161F"/>
    <w:rsid w:val="003616FA"/>
    <w:rsid w:val="00362D5C"/>
    <w:rsid w:val="00362E16"/>
    <w:rsid w:val="00363DB7"/>
    <w:rsid w:val="003663DF"/>
    <w:rsid w:val="0036720A"/>
    <w:rsid w:val="00367CDD"/>
    <w:rsid w:val="00367FC9"/>
    <w:rsid w:val="00370047"/>
    <w:rsid w:val="00372035"/>
    <w:rsid w:val="00374101"/>
    <w:rsid w:val="00375158"/>
    <w:rsid w:val="0038003F"/>
    <w:rsid w:val="00380B09"/>
    <w:rsid w:val="00381BCB"/>
    <w:rsid w:val="0038248B"/>
    <w:rsid w:val="00382F07"/>
    <w:rsid w:val="00382FD3"/>
    <w:rsid w:val="00385997"/>
    <w:rsid w:val="00386AA5"/>
    <w:rsid w:val="00390085"/>
    <w:rsid w:val="003903B6"/>
    <w:rsid w:val="003944DD"/>
    <w:rsid w:val="00394C77"/>
    <w:rsid w:val="00396121"/>
    <w:rsid w:val="0039632E"/>
    <w:rsid w:val="00396DAD"/>
    <w:rsid w:val="00397519"/>
    <w:rsid w:val="0039770C"/>
    <w:rsid w:val="00397782"/>
    <w:rsid w:val="003A3414"/>
    <w:rsid w:val="003A3B97"/>
    <w:rsid w:val="003A50D0"/>
    <w:rsid w:val="003A59E4"/>
    <w:rsid w:val="003A64EC"/>
    <w:rsid w:val="003A6970"/>
    <w:rsid w:val="003A6A4C"/>
    <w:rsid w:val="003A73C2"/>
    <w:rsid w:val="003A7708"/>
    <w:rsid w:val="003B14DF"/>
    <w:rsid w:val="003B2687"/>
    <w:rsid w:val="003B2888"/>
    <w:rsid w:val="003B39E6"/>
    <w:rsid w:val="003B48B3"/>
    <w:rsid w:val="003B4F00"/>
    <w:rsid w:val="003B684A"/>
    <w:rsid w:val="003B7598"/>
    <w:rsid w:val="003C2B6E"/>
    <w:rsid w:val="003C33D6"/>
    <w:rsid w:val="003C3A8F"/>
    <w:rsid w:val="003C5894"/>
    <w:rsid w:val="003C7E2D"/>
    <w:rsid w:val="003D07A7"/>
    <w:rsid w:val="003D319B"/>
    <w:rsid w:val="003E08A6"/>
    <w:rsid w:val="003E1309"/>
    <w:rsid w:val="003E25B5"/>
    <w:rsid w:val="003E2D87"/>
    <w:rsid w:val="003E45E6"/>
    <w:rsid w:val="003E66B9"/>
    <w:rsid w:val="003E7505"/>
    <w:rsid w:val="003F249B"/>
    <w:rsid w:val="003F7041"/>
    <w:rsid w:val="004003B3"/>
    <w:rsid w:val="00402604"/>
    <w:rsid w:val="00406FAC"/>
    <w:rsid w:val="004070E8"/>
    <w:rsid w:val="00407B57"/>
    <w:rsid w:val="00413333"/>
    <w:rsid w:val="00417C8D"/>
    <w:rsid w:val="00420584"/>
    <w:rsid w:val="00420DB6"/>
    <w:rsid w:val="00424280"/>
    <w:rsid w:val="00424541"/>
    <w:rsid w:val="0042498A"/>
    <w:rsid w:val="00425F91"/>
    <w:rsid w:val="00426736"/>
    <w:rsid w:val="0043069A"/>
    <w:rsid w:val="00434696"/>
    <w:rsid w:val="00435064"/>
    <w:rsid w:val="0043667A"/>
    <w:rsid w:val="00436B58"/>
    <w:rsid w:val="00437702"/>
    <w:rsid w:val="00437B7A"/>
    <w:rsid w:val="004423CD"/>
    <w:rsid w:val="0044322A"/>
    <w:rsid w:val="004432E2"/>
    <w:rsid w:val="00443495"/>
    <w:rsid w:val="004438AA"/>
    <w:rsid w:val="00443CED"/>
    <w:rsid w:val="00444207"/>
    <w:rsid w:val="00446129"/>
    <w:rsid w:val="00452EC1"/>
    <w:rsid w:val="004536D2"/>
    <w:rsid w:val="00453D31"/>
    <w:rsid w:val="004612F0"/>
    <w:rsid w:val="004617DD"/>
    <w:rsid w:val="00461875"/>
    <w:rsid w:val="00461E3D"/>
    <w:rsid w:val="004639A4"/>
    <w:rsid w:val="0046449F"/>
    <w:rsid w:val="0046451D"/>
    <w:rsid w:val="0046579F"/>
    <w:rsid w:val="00467E11"/>
    <w:rsid w:val="004709C6"/>
    <w:rsid w:val="0047137B"/>
    <w:rsid w:val="004716B8"/>
    <w:rsid w:val="00471985"/>
    <w:rsid w:val="00471E05"/>
    <w:rsid w:val="0047597B"/>
    <w:rsid w:val="0048048B"/>
    <w:rsid w:val="00481A49"/>
    <w:rsid w:val="004858E5"/>
    <w:rsid w:val="00487F0C"/>
    <w:rsid w:val="00491917"/>
    <w:rsid w:val="00491B9D"/>
    <w:rsid w:val="00493C22"/>
    <w:rsid w:val="00495A7E"/>
    <w:rsid w:val="004961F3"/>
    <w:rsid w:val="00496F9A"/>
    <w:rsid w:val="00497F0A"/>
    <w:rsid w:val="004A0843"/>
    <w:rsid w:val="004A1643"/>
    <w:rsid w:val="004A1711"/>
    <w:rsid w:val="004A28B0"/>
    <w:rsid w:val="004A373D"/>
    <w:rsid w:val="004A3E20"/>
    <w:rsid w:val="004A5133"/>
    <w:rsid w:val="004A54FD"/>
    <w:rsid w:val="004A7DCB"/>
    <w:rsid w:val="004B114A"/>
    <w:rsid w:val="004B1A67"/>
    <w:rsid w:val="004B1CB3"/>
    <w:rsid w:val="004B2262"/>
    <w:rsid w:val="004B3514"/>
    <w:rsid w:val="004B3659"/>
    <w:rsid w:val="004B4E19"/>
    <w:rsid w:val="004B5AE1"/>
    <w:rsid w:val="004B66E7"/>
    <w:rsid w:val="004B6F22"/>
    <w:rsid w:val="004B755A"/>
    <w:rsid w:val="004B7CF9"/>
    <w:rsid w:val="004C00ED"/>
    <w:rsid w:val="004C0BB2"/>
    <w:rsid w:val="004C1622"/>
    <w:rsid w:val="004C3E27"/>
    <w:rsid w:val="004C6B2A"/>
    <w:rsid w:val="004C7ED1"/>
    <w:rsid w:val="004D2A0E"/>
    <w:rsid w:val="004D3D3C"/>
    <w:rsid w:val="004D41E1"/>
    <w:rsid w:val="004D598F"/>
    <w:rsid w:val="004D60A4"/>
    <w:rsid w:val="004D6AF1"/>
    <w:rsid w:val="004D6FA9"/>
    <w:rsid w:val="004E271B"/>
    <w:rsid w:val="004E441B"/>
    <w:rsid w:val="004F1A86"/>
    <w:rsid w:val="004F2570"/>
    <w:rsid w:val="00501B48"/>
    <w:rsid w:val="005023BE"/>
    <w:rsid w:val="00502D33"/>
    <w:rsid w:val="00502F59"/>
    <w:rsid w:val="0050336B"/>
    <w:rsid w:val="005034F6"/>
    <w:rsid w:val="00504416"/>
    <w:rsid w:val="005059B1"/>
    <w:rsid w:val="0050607C"/>
    <w:rsid w:val="005076BA"/>
    <w:rsid w:val="00510CE1"/>
    <w:rsid w:val="00514E6A"/>
    <w:rsid w:val="0052118D"/>
    <w:rsid w:val="00522146"/>
    <w:rsid w:val="00522EC6"/>
    <w:rsid w:val="00522F05"/>
    <w:rsid w:val="005231F1"/>
    <w:rsid w:val="00523A49"/>
    <w:rsid w:val="00523C84"/>
    <w:rsid w:val="00523C86"/>
    <w:rsid w:val="00526348"/>
    <w:rsid w:val="005263E1"/>
    <w:rsid w:val="00526F32"/>
    <w:rsid w:val="005272EA"/>
    <w:rsid w:val="00527A18"/>
    <w:rsid w:val="00527EF2"/>
    <w:rsid w:val="00527F76"/>
    <w:rsid w:val="005328D9"/>
    <w:rsid w:val="00534299"/>
    <w:rsid w:val="00534EE4"/>
    <w:rsid w:val="005354A9"/>
    <w:rsid w:val="00536167"/>
    <w:rsid w:val="00537DDF"/>
    <w:rsid w:val="00540C58"/>
    <w:rsid w:val="0054118C"/>
    <w:rsid w:val="0054220C"/>
    <w:rsid w:val="0054257B"/>
    <w:rsid w:val="00544B03"/>
    <w:rsid w:val="00547502"/>
    <w:rsid w:val="005520AD"/>
    <w:rsid w:val="00552344"/>
    <w:rsid w:val="00552935"/>
    <w:rsid w:val="00552E1A"/>
    <w:rsid w:val="00553052"/>
    <w:rsid w:val="005532F3"/>
    <w:rsid w:val="00554415"/>
    <w:rsid w:val="00554C15"/>
    <w:rsid w:val="00555D87"/>
    <w:rsid w:val="00556D97"/>
    <w:rsid w:val="0055770A"/>
    <w:rsid w:val="0056031C"/>
    <w:rsid w:val="00560E4D"/>
    <w:rsid w:val="005611F4"/>
    <w:rsid w:val="00561ABF"/>
    <w:rsid w:val="00564161"/>
    <w:rsid w:val="005655DA"/>
    <w:rsid w:val="00565C34"/>
    <w:rsid w:val="00566BA8"/>
    <w:rsid w:val="00567567"/>
    <w:rsid w:val="00567792"/>
    <w:rsid w:val="0057036A"/>
    <w:rsid w:val="0057206D"/>
    <w:rsid w:val="00572977"/>
    <w:rsid w:val="005730FB"/>
    <w:rsid w:val="00573D7A"/>
    <w:rsid w:val="00574217"/>
    <w:rsid w:val="0057434A"/>
    <w:rsid w:val="00575539"/>
    <w:rsid w:val="005777B0"/>
    <w:rsid w:val="0058240D"/>
    <w:rsid w:val="0059344E"/>
    <w:rsid w:val="0059438D"/>
    <w:rsid w:val="00594436"/>
    <w:rsid w:val="00595B95"/>
    <w:rsid w:val="00597443"/>
    <w:rsid w:val="005A018B"/>
    <w:rsid w:val="005A5884"/>
    <w:rsid w:val="005A59D3"/>
    <w:rsid w:val="005A63DA"/>
    <w:rsid w:val="005A6BF0"/>
    <w:rsid w:val="005B065B"/>
    <w:rsid w:val="005B249A"/>
    <w:rsid w:val="005B2BB3"/>
    <w:rsid w:val="005B2E70"/>
    <w:rsid w:val="005B5B4D"/>
    <w:rsid w:val="005B74FE"/>
    <w:rsid w:val="005B795F"/>
    <w:rsid w:val="005C17E3"/>
    <w:rsid w:val="005C49B9"/>
    <w:rsid w:val="005C4ADF"/>
    <w:rsid w:val="005C4C40"/>
    <w:rsid w:val="005C5F07"/>
    <w:rsid w:val="005C6999"/>
    <w:rsid w:val="005D0314"/>
    <w:rsid w:val="005D2D28"/>
    <w:rsid w:val="005D2FB5"/>
    <w:rsid w:val="005D554E"/>
    <w:rsid w:val="005D62EF"/>
    <w:rsid w:val="005D6CB8"/>
    <w:rsid w:val="005E3725"/>
    <w:rsid w:val="005E6D89"/>
    <w:rsid w:val="005E7A0C"/>
    <w:rsid w:val="005F0B74"/>
    <w:rsid w:val="005F1252"/>
    <w:rsid w:val="005F2AD3"/>
    <w:rsid w:val="005F2B18"/>
    <w:rsid w:val="005F74AC"/>
    <w:rsid w:val="00600958"/>
    <w:rsid w:val="00600A9D"/>
    <w:rsid w:val="00601A4C"/>
    <w:rsid w:val="0060248A"/>
    <w:rsid w:val="00602921"/>
    <w:rsid w:val="00603DAD"/>
    <w:rsid w:val="00605405"/>
    <w:rsid w:val="00606823"/>
    <w:rsid w:val="00606FC1"/>
    <w:rsid w:val="006075E4"/>
    <w:rsid w:val="00607841"/>
    <w:rsid w:val="00607D6A"/>
    <w:rsid w:val="00607DF1"/>
    <w:rsid w:val="006114D0"/>
    <w:rsid w:val="006147B9"/>
    <w:rsid w:val="00615465"/>
    <w:rsid w:val="0062561A"/>
    <w:rsid w:val="0062782F"/>
    <w:rsid w:val="00627DB3"/>
    <w:rsid w:val="00631745"/>
    <w:rsid w:val="0063322A"/>
    <w:rsid w:val="00633841"/>
    <w:rsid w:val="006338F7"/>
    <w:rsid w:val="00633907"/>
    <w:rsid w:val="00633D15"/>
    <w:rsid w:val="00635889"/>
    <w:rsid w:val="006365AE"/>
    <w:rsid w:val="00636A5A"/>
    <w:rsid w:val="00636B5E"/>
    <w:rsid w:val="006377A2"/>
    <w:rsid w:val="00641D9B"/>
    <w:rsid w:val="006432A3"/>
    <w:rsid w:val="00643E2D"/>
    <w:rsid w:val="00647DCD"/>
    <w:rsid w:val="006528D2"/>
    <w:rsid w:val="00653DDA"/>
    <w:rsid w:val="00655CA7"/>
    <w:rsid w:val="00657B63"/>
    <w:rsid w:val="006608DB"/>
    <w:rsid w:val="006637A8"/>
    <w:rsid w:val="00663C4F"/>
    <w:rsid w:val="006650A0"/>
    <w:rsid w:val="00665CEA"/>
    <w:rsid w:val="00667C23"/>
    <w:rsid w:val="006700CD"/>
    <w:rsid w:val="00671DC5"/>
    <w:rsid w:val="00672271"/>
    <w:rsid w:val="0067298A"/>
    <w:rsid w:val="006742EB"/>
    <w:rsid w:val="00674CC7"/>
    <w:rsid w:val="006766A7"/>
    <w:rsid w:val="006806BC"/>
    <w:rsid w:val="006808ED"/>
    <w:rsid w:val="00682BF3"/>
    <w:rsid w:val="00684D58"/>
    <w:rsid w:val="00687E1F"/>
    <w:rsid w:val="006908A6"/>
    <w:rsid w:val="006909A9"/>
    <w:rsid w:val="00692184"/>
    <w:rsid w:val="006928CD"/>
    <w:rsid w:val="00692C1C"/>
    <w:rsid w:val="00693717"/>
    <w:rsid w:val="00695A22"/>
    <w:rsid w:val="006962C7"/>
    <w:rsid w:val="00696397"/>
    <w:rsid w:val="006A15C3"/>
    <w:rsid w:val="006A26C6"/>
    <w:rsid w:val="006A2E1D"/>
    <w:rsid w:val="006A3138"/>
    <w:rsid w:val="006A3EDD"/>
    <w:rsid w:val="006A4712"/>
    <w:rsid w:val="006A48FD"/>
    <w:rsid w:val="006A4EA3"/>
    <w:rsid w:val="006A71DB"/>
    <w:rsid w:val="006B39E5"/>
    <w:rsid w:val="006B5AC3"/>
    <w:rsid w:val="006B66BD"/>
    <w:rsid w:val="006B7354"/>
    <w:rsid w:val="006C0AE5"/>
    <w:rsid w:val="006C373F"/>
    <w:rsid w:val="006C5250"/>
    <w:rsid w:val="006C6B9F"/>
    <w:rsid w:val="006C6F0A"/>
    <w:rsid w:val="006C756D"/>
    <w:rsid w:val="006C7E43"/>
    <w:rsid w:val="006D3942"/>
    <w:rsid w:val="006D4394"/>
    <w:rsid w:val="006E19A2"/>
    <w:rsid w:val="006E39EE"/>
    <w:rsid w:val="006E5462"/>
    <w:rsid w:val="006E69D1"/>
    <w:rsid w:val="006E6B42"/>
    <w:rsid w:val="006F0567"/>
    <w:rsid w:val="006F3C41"/>
    <w:rsid w:val="006F46BE"/>
    <w:rsid w:val="006F4CB4"/>
    <w:rsid w:val="006F51A4"/>
    <w:rsid w:val="006F55E6"/>
    <w:rsid w:val="006F6732"/>
    <w:rsid w:val="006F7E72"/>
    <w:rsid w:val="00700EDF"/>
    <w:rsid w:val="00700F29"/>
    <w:rsid w:val="00701F2B"/>
    <w:rsid w:val="00703E62"/>
    <w:rsid w:val="0070559E"/>
    <w:rsid w:val="00706828"/>
    <w:rsid w:val="00712FE1"/>
    <w:rsid w:val="00714A4E"/>
    <w:rsid w:val="00714CF2"/>
    <w:rsid w:val="00716689"/>
    <w:rsid w:val="00720287"/>
    <w:rsid w:val="00721184"/>
    <w:rsid w:val="007243B3"/>
    <w:rsid w:val="007250C2"/>
    <w:rsid w:val="0072513A"/>
    <w:rsid w:val="00725A13"/>
    <w:rsid w:val="007306D5"/>
    <w:rsid w:val="007307FD"/>
    <w:rsid w:val="0073171B"/>
    <w:rsid w:val="007321D5"/>
    <w:rsid w:val="0073438F"/>
    <w:rsid w:val="00734849"/>
    <w:rsid w:val="00734AA7"/>
    <w:rsid w:val="00735098"/>
    <w:rsid w:val="007350A6"/>
    <w:rsid w:val="00735BD4"/>
    <w:rsid w:val="00736EC8"/>
    <w:rsid w:val="00740AD5"/>
    <w:rsid w:val="00741D06"/>
    <w:rsid w:val="00742217"/>
    <w:rsid w:val="00742CE7"/>
    <w:rsid w:val="00742F3F"/>
    <w:rsid w:val="0074508D"/>
    <w:rsid w:val="007453B8"/>
    <w:rsid w:val="00746A67"/>
    <w:rsid w:val="00747555"/>
    <w:rsid w:val="007509CC"/>
    <w:rsid w:val="0075162C"/>
    <w:rsid w:val="00754384"/>
    <w:rsid w:val="007544C1"/>
    <w:rsid w:val="0075497B"/>
    <w:rsid w:val="00754DC3"/>
    <w:rsid w:val="00755595"/>
    <w:rsid w:val="00760A05"/>
    <w:rsid w:val="00761644"/>
    <w:rsid w:val="007633D4"/>
    <w:rsid w:val="00765B8B"/>
    <w:rsid w:val="00766023"/>
    <w:rsid w:val="00771ECE"/>
    <w:rsid w:val="0077260C"/>
    <w:rsid w:val="0077266A"/>
    <w:rsid w:val="00773030"/>
    <w:rsid w:val="00773329"/>
    <w:rsid w:val="007738F0"/>
    <w:rsid w:val="00774616"/>
    <w:rsid w:val="00775188"/>
    <w:rsid w:val="00775AD7"/>
    <w:rsid w:val="00781C29"/>
    <w:rsid w:val="00786B95"/>
    <w:rsid w:val="00786CDF"/>
    <w:rsid w:val="007904B3"/>
    <w:rsid w:val="0079288F"/>
    <w:rsid w:val="007A06F9"/>
    <w:rsid w:val="007A0B06"/>
    <w:rsid w:val="007A0FD3"/>
    <w:rsid w:val="007A15E3"/>
    <w:rsid w:val="007A15FB"/>
    <w:rsid w:val="007A19D6"/>
    <w:rsid w:val="007A313E"/>
    <w:rsid w:val="007A3C9B"/>
    <w:rsid w:val="007A57E8"/>
    <w:rsid w:val="007A59A4"/>
    <w:rsid w:val="007B0351"/>
    <w:rsid w:val="007B121D"/>
    <w:rsid w:val="007B38FD"/>
    <w:rsid w:val="007B5286"/>
    <w:rsid w:val="007B55DF"/>
    <w:rsid w:val="007B6A66"/>
    <w:rsid w:val="007B6D60"/>
    <w:rsid w:val="007C3772"/>
    <w:rsid w:val="007C7E28"/>
    <w:rsid w:val="007D07C2"/>
    <w:rsid w:val="007D0EF7"/>
    <w:rsid w:val="007D127C"/>
    <w:rsid w:val="007D4513"/>
    <w:rsid w:val="007D5DEA"/>
    <w:rsid w:val="007D6736"/>
    <w:rsid w:val="007D7358"/>
    <w:rsid w:val="007D7904"/>
    <w:rsid w:val="007D7BBD"/>
    <w:rsid w:val="007E01EC"/>
    <w:rsid w:val="007E05F7"/>
    <w:rsid w:val="007E1B79"/>
    <w:rsid w:val="007E4769"/>
    <w:rsid w:val="007E59B3"/>
    <w:rsid w:val="007E70FE"/>
    <w:rsid w:val="007E79E7"/>
    <w:rsid w:val="007F368B"/>
    <w:rsid w:val="007F3D76"/>
    <w:rsid w:val="007F5B6C"/>
    <w:rsid w:val="007F603E"/>
    <w:rsid w:val="007F6540"/>
    <w:rsid w:val="0080156B"/>
    <w:rsid w:val="00801FBE"/>
    <w:rsid w:val="008023B3"/>
    <w:rsid w:val="00803CC8"/>
    <w:rsid w:val="008048A2"/>
    <w:rsid w:val="0080576A"/>
    <w:rsid w:val="00805794"/>
    <w:rsid w:val="0080601B"/>
    <w:rsid w:val="0080633F"/>
    <w:rsid w:val="00806B32"/>
    <w:rsid w:val="008101A4"/>
    <w:rsid w:val="00812B57"/>
    <w:rsid w:val="00813759"/>
    <w:rsid w:val="00815143"/>
    <w:rsid w:val="008160BD"/>
    <w:rsid w:val="00816CF2"/>
    <w:rsid w:val="00822FF9"/>
    <w:rsid w:val="008234B0"/>
    <w:rsid w:val="00824140"/>
    <w:rsid w:val="00824DF1"/>
    <w:rsid w:val="008262E8"/>
    <w:rsid w:val="00827B31"/>
    <w:rsid w:val="00827B35"/>
    <w:rsid w:val="008304D9"/>
    <w:rsid w:val="00830F25"/>
    <w:rsid w:val="00831C04"/>
    <w:rsid w:val="00833907"/>
    <w:rsid w:val="0083453D"/>
    <w:rsid w:val="008424F8"/>
    <w:rsid w:val="008428C9"/>
    <w:rsid w:val="00843024"/>
    <w:rsid w:val="00843E2B"/>
    <w:rsid w:val="0084484D"/>
    <w:rsid w:val="008455B7"/>
    <w:rsid w:val="008457CC"/>
    <w:rsid w:val="0084660B"/>
    <w:rsid w:val="00846AA9"/>
    <w:rsid w:val="00846D54"/>
    <w:rsid w:val="00851CED"/>
    <w:rsid w:val="0085202A"/>
    <w:rsid w:val="00852C05"/>
    <w:rsid w:val="00853221"/>
    <w:rsid w:val="00856870"/>
    <w:rsid w:val="008568CA"/>
    <w:rsid w:val="008568ED"/>
    <w:rsid w:val="00861952"/>
    <w:rsid w:val="00862F27"/>
    <w:rsid w:val="00863FAE"/>
    <w:rsid w:val="00864204"/>
    <w:rsid w:val="00864BD3"/>
    <w:rsid w:val="00864E1C"/>
    <w:rsid w:val="0086514F"/>
    <w:rsid w:val="00866AC0"/>
    <w:rsid w:val="008701CB"/>
    <w:rsid w:val="008708CC"/>
    <w:rsid w:val="008709FB"/>
    <w:rsid w:val="00871F1D"/>
    <w:rsid w:val="00872554"/>
    <w:rsid w:val="0087676C"/>
    <w:rsid w:val="0087688A"/>
    <w:rsid w:val="0087766F"/>
    <w:rsid w:val="008803F6"/>
    <w:rsid w:val="00880E99"/>
    <w:rsid w:val="0088147B"/>
    <w:rsid w:val="00884867"/>
    <w:rsid w:val="008859F3"/>
    <w:rsid w:val="00890861"/>
    <w:rsid w:val="00890A45"/>
    <w:rsid w:val="00890C3D"/>
    <w:rsid w:val="00891C63"/>
    <w:rsid w:val="00894FAB"/>
    <w:rsid w:val="0089645D"/>
    <w:rsid w:val="008A002F"/>
    <w:rsid w:val="008A14AC"/>
    <w:rsid w:val="008A1ED1"/>
    <w:rsid w:val="008A2145"/>
    <w:rsid w:val="008A3302"/>
    <w:rsid w:val="008A40EF"/>
    <w:rsid w:val="008B0606"/>
    <w:rsid w:val="008B1E17"/>
    <w:rsid w:val="008B1F8E"/>
    <w:rsid w:val="008B5F8B"/>
    <w:rsid w:val="008B6342"/>
    <w:rsid w:val="008B74C0"/>
    <w:rsid w:val="008B7C8B"/>
    <w:rsid w:val="008C09DC"/>
    <w:rsid w:val="008C389E"/>
    <w:rsid w:val="008C3AE9"/>
    <w:rsid w:val="008C4FDA"/>
    <w:rsid w:val="008C5B0D"/>
    <w:rsid w:val="008C7694"/>
    <w:rsid w:val="008D0099"/>
    <w:rsid w:val="008D00B1"/>
    <w:rsid w:val="008D084B"/>
    <w:rsid w:val="008D1054"/>
    <w:rsid w:val="008D125A"/>
    <w:rsid w:val="008D1F74"/>
    <w:rsid w:val="008D2129"/>
    <w:rsid w:val="008D2714"/>
    <w:rsid w:val="008D779D"/>
    <w:rsid w:val="008D7AC5"/>
    <w:rsid w:val="008E030A"/>
    <w:rsid w:val="008E4777"/>
    <w:rsid w:val="008E6A42"/>
    <w:rsid w:val="008E72BB"/>
    <w:rsid w:val="008E7C64"/>
    <w:rsid w:val="008F01EC"/>
    <w:rsid w:val="008F0B3C"/>
    <w:rsid w:val="008F12B3"/>
    <w:rsid w:val="008F23FC"/>
    <w:rsid w:val="008F7C69"/>
    <w:rsid w:val="008F7C81"/>
    <w:rsid w:val="009001F0"/>
    <w:rsid w:val="0090101E"/>
    <w:rsid w:val="00901A1D"/>
    <w:rsid w:val="00902037"/>
    <w:rsid w:val="0090272A"/>
    <w:rsid w:val="00903419"/>
    <w:rsid w:val="00903939"/>
    <w:rsid w:val="0090465B"/>
    <w:rsid w:val="00904F22"/>
    <w:rsid w:val="00905850"/>
    <w:rsid w:val="00907BC5"/>
    <w:rsid w:val="00907C8A"/>
    <w:rsid w:val="00912B91"/>
    <w:rsid w:val="009151A2"/>
    <w:rsid w:val="0091683E"/>
    <w:rsid w:val="00917704"/>
    <w:rsid w:val="00921D1B"/>
    <w:rsid w:val="009238A7"/>
    <w:rsid w:val="009263B5"/>
    <w:rsid w:val="00926A84"/>
    <w:rsid w:val="00927849"/>
    <w:rsid w:val="00931942"/>
    <w:rsid w:val="009322F2"/>
    <w:rsid w:val="00932306"/>
    <w:rsid w:val="00936200"/>
    <w:rsid w:val="009365A7"/>
    <w:rsid w:val="009376BD"/>
    <w:rsid w:val="00937AD2"/>
    <w:rsid w:val="009403E8"/>
    <w:rsid w:val="00942116"/>
    <w:rsid w:val="00943D37"/>
    <w:rsid w:val="009440A0"/>
    <w:rsid w:val="00945369"/>
    <w:rsid w:val="00945A33"/>
    <w:rsid w:val="0094636A"/>
    <w:rsid w:val="00946B01"/>
    <w:rsid w:val="00952240"/>
    <w:rsid w:val="009527FA"/>
    <w:rsid w:val="00952893"/>
    <w:rsid w:val="009547BE"/>
    <w:rsid w:val="00956095"/>
    <w:rsid w:val="0095752B"/>
    <w:rsid w:val="0095761E"/>
    <w:rsid w:val="00960B29"/>
    <w:rsid w:val="009616BC"/>
    <w:rsid w:val="009666AA"/>
    <w:rsid w:val="0096672A"/>
    <w:rsid w:val="00966BF1"/>
    <w:rsid w:val="00971343"/>
    <w:rsid w:val="00971E61"/>
    <w:rsid w:val="00973AA0"/>
    <w:rsid w:val="00974549"/>
    <w:rsid w:val="009749E2"/>
    <w:rsid w:val="00976304"/>
    <w:rsid w:val="0097788E"/>
    <w:rsid w:val="00980779"/>
    <w:rsid w:val="00983A0C"/>
    <w:rsid w:val="00984124"/>
    <w:rsid w:val="00985FEE"/>
    <w:rsid w:val="00990FCB"/>
    <w:rsid w:val="009912FE"/>
    <w:rsid w:val="009926CE"/>
    <w:rsid w:val="009930B1"/>
    <w:rsid w:val="00993DF6"/>
    <w:rsid w:val="00994FDE"/>
    <w:rsid w:val="0099525D"/>
    <w:rsid w:val="00996222"/>
    <w:rsid w:val="00997439"/>
    <w:rsid w:val="009A30DB"/>
    <w:rsid w:val="009A5395"/>
    <w:rsid w:val="009A5ADB"/>
    <w:rsid w:val="009A6CD5"/>
    <w:rsid w:val="009B137A"/>
    <w:rsid w:val="009B2147"/>
    <w:rsid w:val="009B49B0"/>
    <w:rsid w:val="009C14BD"/>
    <w:rsid w:val="009C462C"/>
    <w:rsid w:val="009C500F"/>
    <w:rsid w:val="009C5C9F"/>
    <w:rsid w:val="009C76D3"/>
    <w:rsid w:val="009C7C88"/>
    <w:rsid w:val="009C7FB5"/>
    <w:rsid w:val="009D0630"/>
    <w:rsid w:val="009D1CBE"/>
    <w:rsid w:val="009D3C5E"/>
    <w:rsid w:val="009D57DA"/>
    <w:rsid w:val="009D72B5"/>
    <w:rsid w:val="009E28FA"/>
    <w:rsid w:val="009E438E"/>
    <w:rsid w:val="009E4562"/>
    <w:rsid w:val="009E6823"/>
    <w:rsid w:val="009E715E"/>
    <w:rsid w:val="009E731D"/>
    <w:rsid w:val="009E7D81"/>
    <w:rsid w:val="009E7DC1"/>
    <w:rsid w:val="009F3637"/>
    <w:rsid w:val="009F36FF"/>
    <w:rsid w:val="009F3C01"/>
    <w:rsid w:val="009F3C30"/>
    <w:rsid w:val="009F4261"/>
    <w:rsid w:val="009F4BF4"/>
    <w:rsid w:val="009F7E96"/>
    <w:rsid w:val="00A019B0"/>
    <w:rsid w:val="00A01B7F"/>
    <w:rsid w:val="00A06483"/>
    <w:rsid w:val="00A074F5"/>
    <w:rsid w:val="00A07A29"/>
    <w:rsid w:val="00A101DB"/>
    <w:rsid w:val="00A1033D"/>
    <w:rsid w:val="00A10A35"/>
    <w:rsid w:val="00A10F7C"/>
    <w:rsid w:val="00A12622"/>
    <w:rsid w:val="00A14FCD"/>
    <w:rsid w:val="00A1580B"/>
    <w:rsid w:val="00A16B09"/>
    <w:rsid w:val="00A17DEE"/>
    <w:rsid w:val="00A25A0C"/>
    <w:rsid w:val="00A3016B"/>
    <w:rsid w:val="00A31A44"/>
    <w:rsid w:val="00A346A6"/>
    <w:rsid w:val="00A35863"/>
    <w:rsid w:val="00A37F0D"/>
    <w:rsid w:val="00A407A1"/>
    <w:rsid w:val="00A421A6"/>
    <w:rsid w:val="00A42ACF"/>
    <w:rsid w:val="00A432CB"/>
    <w:rsid w:val="00A44803"/>
    <w:rsid w:val="00A44CC3"/>
    <w:rsid w:val="00A459BE"/>
    <w:rsid w:val="00A467D4"/>
    <w:rsid w:val="00A4735C"/>
    <w:rsid w:val="00A47794"/>
    <w:rsid w:val="00A51739"/>
    <w:rsid w:val="00A51753"/>
    <w:rsid w:val="00A52C0C"/>
    <w:rsid w:val="00A532EF"/>
    <w:rsid w:val="00A5592C"/>
    <w:rsid w:val="00A56216"/>
    <w:rsid w:val="00A56255"/>
    <w:rsid w:val="00A564E8"/>
    <w:rsid w:val="00A569F3"/>
    <w:rsid w:val="00A57752"/>
    <w:rsid w:val="00A63CE9"/>
    <w:rsid w:val="00A6593B"/>
    <w:rsid w:val="00A65CCD"/>
    <w:rsid w:val="00A6673C"/>
    <w:rsid w:val="00A710A9"/>
    <w:rsid w:val="00A72A2A"/>
    <w:rsid w:val="00A72D14"/>
    <w:rsid w:val="00A77F7A"/>
    <w:rsid w:val="00A80F8F"/>
    <w:rsid w:val="00A81853"/>
    <w:rsid w:val="00A83327"/>
    <w:rsid w:val="00A83CF0"/>
    <w:rsid w:val="00A8482B"/>
    <w:rsid w:val="00A86B3B"/>
    <w:rsid w:val="00A86B78"/>
    <w:rsid w:val="00A87393"/>
    <w:rsid w:val="00A87B4E"/>
    <w:rsid w:val="00A90BC7"/>
    <w:rsid w:val="00A969E7"/>
    <w:rsid w:val="00A96CB6"/>
    <w:rsid w:val="00AA2574"/>
    <w:rsid w:val="00AA3379"/>
    <w:rsid w:val="00AA3F47"/>
    <w:rsid w:val="00AA44FC"/>
    <w:rsid w:val="00AA5468"/>
    <w:rsid w:val="00AA6B49"/>
    <w:rsid w:val="00AA7942"/>
    <w:rsid w:val="00AA7B57"/>
    <w:rsid w:val="00AB190B"/>
    <w:rsid w:val="00AB27F3"/>
    <w:rsid w:val="00AB2E02"/>
    <w:rsid w:val="00AB45EC"/>
    <w:rsid w:val="00AB4785"/>
    <w:rsid w:val="00AB5A96"/>
    <w:rsid w:val="00AC1AFB"/>
    <w:rsid w:val="00AC2D31"/>
    <w:rsid w:val="00AC2FAA"/>
    <w:rsid w:val="00AC42A8"/>
    <w:rsid w:val="00AC4542"/>
    <w:rsid w:val="00AC784B"/>
    <w:rsid w:val="00AC7908"/>
    <w:rsid w:val="00AD0E0D"/>
    <w:rsid w:val="00AD1138"/>
    <w:rsid w:val="00AD2114"/>
    <w:rsid w:val="00AD2135"/>
    <w:rsid w:val="00AD28B1"/>
    <w:rsid w:val="00AD292E"/>
    <w:rsid w:val="00AD3246"/>
    <w:rsid w:val="00AD4093"/>
    <w:rsid w:val="00AD6542"/>
    <w:rsid w:val="00AE01A2"/>
    <w:rsid w:val="00AE01E9"/>
    <w:rsid w:val="00AE600C"/>
    <w:rsid w:val="00AF07EC"/>
    <w:rsid w:val="00AF1929"/>
    <w:rsid w:val="00AF4B42"/>
    <w:rsid w:val="00AF520A"/>
    <w:rsid w:val="00AF6446"/>
    <w:rsid w:val="00AF7200"/>
    <w:rsid w:val="00AF73E4"/>
    <w:rsid w:val="00AF7ADA"/>
    <w:rsid w:val="00B03481"/>
    <w:rsid w:val="00B05C64"/>
    <w:rsid w:val="00B06AF8"/>
    <w:rsid w:val="00B07199"/>
    <w:rsid w:val="00B0742D"/>
    <w:rsid w:val="00B130C6"/>
    <w:rsid w:val="00B131C8"/>
    <w:rsid w:val="00B143AA"/>
    <w:rsid w:val="00B150FB"/>
    <w:rsid w:val="00B17C71"/>
    <w:rsid w:val="00B21D85"/>
    <w:rsid w:val="00B227AA"/>
    <w:rsid w:val="00B23DCB"/>
    <w:rsid w:val="00B2450B"/>
    <w:rsid w:val="00B24DD7"/>
    <w:rsid w:val="00B24F4B"/>
    <w:rsid w:val="00B308DE"/>
    <w:rsid w:val="00B309A2"/>
    <w:rsid w:val="00B3183F"/>
    <w:rsid w:val="00B329CC"/>
    <w:rsid w:val="00B32A0B"/>
    <w:rsid w:val="00B337B2"/>
    <w:rsid w:val="00B34D0F"/>
    <w:rsid w:val="00B3608A"/>
    <w:rsid w:val="00B36AB5"/>
    <w:rsid w:val="00B4012B"/>
    <w:rsid w:val="00B4192A"/>
    <w:rsid w:val="00B42876"/>
    <w:rsid w:val="00B428B9"/>
    <w:rsid w:val="00B42BF9"/>
    <w:rsid w:val="00B45ED6"/>
    <w:rsid w:val="00B47D07"/>
    <w:rsid w:val="00B50FCF"/>
    <w:rsid w:val="00B51348"/>
    <w:rsid w:val="00B53A50"/>
    <w:rsid w:val="00B53C93"/>
    <w:rsid w:val="00B550F0"/>
    <w:rsid w:val="00B55C83"/>
    <w:rsid w:val="00B56092"/>
    <w:rsid w:val="00B56EF9"/>
    <w:rsid w:val="00B602A6"/>
    <w:rsid w:val="00B65E60"/>
    <w:rsid w:val="00B66568"/>
    <w:rsid w:val="00B6690E"/>
    <w:rsid w:val="00B67667"/>
    <w:rsid w:val="00B80FC0"/>
    <w:rsid w:val="00B8120E"/>
    <w:rsid w:val="00B834DA"/>
    <w:rsid w:val="00B839F1"/>
    <w:rsid w:val="00B85C87"/>
    <w:rsid w:val="00B861E9"/>
    <w:rsid w:val="00B86B43"/>
    <w:rsid w:val="00B920AD"/>
    <w:rsid w:val="00B930E5"/>
    <w:rsid w:val="00B941BF"/>
    <w:rsid w:val="00B94592"/>
    <w:rsid w:val="00B96464"/>
    <w:rsid w:val="00BA1214"/>
    <w:rsid w:val="00BA123C"/>
    <w:rsid w:val="00BA2D4B"/>
    <w:rsid w:val="00BA3103"/>
    <w:rsid w:val="00BA375C"/>
    <w:rsid w:val="00BA3B9B"/>
    <w:rsid w:val="00BA435A"/>
    <w:rsid w:val="00BA4517"/>
    <w:rsid w:val="00BA499D"/>
    <w:rsid w:val="00BB0DD0"/>
    <w:rsid w:val="00BB1CFC"/>
    <w:rsid w:val="00BB2A9C"/>
    <w:rsid w:val="00BB2D2D"/>
    <w:rsid w:val="00BB2EC1"/>
    <w:rsid w:val="00BB3C46"/>
    <w:rsid w:val="00BB5AE3"/>
    <w:rsid w:val="00BB605E"/>
    <w:rsid w:val="00BB6A3B"/>
    <w:rsid w:val="00BB6C41"/>
    <w:rsid w:val="00BB7341"/>
    <w:rsid w:val="00BB78AD"/>
    <w:rsid w:val="00BB7EAD"/>
    <w:rsid w:val="00BC2308"/>
    <w:rsid w:val="00BC340D"/>
    <w:rsid w:val="00BD06B9"/>
    <w:rsid w:val="00BD18FF"/>
    <w:rsid w:val="00BD2860"/>
    <w:rsid w:val="00BD3D78"/>
    <w:rsid w:val="00BD4A85"/>
    <w:rsid w:val="00BD57FE"/>
    <w:rsid w:val="00BE0BCE"/>
    <w:rsid w:val="00BE4062"/>
    <w:rsid w:val="00BE4D61"/>
    <w:rsid w:val="00BE50D3"/>
    <w:rsid w:val="00BE584F"/>
    <w:rsid w:val="00BE5BAA"/>
    <w:rsid w:val="00BE6729"/>
    <w:rsid w:val="00BF1114"/>
    <w:rsid w:val="00BF13C3"/>
    <w:rsid w:val="00BF28A2"/>
    <w:rsid w:val="00BF28E8"/>
    <w:rsid w:val="00BF3514"/>
    <w:rsid w:val="00BF3CF1"/>
    <w:rsid w:val="00BF5D4F"/>
    <w:rsid w:val="00BF6977"/>
    <w:rsid w:val="00C00F95"/>
    <w:rsid w:val="00C013EE"/>
    <w:rsid w:val="00C03BAB"/>
    <w:rsid w:val="00C07606"/>
    <w:rsid w:val="00C07687"/>
    <w:rsid w:val="00C1153F"/>
    <w:rsid w:val="00C11D59"/>
    <w:rsid w:val="00C13C22"/>
    <w:rsid w:val="00C13FCD"/>
    <w:rsid w:val="00C14C32"/>
    <w:rsid w:val="00C15B3D"/>
    <w:rsid w:val="00C15B4D"/>
    <w:rsid w:val="00C162A6"/>
    <w:rsid w:val="00C16776"/>
    <w:rsid w:val="00C179D0"/>
    <w:rsid w:val="00C17CAD"/>
    <w:rsid w:val="00C21128"/>
    <w:rsid w:val="00C226A9"/>
    <w:rsid w:val="00C2443B"/>
    <w:rsid w:val="00C25E5B"/>
    <w:rsid w:val="00C3017A"/>
    <w:rsid w:val="00C31E50"/>
    <w:rsid w:val="00C322AA"/>
    <w:rsid w:val="00C334A3"/>
    <w:rsid w:val="00C338AC"/>
    <w:rsid w:val="00C35D15"/>
    <w:rsid w:val="00C3789F"/>
    <w:rsid w:val="00C40FDB"/>
    <w:rsid w:val="00C4203F"/>
    <w:rsid w:val="00C4238B"/>
    <w:rsid w:val="00C43050"/>
    <w:rsid w:val="00C43B59"/>
    <w:rsid w:val="00C43DEC"/>
    <w:rsid w:val="00C45494"/>
    <w:rsid w:val="00C46DF4"/>
    <w:rsid w:val="00C4725B"/>
    <w:rsid w:val="00C475B2"/>
    <w:rsid w:val="00C50A8C"/>
    <w:rsid w:val="00C528C6"/>
    <w:rsid w:val="00C556A9"/>
    <w:rsid w:val="00C56ABB"/>
    <w:rsid w:val="00C56E44"/>
    <w:rsid w:val="00C603F6"/>
    <w:rsid w:val="00C604E0"/>
    <w:rsid w:val="00C617A6"/>
    <w:rsid w:val="00C61E57"/>
    <w:rsid w:val="00C62E6E"/>
    <w:rsid w:val="00C678E6"/>
    <w:rsid w:val="00C679AA"/>
    <w:rsid w:val="00C7180E"/>
    <w:rsid w:val="00C71F68"/>
    <w:rsid w:val="00C753E2"/>
    <w:rsid w:val="00C77388"/>
    <w:rsid w:val="00C773AD"/>
    <w:rsid w:val="00C81CAF"/>
    <w:rsid w:val="00C826DD"/>
    <w:rsid w:val="00C875B3"/>
    <w:rsid w:val="00C915E6"/>
    <w:rsid w:val="00C917E6"/>
    <w:rsid w:val="00C932AA"/>
    <w:rsid w:val="00C956EE"/>
    <w:rsid w:val="00C963CA"/>
    <w:rsid w:val="00C965DD"/>
    <w:rsid w:val="00C972F1"/>
    <w:rsid w:val="00C97987"/>
    <w:rsid w:val="00CA0C4C"/>
    <w:rsid w:val="00CA2DDC"/>
    <w:rsid w:val="00CA4466"/>
    <w:rsid w:val="00CA76B3"/>
    <w:rsid w:val="00CB03B3"/>
    <w:rsid w:val="00CB54EC"/>
    <w:rsid w:val="00CB56A2"/>
    <w:rsid w:val="00CB7551"/>
    <w:rsid w:val="00CB7DE3"/>
    <w:rsid w:val="00CC1759"/>
    <w:rsid w:val="00CC6576"/>
    <w:rsid w:val="00CD0969"/>
    <w:rsid w:val="00CD1F09"/>
    <w:rsid w:val="00CD22B1"/>
    <w:rsid w:val="00CD2818"/>
    <w:rsid w:val="00CD361C"/>
    <w:rsid w:val="00CD3E47"/>
    <w:rsid w:val="00CD4901"/>
    <w:rsid w:val="00CD5347"/>
    <w:rsid w:val="00CD6A51"/>
    <w:rsid w:val="00CD7DD0"/>
    <w:rsid w:val="00CE16F3"/>
    <w:rsid w:val="00CE3CA9"/>
    <w:rsid w:val="00CE6610"/>
    <w:rsid w:val="00CF0449"/>
    <w:rsid w:val="00CF30AD"/>
    <w:rsid w:val="00CF3F1D"/>
    <w:rsid w:val="00D010CD"/>
    <w:rsid w:val="00D025DB"/>
    <w:rsid w:val="00D029E7"/>
    <w:rsid w:val="00D036FF"/>
    <w:rsid w:val="00D0419C"/>
    <w:rsid w:val="00D06391"/>
    <w:rsid w:val="00D06D87"/>
    <w:rsid w:val="00D07A98"/>
    <w:rsid w:val="00D07EBC"/>
    <w:rsid w:val="00D104EB"/>
    <w:rsid w:val="00D12509"/>
    <w:rsid w:val="00D1257C"/>
    <w:rsid w:val="00D126C5"/>
    <w:rsid w:val="00D1326C"/>
    <w:rsid w:val="00D134BB"/>
    <w:rsid w:val="00D1372D"/>
    <w:rsid w:val="00D15C9B"/>
    <w:rsid w:val="00D172AB"/>
    <w:rsid w:val="00D216AE"/>
    <w:rsid w:val="00D21AE2"/>
    <w:rsid w:val="00D21BC7"/>
    <w:rsid w:val="00D2205F"/>
    <w:rsid w:val="00D22A98"/>
    <w:rsid w:val="00D22D9C"/>
    <w:rsid w:val="00D23B61"/>
    <w:rsid w:val="00D246A5"/>
    <w:rsid w:val="00D24AD7"/>
    <w:rsid w:val="00D25916"/>
    <w:rsid w:val="00D262DC"/>
    <w:rsid w:val="00D262FB"/>
    <w:rsid w:val="00D3333B"/>
    <w:rsid w:val="00D33357"/>
    <w:rsid w:val="00D34CD1"/>
    <w:rsid w:val="00D42738"/>
    <w:rsid w:val="00D4498A"/>
    <w:rsid w:val="00D44E6B"/>
    <w:rsid w:val="00D45084"/>
    <w:rsid w:val="00D46A8F"/>
    <w:rsid w:val="00D47ADF"/>
    <w:rsid w:val="00D5002C"/>
    <w:rsid w:val="00D50AC2"/>
    <w:rsid w:val="00D51F43"/>
    <w:rsid w:val="00D5238B"/>
    <w:rsid w:val="00D525B9"/>
    <w:rsid w:val="00D53063"/>
    <w:rsid w:val="00D569A0"/>
    <w:rsid w:val="00D573F9"/>
    <w:rsid w:val="00D579B3"/>
    <w:rsid w:val="00D57B20"/>
    <w:rsid w:val="00D604BF"/>
    <w:rsid w:val="00D607A5"/>
    <w:rsid w:val="00D60F24"/>
    <w:rsid w:val="00D61A76"/>
    <w:rsid w:val="00D61B51"/>
    <w:rsid w:val="00D623E1"/>
    <w:rsid w:val="00D64C0D"/>
    <w:rsid w:val="00D65513"/>
    <w:rsid w:val="00D66EC0"/>
    <w:rsid w:val="00D6717B"/>
    <w:rsid w:val="00D712C3"/>
    <w:rsid w:val="00D71E7A"/>
    <w:rsid w:val="00D72150"/>
    <w:rsid w:val="00D73362"/>
    <w:rsid w:val="00D77885"/>
    <w:rsid w:val="00D77A2A"/>
    <w:rsid w:val="00D77B66"/>
    <w:rsid w:val="00D77F3B"/>
    <w:rsid w:val="00D80531"/>
    <w:rsid w:val="00D83176"/>
    <w:rsid w:val="00D835D1"/>
    <w:rsid w:val="00D8413E"/>
    <w:rsid w:val="00D84F5C"/>
    <w:rsid w:val="00D857A1"/>
    <w:rsid w:val="00D874DA"/>
    <w:rsid w:val="00D907B3"/>
    <w:rsid w:val="00D94D97"/>
    <w:rsid w:val="00DA0309"/>
    <w:rsid w:val="00DA253A"/>
    <w:rsid w:val="00DA4999"/>
    <w:rsid w:val="00DA49F9"/>
    <w:rsid w:val="00DB0766"/>
    <w:rsid w:val="00DB1494"/>
    <w:rsid w:val="00DB2E84"/>
    <w:rsid w:val="00DB44DA"/>
    <w:rsid w:val="00DB6D58"/>
    <w:rsid w:val="00DC03CF"/>
    <w:rsid w:val="00DC0C1A"/>
    <w:rsid w:val="00DC3531"/>
    <w:rsid w:val="00DC38F2"/>
    <w:rsid w:val="00DC41E7"/>
    <w:rsid w:val="00DC531E"/>
    <w:rsid w:val="00DC5B64"/>
    <w:rsid w:val="00DC5D34"/>
    <w:rsid w:val="00DC692E"/>
    <w:rsid w:val="00DC7DAC"/>
    <w:rsid w:val="00DD054B"/>
    <w:rsid w:val="00DD192F"/>
    <w:rsid w:val="00DD2BB6"/>
    <w:rsid w:val="00DD38F7"/>
    <w:rsid w:val="00DD3ED3"/>
    <w:rsid w:val="00DD5A54"/>
    <w:rsid w:val="00DD7F13"/>
    <w:rsid w:val="00DE5EB2"/>
    <w:rsid w:val="00DE71A1"/>
    <w:rsid w:val="00DF104A"/>
    <w:rsid w:val="00DF26B7"/>
    <w:rsid w:val="00DF3031"/>
    <w:rsid w:val="00DF31C1"/>
    <w:rsid w:val="00DF5DD6"/>
    <w:rsid w:val="00DF66D5"/>
    <w:rsid w:val="00DF7B08"/>
    <w:rsid w:val="00E00476"/>
    <w:rsid w:val="00E00FDB"/>
    <w:rsid w:val="00E0471F"/>
    <w:rsid w:val="00E04F8C"/>
    <w:rsid w:val="00E05439"/>
    <w:rsid w:val="00E054EF"/>
    <w:rsid w:val="00E055B7"/>
    <w:rsid w:val="00E10C52"/>
    <w:rsid w:val="00E12B14"/>
    <w:rsid w:val="00E14F95"/>
    <w:rsid w:val="00E1541F"/>
    <w:rsid w:val="00E1548A"/>
    <w:rsid w:val="00E225BC"/>
    <w:rsid w:val="00E256BA"/>
    <w:rsid w:val="00E2582C"/>
    <w:rsid w:val="00E25E1C"/>
    <w:rsid w:val="00E32DB9"/>
    <w:rsid w:val="00E33628"/>
    <w:rsid w:val="00E338C5"/>
    <w:rsid w:val="00E34CC7"/>
    <w:rsid w:val="00E34D50"/>
    <w:rsid w:val="00E35D7A"/>
    <w:rsid w:val="00E36186"/>
    <w:rsid w:val="00E3633C"/>
    <w:rsid w:val="00E40422"/>
    <w:rsid w:val="00E4069B"/>
    <w:rsid w:val="00E41995"/>
    <w:rsid w:val="00E41CB6"/>
    <w:rsid w:val="00E42794"/>
    <w:rsid w:val="00E43078"/>
    <w:rsid w:val="00E473ED"/>
    <w:rsid w:val="00E5137C"/>
    <w:rsid w:val="00E5274E"/>
    <w:rsid w:val="00E5294B"/>
    <w:rsid w:val="00E531C3"/>
    <w:rsid w:val="00E5476B"/>
    <w:rsid w:val="00E55444"/>
    <w:rsid w:val="00E61F9E"/>
    <w:rsid w:val="00E64131"/>
    <w:rsid w:val="00E64E69"/>
    <w:rsid w:val="00E660A1"/>
    <w:rsid w:val="00E66C79"/>
    <w:rsid w:val="00E70BF1"/>
    <w:rsid w:val="00E70C75"/>
    <w:rsid w:val="00E73CC2"/>
    <w:rsid w:val="00E74112"/>
    <w:rsid w:val="00E74C19"/>
    <w:rsid w:val="00E8007F"/>
    <w:rsid w:val="00E81018"/>
    <w:rsid w:val="00E83F33"/>
    <w:rsid w:val="00E85E9C"/>
    <w:rsid w:val="00E90314"/>
    <w:rsid w:val="00E91472"/>
    <w:rsid w:val="00E91D4B"/>
    <w:rsid w:val="00E91EF1"/>
    <w:rsid w:val="00E927E6"/>
    <w:rsid w:val="00E9282E"/>
    <w:rsid w:val="00E928A8"/>
    <w:rsid w:val="00E92AC2"/>
    <w:rsid w:val="00E94287"/>
    <w:rsid w:val="00E95F22"/>
    <w:rsid w:val="00EA2348"/>
    <w:rsid w:val="00EA2FEF"/>
    <w:rsid w:val="00EA7AFD"/>
    <w:rsid w:val="00EB01A5"/>
    <w:rsid w:val="00EB0E9E"/>
    <w:rsid w:val="00EB1871"/>
    <w:rsid w:val="00EB240C"/>
    <w:rsid w:val="00EB28C3"/>
    <w:rsid w:val="00EB3D31"/>
    <w:rsid w:val="00EB5433"/>
    <w:rsid w:val="00EB7F06"/>
    <w:rsid w:val="00EC09F9"/>
    <w:rsid w:val="00EC17BD"/>
    <w:rsid w:val="00EC2109"/>
    <w:rsid w:val="00EC3CEC"/>
    <w:rsid w:val="00EC4872"/>
    <w:rsid w:val="00EC5388"/>
    <w:rsid w:val="00EC572F"/>
    <w:rsid w:val="00EC7351"/>
    <w:rsid w:val="00EC79DE"/>
    <w:rsid w:val="00ED12BB"/>
    <w:rsid w:val="00ED3922"/>
    <w:rsid w:val="00ED3BCB"/>
    <w:rsid w:val="00ED5350"/>
    <w:rsid w:val="00EE0705"/>
    <w:rsid w:val="00EE1B26"/>
    <w:rsid w:val="00EE25DB"/>
    <w:rsid w:val="00EE36D0"/>
    <w:rsid w:val="00EE3BBA"/>
    <w:rsid w:val="00EE41D5"/>
    <w:rsid w:val="00EE53D9"/>
    <w:rsid w:val="00EE6750"/>
    <w:rsid w:val="00EE6BAB"/>
    <w:rsid w:val="00EF0151"/>
    <w:rsid w:val="00EF280B"/>
    <w:rsid w:val="00EF3185"/>
    <w:rsid w:val="00EF4632"/>
    <w:rsid w:val="00F00F26"/>
    <w:rsid w:val="00F00F7F"/>
    <w:rsid w:val="00F0328E"/>
    <w:rsid w:val="00F076E1"/>
    <w:rsid w:val="00F10DD6"/>
    <w:rsid w:val="00F111BB"/>
    <w:rsid w:val="00F112DD"/>
    <w:rsid w:val="00F12808"/>
    <w:rsid w:val="00F148CC"/>
    <w:rsid w:val="00F14AF1"/>
    <w:rsid w:val="00F14B48"/>
    <w:rsid w:val="00F14CD3"/>
    <w:rsid w:val="00F1550B"/>
    <w:rsid w:val="00F17473"/>
    <w:rsid w:val="00F17613"/>
    <w:rsid w:val="00F20260"/>
    <w:rsid w:val="00F20451"/>
    <w:rsid w:val="00F22CFF"/>
    <w:rsid w:val="00F2630E"/>
    <w:rsid w:val="00F267D0"/>
    <w:rsid w:val="00F30968"/>
    <w:rsid w:val="00F30C59"/>
    <w:rsid w:val="00F33440"/>
    <w:rsid w:val="00F340BA"/>
    <w:rsid w:val="00F34A0F"/>
    <w:rsid w:val="00F35A05"/>
    <w:rsid w:val="00F35B1F"/>
    <w:rsid w:val="00F369B2"/>
    <w:rsid w:val="00F40D1B"/>
    <w:rsid w:val="00F40E14"/>
    <w:rsid w:val="00F410AF"/>
    <w:rsid w:val="00F46DBD"/>
    <w:rsid w:val="00F50AF0"/>
    <w:rsid w:val="00F525C2"/>
    <w:rsid w:val="00F528D9"/>
    <w:rsid w:val="00F52A99"/>
    <w:rsid w:val="00F52F02"/>
    <w:rsid w:val="00F53D28"/>
    <w:rsid w:val="00F5448D"/>
    <w:rsid w:val="00F56EBC"/>
    <w:rsid w:val="00F56EE9"/>
    <w:rsid w:val="00F5752B"/>
    <w:rsid w:val="00F608D1"/>
    <w:rsid w:val="00F61B6F"/>
    <w:rsid w:val="00F62669"/>
    <w:rsid w:val="00F627C8"/>
    <w:rsid w:val="00F63FEB"/>
    <w:rsid w:val="00F647FB"/>
    <w:rsid w:val="00F64BA8"/>
    <w:rsid w:val="00F66E9E"/>
    <w:rsid w:val="00F6726B"/>
    <w:rsid w:val="00F71EB3"/>
    <w:rsid w:val="00F726B1"/>
    <w:rsid w:val="00F72CF4"/>
    <w:rsid w:val="00F73504"/>
    <w:rsid w:val="00F74590"/>
    <w:rsid w:val="00F75380"/>
    <w:rsid w:val="00F75F2E"/>
    <w:rsid w:val="00F77994"/>
    <w:rsid w:val="00F80970"/>
    <w:rsid w:val="00F81986"/>
    <w:rsid w:val="00F81F58"/>
    <w:rsid w:val="00F821B9"/>
    <w:rsid w:val="00F82F69"/>
    <w:rsid w:val="00F85BBB"/>
    <w:rsid w:val="00F869C3"/>
    <w:rsid w:val="00F869DC"/>
    <w:rsid w:val="00F91EE2"/>
    <w:rsid w:val="00F91FEB"/>
    <w:rsid w:val="00F92FC0"/>
    <w:rsid w:val="00F94907"/>
    <w:rsid w:val="00F9786B"/>
    <w:rsid w:val="00F979ED"/>
    <w:rsid w:val="00FA2B4D"/>
    <w:rsid w:val="00FA4205"/>
    <w:rsid w:val="00FA5835"/>
    <w:rsid w:val="00FA71A3"/>
    <w:rsid w:val="00FA7921"/>
    <w:rsid w:val="00FB05D6"/>
    <w:rsid w:val="00FB1587"/>
    <w:rsid w:val="00FB2005"/>
    <w:rsid w:val="00FB22CF"/>
    <w:rsid w:val="00FB3758"/>
    <w:rsid w:val="00FB6B5B"/>
    <w:rsid w:val="00FB6BA5"/>
    <w:rsid w:val="00FB71CC"/>
    <w:rsid w:val="00FB7206"/>
    <w:rsid w:val="00FC07C1"/>
    <w:rsid w:val="00FC0F88"/>
    <w:rsid w:val="00FC1B77"/>
    <w:rsid w:val="00FC5B58"/>
    <w:rsid w:val="00FC5B9A"/>
    <w:rsid w:val="00FC5D4D"/>
    <w:rsid w:val="00FC68D7"/>
    <w:rsid w:val="00FC6C30"/>
    <w:rsid w:val="00FC77CA"/>
    <w:rsid w:val="00FD0324"/>
    <w:rsid w:val="00FD2F64"/>
    <w:rsid w:val="00FD33DD"/>
    <w:rsid w:val="00FD3D78"/>
    <w:rsid w:val="00FD4204"/>
    <w:rsid w:val="00FD6779"/>
    <w:rsid w:val="00FD7CA1"/>
    <w:rsid w:val="00FD7DF4"/>
    <w:rsid w:val="00FE0274"/>
    <w:rsid w:val="00FE1348"/>
    <w:rsid w:val="00FE2C4F"/>
    <w:rsid w:val="00FE3DF9"/>
    <w:rsid w:val="00FE401A"/>
    <w:rsid w:val="00FE6A09"/>
    <w:rsid w:val="00FE6F66"/>
    <w:rsid w:val="00FF02E3"/>
    <w:rsid w:val="00FF06E6"/>
    <w:rsid w:val="00FF3F64"/>
    <w:rsid w:val="00FF41E3"/>
    <w:rsid w:val="00FF4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A536C1-7BE3-454D-B790-A901BE1E9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D78"/>
    <w:pPr>
      <w:spacing w:after="200" w:line="276" w:lineRule="auto"/>
    </w:pPr>
    <w:rPr>
      <w:sz w:val="22"/>
      <w:szCs w:val="22"/>
    </w:rPr>
  </w:style>
  <w:style w:type="paragraph" w:styleId="Heading1">
    <w:name w:val="heading 1"/>
    <w:basedOn w:val="Normal"/>
    <w:next w:val="Normal"/>
    <w:link w:val="Heading1Char"/>
    <w:autoRedefine/>
    <w:uiPriority w:val="9"/>
    <w:qFormat/>
    <w:rsid w:val="00D579B3"/>
    <w:pPr>
      <w:keepNext/>
      <w:keepLines/>
      <w:spacing w:before="480" w:after="0"/>
      <w:jc w:val="both"/>
      <w:outlineLvl w:val="0"/>
    </w:pPr>
    <w:rPr>
      <w:rFonts w:eastAsia="Times New Roman"/>
      <w:b/>
      <w:bCs/>
      <w:color w:val="365F91"/>
      <w:sz w:val="36"/>
      <w:szCs w:val="28"/>
      <w:lang w:val="en-GB" w:eastAsia="en-GB"/>
    </w:rPr>
  </w:style>
  <w:style w:type="paragraph" w:styleId="Heading2">
    <w:name w:val="heading 2"/>
    <w:basedOn w:val="Normal"/>
    <w:next w:val="Normal"/>
    <w:link w:val="Heading2Char"/>
    <w:autoRedefine/>
    <w:uiPriority w:val="9"/>
    <w:unhideWhenUsed/>
    <w:qFormat/>
    <w:rsid w:val="001C7880"/>
    <w:pPr>
      <w:keepNext/>
      <w:keepLines/>
      <w:spacing w:after="120"/>
      <w:jc w:val="both"/>
      <w:outlineLvl w:val="1"/>
    </w:pPr>
    <w:rPr>
      <w:rFonts w:eastAsia="Times New Roman"/>
      <w:b/>
      <w:sz w:val="24"/>
      <w:szCs w:val="26"/>
      <w:lang w:eastAsia="en-GB"/>
    </w:rPr>
  </w:style>
  <w:style w:type="paragraph" w:styleId="Heading3">
    <w:name w:val="heading 3"/>
    <w:basedOn w:val="Normal"/>
    <w:next w:val="Normal"/>
    <w:link w:val="Heading3Char"/>
    <w:autoRedefine/>
    <w:uiPriority w:val="9"/>
    <w:unhideWhenUsed/>
    <w:qFormat/>
    <w:rsid w:val="00A12622"/>
    <w:pPr>
      <w:keepNext/>
      <w:keepLines/>
      <w:spacing w:before="200" w:after="0"/>
      <w:jc w:val="both"/>
      <w:outlineLvl w:val="2"/>
    </w:pPr>
    <w:rPr>
      <w:rFonts w:eastAsia="Times New Roman"/>
      <w:b/>
      <w:bCs/>
    </w:rPr>
  </w:style>
  <w:style w:type="paragraph" w:styleId="Heading4">
    <w:name w:val="heading 4"/>
    <w:basedOn w:val="Normal"/>
    <w:next w:val="Normal"/>
    <w:link w:val="Heading4Char"/>
    <w:autoRedefine/>
    <w:uiPriority w:val="9"/>
    <w:unhideWhenUsed/>
    <w:qFormat/>
    <w:rsid w:val="00AA5468"/>
    <w:pPr>
      <w:keepNext/>
      <w:keepLines/>
      <w:spacing w:before="200" w:after="0"/>
      <w:outlineLvl w:val="3"/>
    </w:pPr>
    <w:rPr>
      <w:rFonts w:eastAsia="Times New Roman"/>
      <w:b/>
      <w:bCs/>
      <w:i/>
      <w:iCs/>
      <w:sz w:val="24"/>
    </w:rPr>
  </w:style>
  <w:style w:type="paragraph" w:styleId="Heading5">
    <w:name w:val="heading 5"/>
    <w:basedOn w:val="Normal"/>
    <w:next w:val="Normal"/>
    <w:link w:val="Heading5Char"/>
    <w:uiPriority w:val="9"/>
    <w:semiHidden/>
    <w:unhideWhenUsed/>
    <w:qFormat/>
    <w:rsid w:val="007A313E"/>
    <w:pPr>
      <w:keepNext/>
      <w:keepLines/>
      <w:spacing w:before="200" w:after="0"/>
      <w:outlineLvl w:val="4"/>
    </w:pPr>
    <w:rPr>
      <w:rFonts w:ascii="Cambria" w:eastAsia="Times New Roman"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579B3"/>
    <w:rPr>
      <w:rFonts w:ascii="Calibri" w:eastAsia="Times New Roman" w:hAnsi="Calibri" w:cs="Times New Roman"/>
      <w:b/>
      <w:bCs/>
      <w:color w:val="365F91"/>
      <w:sz w:val="36"/>
      <w:szCs w:val="28"/>
      <w:lang w:val="en-GB" w:eastAsia="en-GB"/>
    </w:rPr>
  </w:style>
  <w:style w:type="paragraph" w:styleId="BalloonText">
    <w:name w:val="Balloon Text"/>
    <w:basedOn w:val="Normal"/>
    <w:link w:val="BalloonTextChar"/>
    <w:uiPriority w:val="99"/>
    <w:semiHidden/>
    <w:unhideWhenUsed/>
    <w:rsid w:val="003E66B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E66B9"/>
    <w:rPr>
      <w:rFonts w:ascii="Tahoma" w:hAnsi="Tahoma" w:cs="Tahoma"/>
      <w:sz w:val="16"/>
      <w:szCs w:val="16"/>
    </w:rPr>
  </w:style>
  <w:style w:type="paragraph" w:styleId="FootnoteText">
    <w:name w:val="footnote text"/>
    <w:aliases w:val="ALTS FOOTNOTE,fn,FOOTNOTES,single space,Char,Footnote Text Char6,Footnote Text Char Char3,Footnote Text Char6 Char1 Char,Footnote Text Char Char3 Char1 Char1,Footnote Text Char6 Char1 Char Char2 Char,A,footnote text"/>
    <w:basedOn w:val="Normal"/>
    <w:link w:val="FootnoteTextChar"/>
    <w:unhideWhenUsed/>
    <w:rsid w:val="00F52F02"/>
    <w:pPr>
      <w:spacing w:after="0" w:line="240" w:lineRule="auto"/>
    </w:pPr>
    <w:rPr>
      <w:sz w:val="20"/>
      <w:szCs w:val="20"/>
    </w:rPr>
  </w:style>
  <w:style w:type="character" w:customStyle="1" w:styleId="FootnoteTextChar">
    <w:name w:val="Footnote Text Char"/>
    <w:aliases w:val="ALTS FOOTNOTE Char,fn Char,FOOTNOTES Char,single space Char,Char Char,Footnote Text Char6 Char,Footnote Text Char Char3 Char,Footnote Text Char6 Char1 Char Char,Footnote Text Char Char3 Char1 Char1 Char,A Char,footnote text Char"/>
    <w:link w:val="FootnoteText"/>
    <w:rsid w:val="00F52F02"/>
    <w:rPr>
      <w:sz w:val="20"/>
      <w:szCs w:val="20"/>
    </w:rPr>
  </w:style>
  <w:style w:type="character" w:styleId="FootnoteReference">
    <w:name w:val="footnote reference"/>
    <w:aliases w:val="Footnote,FNRefe Char Char,BVI fnr Char Char,BVI fnr Char Char Char,BVI fnr Car Car Char Char Char,BVI fnr Car Char Char Char,BVI fnr Car Car Car Car Char Char Char Char Char,Ref,de nota al pie,ftref,16 Point,FNRefe Char Char Char Char"/>
    <w:link w:val="FNRefeCharCharChar"/>
    <w:unhideWhenUsed/>
    <w:rsid w:val="00F52F02"/>
    <w:rPr>
      <w:vertAlign w:val="superscript"/>
    </w:rPr>
  </w:style>
  <w:style w:type="paragraph" w:styleId="ListParagraph">
    <w:name w:val="List Paragraph"/>
    <w:basedOn w:val="Normal"/>
    <w:uiPriority w:val="34"/>
    <w:qFormat/>
    <w:rsid w:val="00846AA9"/>
    <w:pPr>
      <w:ind w:left="720"/>
      <w:contextualSpacing/>
    </w:pPr>
  </w:style>
  <w:style w:type="character" w:customStyle="1" w:styleId="Heading2Char">
    <w:name w:val="Heading 2 Char"/>
    <w:link w:val="Heading2"/>
    <w:uiPriority w:val="9"/>
    <w:rsid w:val="001C7880"/>
    <w:rPr>
      <w:rFonts w:eastAsia="Times New Roman"/>
      <w:b/>
      <w:sz w:val="24"/>
      <w:szCs w:val="26"/>
      <w:lang w:eastAsia="en-GB"/>
    </w:rPr>
  </w:style>
  <w:style w:type="character" w:customStyle="1" w:styleId="Heading4Char">
    <w:name w:val="Heading 4 Char"/>
    <w:link w:val="Heading4"/>
    <w:uiPriority w:val="9"/>
    <w:rsid w:val="00AA5468"/>
    <w:rPr>
      <w:rFonts w:eastAsia="Times New Roman"/>
      <w:b/>
      <w:bCs/>
      <w:i/>
      <w:iCs/>
      <w:sz w:val="24"/>
      <w:szCs w:val="22"/>
    </w:rPr>
  </w:style>
  <w:style w:type="paragraph" w:styleId="NormalWeb">
    <w:name w:val="Normal (Web)"/>
    <w:basedOn w:val="Normal"/>
    <w:uiPriority w:val="99"/>
    <w:semiHidden/>
    <w:unhideWhenUsed/>
    <w:rsid w:val="00A87393"/>
    <w:pPr>
      <w:spacing w:before="100" w:beforeAutospacing="1" w:after="100" w:afterAutospacing="1" w:line="240" w:lineRule="auto"/>
    </w:pPr>
    <w:rPr>
      <w:rFonts w:ascii="Times New Roman" w:eastAsia="Times New Roman" w:hAnsi="Times New Roman"/>
      <w:sz w:val="24"/>
      <w:szCs w:val="24"/>
    </w:rPr>
  </w:style>
  <w:style w:type="paragraph" w:customStyle="1" w:styleId="1-DocTextBold">
    <w:name w:val="1-DocText Bold"/>
    <w:basedOn w:val="Normal"/>
    <w:rsid w:val="00A87393"/>
    <w:pPr>
      <w:spacing w:before="120" w:after="120"/>
    </w:pPr>
    <w:rPr>
      <w:rFonts w:ascii="Gill Sans" w:eastAsia="Times New Roman" w:hAnsi="Gill Sans"/>
      <w:b/>
      <w:szCs w:val="20"/>
      <w:lang w:val="en-GB"/>
    </w:rPr>
  </w:style>
  <w:style w:type="table" w:styleId="TableGrid">
    <w:name w:val="Table Grid"/>
    <w:basedOn w:val="TableNormal"/>
    <w:uiPriority w:val="59"/>
    <w:rsid w:val="002F2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B85C87"/>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rsid w:val="00B85C87"/>
    <w:rPr>
      <w:rFonts w:ascii="Times New Roman" w:eastAsia="Times New Roman" w:hAnsi="Times New Roman" w:cs="Times New Roman"/>
      <w:sz w:val="20"/>
      <w:szCs w:val="20"/>
    </w:rPr>
  </w:style>
  <w:style w:type="character" w:styleId="CommentReference">
    <w:name w:val="annotation reference"/>
    <w:uiPriority w:val="99"/>
    <w:semiHidden/>
    <w:unhideWhenUsed/>
    <w:rsid w:val="00B85C87"/>
    <w:rPr>
      <w:sz w:val="16"/>
      <w:szCs w:val="16"/>
    </w:rPr>
  </w:style>
  <w:style w:type="paragraph" w:styleId="CommentSubject">
    <w:name w:val="annotation subject"/>
    <w:basedOn w:val="CommentText"/>
    <w:next w:val="CommentText"/>
    <w:link w:val="CommentSubjectChar"/>
    <w:uiPriority w:val="99"/>
    <w:semiHidden/>
    <w:unhideWhenUsed/>
    <w:rsid w:val="00AE600C"/>
    <w:pPr>
      <w:spacing w:after="200"/>
    </w:pPr>
    <w:rPr>
      <w:rFonts w:ascii="Calibri" w:eastAsia="Calibri" w:hAnsi="Calibri"/>
      <w:b/>
      <w:bCs/>
    </w:rPr>
  </w:style>
  <w:style w:type="character" w:customStyle="1" w:styleId="CommentSubjectChar">
    <w:name w:val="Comment Subject Char"/>
    <w:link w:val="CommentSubject"/>
    <w:uiPriority w:val="99"/>
    <w:semiHidden/>
    <w:rsid w:val="00AE600C"/>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8F23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3FC"/>
  </w:style>
  <w:style w:type="paragraph" w:styleId="Footer">
    <w:name w:val="footer"/>
    <w:basedOn w:val="Normal"/>
    <w:link w:val="FooterChar"/>
    <w:uiPriority w:val="99"/>
    <w:unhideWhenUsed/>
    <w:rsid w:val="008F23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3FC"/>
  </w:style>
  <w:style w:type="character" w:customStyle="1" w:styleId="Heading3Char">
    <w:name w:val="Heading 3 Char"/>
    <w:link w:val="Heading3"/>
    <w:uiPriority w:val="9"/>
    <w:rsid w:val="00A12622"/>
    <w:rPr>
      <w:rFonts w:eastAsia="Times New Roman"/>
      <w:b/>
      <w:bCs/>
      <w:sz w:val="22"/>
      <w:szCs w:val="22"/>
    </w:rPr>
  </w:style>
  <w:style w:type="paragraph" w:customStyle="1" w:styleId="FNRefeCharCharChar">
    <w:name w:val="FNRefe Char Char Char"/>
    <w:aliases w:val=" BVI fnr Char Char Char Char, BVI fnr Car Car Char Char Char Char,BVI fnr Car Char Char Char Char, BVI fnr Car Car Car Car Char Char Char Char Char Char,Ref Char,BVI fnr Char Char Char Char"/>
    <w:basedOn w:val="Normal"/>
    <w:link w:val="FootnoteReference"/>
    <w:rsid w:val="008F23FC"/>
    <w:pPr>
      <w:spacing w:after="160" w:line="240" w:lineRule="exact"/>
    </w:pPr>
    <w:rPr>
      <w:vertAlign w:val="superscript"/>
    </w:rPr>
  </w:style>
  <w:style w:type="paragraph" w:styleId="BodyText2">
    <w:name w:val="Body Text 2"/>
    <w:basedOn w:val="Normal"/>
    <w:link w:val="BodyText2Char"/>
    <w:uiPriority w:val="99"/>
    <w:unhideWhenUsed/>
    <w:rsid w:val="008F23FC"/>
    <w:pPr>
      <w:spacing w:after="120" w:line="480" w:lineRule="auto"/>
    </w:pPr>
  </w:style>
  <w:style w:type="character" w:customStyle="1" w:styleId="BodyText2Char">
    <w:name w:val="Body Text 2 Char"/>
    <w:link w:val="BodyText2"/>
    <w:uiPriority w:val="99"/>
    <w:rsid w:val="008F23FC"/>
    <w:rPr>
      <w:rFonts w:ascii="Calibri" w:eastAsia="Calibri" w:hAnsi="Calibri" w:cs="Times New Roman"/>
    </w:rPr>
  </w:style>
  <w:style w:type="paragraph" w:styleId="TOC1">
    <w:name w:val="toc 1"/>
    <w:basedOn w:val="Normal"/>
    <w:next w:val="Normal"/>
    <w:autoRedefine/>
    <w:uiPriority w:val="39"/>
    <w:unhideWhenUsed/>
    <w:rsid w:val="00606FC1"/>
    <w:pPr>
      <w:spacing w:before="120" w:after="120"/>
    </w:pPr>
    <w:rPr>
      <w:rFonts w:cs="Calibri"/>
      <w:b/>
      <w:bCs/>
      <w:caps/>
      <w:sz w:val="20"/>
      <w:szCs w:val="20"/>
    </w:rPr>
  </w:style>
  <w:style w:type="paragraph" w:styleId="TOC2">
    <w:name w:val="toc 2"/>
    <w:basedOn w:val="Normal"/>
    <w:next w:val="Normal"/>
    <w:autoRedefine/>
    <w:uiPriority w:val="39"/>
    <w:unhideWhenUsed/>
    <w:rsid w:val="008F23FC"/>
    <w:pPr>
      <w:spacing w:after="0"/>
      <w:ind w:left="220"/>
    </w:pPr>
    <w:rPr>
      <w:rFonts w:cs="Calibri"/>
      <w:smallCaps/>
      <w:sz w:val="20"/>
      <w:szCs w:val="20"/>
    </w:rPr>
  </w:style>
  <w:style w:type="paragraph" w:styleId="TOC3">
    <w:name w:val="toc 3"/>
    <w:basedOn w:val="Normal"/>
    <w:next w:val="Normal"/>
    <w:autoRedefine/>
    <w:uiPriority w:val="39"/>
    <w:unhideWhenUsed/>
    <w:rsid w:val="008F23FC"/>
    <w:pPr>
      <w:spacing w:after="0"/>
      <w:ind w:left="440"/>
    </w:pPr>
    <w:rPr>
      <w:rFonts w:cs="Calibri"/>
      <w:i/>
      <w:iCs/>
      <w:sz w:val="20"/>
      <w:szCs w:val="20"/>
    </w:rPr>
  </w:style>
  <w:style w:type="paragraph" w:styleId="TOC4">
    <w:name w:val="toc 4"/>
    <w:basedOn w:val="Normal"/>
    <w:next w:val="Normal"/>
    <w:autoRedefine/>
    <w:uiPriority w:val="39"/>
    <w:unhideWhenUsed/>
    <w:rsid w:val="008F23FC"/>
    <w:pPr>
      <w:spacing w:after="0"/>
      <w:ind w:left="660"/>
    </w:pPr>
    <w:rPr>
      <w:rFonts w:cs="Calibri"/>
      <w:sz w:val="18"/>
      <w:szCs w:val="18"/>
    </w:rPr>
  </w:style>
  <w:style w:type="paragraph" w:styleId="TOC5">
    <w:name w:val="toc 5"/>
    <w:basedOn w:val="Normal"/>
    <w:next w:val="Normal"/>
    <w:autoRedefine/>
    <w:uiPriority w:val="39"/>
    <w:unhideWhenUsed/>
    <w:rsid w:val="008F23FC"/>
    <w:pPr>
      <w:spacing w:after="0"/>
      <w:ind w:left="880"/>
    </w:pPr>
    <w:rPr>
      <w:rFonts w:cs="Calibri"/>
      <w:sz w:val="18"/>
      <w:szCs w:val="18"/>
    </w:rPr>
  </w:style>
  <w:style w:type="paragraph" w:styleId="TOC6">
    <w:name w:val="toc 6"/>
    <w:basedOn w:val="Normal"/>
    <w:next w:val="Normal"/>
    <w:autoRedefine/>
    <w:uiPriority w:val="39"/>
    <w:unhideWhenUsed/>
    <w:rsid w:val="008F23FC"/>
    <w:pPr>
      <w:spacing w:after="0"/>
      <w:ind w:left="1100"/>
    </w:pPr>
    <w:rPr>
      <w:rFonts w:cs="Calibri"/>
      <w:sz w:val="18"/>
      <w:szCs w:val="18"/>
    </w:rPr>
  </w:style>
  <w:style w:type="paragraph" w:styleId="TOC7">
    <w:name w:val="toc 7"/>
    <w:basedOn w:val="Normal"/>
    <w:next w:val="Normal"/>
    <w:autoRedefine/>
    <w:uiPriority w:val="39"/>
    <w:unhideWhenUsed/>
    <w:rsid w:val="008F23FC"/>
    <w:pPr>
      <w:spacing w:after="0"/>
      <w:ind w:left="1320"/>
    </w:pPr>
    <w:rPr>
      <w:rFonts w:cs="Calibri"/>
      <w:sz w:val="18"/>
      <w:szCs w:val="18"/>
    </w:rPr>
  </w:style>
  <w:style w:type="paragraph" w:styleId="TOC8">
    <w:name w:val="toc 8"/>
    <w:basedOn w:val="Normal"/>
    <w:next w:val="Normal"/>
    <w:autoRedefine/>
    <w:uiPriority w:val="39"/>
    <w:unhideWhenUsed/>
    <w:rsid w:val="008F23FC"/>
    <w:pPr>
      <w:spacing w:after="0"/>
      <w:ind w:left="1540"/>
    </w:pPr>
    <w:rPr>
      <w:rFonts w:cs="Calibri"/>
      <w:sz w:val="18"/>
      <w:szCs w:val="18"/>
    </w:rPr>
  </w:style>
  <w:style w:type="paragraph" w:styleId="TOC9">
    <w:name w:val="toc 9"/>
    <w:basedOn w:val="Normal"/>
    <w:next w:val="Normal"/>
    <w:autoRedefine/>
    <w:uiPriority w:val="39"/>
    <w:unhideWhenUsed/>
    <w:rsid w:val="008F23FC"/>
    <w:pPr>
      <w:spacing w:after="0"/>
      <w:ind w:left="1760"/>
    </w:pPr>
    <w:rPr>
      <w:rFonts w:cs="Calibri"/>
      <w:sz w:val="18"/>
      <w:szCs w:val="18"/>
    </w:rPr>
  </w:style>
  <w:style w:type="character" w:styleId="Hyperlink">
    <w:name w:val="Hyperlink"/>
    <w:uiPriority w:val="99"/>
    <w:unhideWhenUsed/>
    <w:rsid w:val="008F23FC"/>
    <w:rPr>
      <w:color w:val="0000FF"/>
      <w:u w:val="single"/>
    </w:rPr>
  </w:style>
  <w:style w:type="paragraph" w:customStyle="1" w:styleId="BodyText1">
    <w:name w:val="Body Text1"/>
    <w:aliases w:val="OPM"/>
    <w:basedOn w:val="Normal"/>
    <w:link w:val="BodytextChar"/>
    <w:autoRedefine/>
    <w:qFormat/>
    <w:rsid w:val="00146927"/>
    <w:pPr>
      <w:spacing w:after="120"/>
      <w:jc w:val="both"/>
    </w:pPr>
    <w:rPr>
      <w:rFonts w:eastAsia="Times New Roman"/>
      <w:lang w:val="en-GB" w:eastAsia="x-none"/>
    </w:rPr>
  </w:style>
  <w:style w:type="character" w:customStyle="1" w:styleId="BodytextChar">
    <w:name w:val="Body text Char"/>
    <w:aliases w:val="OPM Char,Body Text Char2,OPM Char1"/>
    <w:link w:val="BodyText1"/>
    <w:rsid w:val="00146927"/>
    <w:rPr>
      <w:rFonts w:eastAsia="Times New Roman"/>
      <w:sz w:val="22"/>
      <w:szCs w:val="22"/>
      <w:lang w:val="en-GB" w:eastAsia="x-none"/>
    </w:rPr>
  </w:style>
  <w:style w:type="paragraph" w:customStyle="1" w:styleId="BodytextOPM">
    <w:name w:val="Body text OPM"/>
    <w:basedOn w:val="Normal"/>
    <w:link w:val="BodytextOPMCharChar"/>
    <w:uiPriority w:val="99"/>
    <w:rsid w:val="00382FD3"/>
    <w:pPr>
      <w:spacing w:after="240" w:line="240" w:lineRule="auto"/>
      <w:jc w:val="both"/>
    </w:pPr>
    <w:rPr>
      <w:rFonts w:ascii="Arial" w:eastAsia="Times New Roman" w:hAnsi="Arial"/>
      <w:sz w:val="20"/>
      <w:szCs w:val="20"/>
      <w:lang w:val="x-none" w:eastAsia="x-none"/>
    </w:rPr>
  </w:style>
  <w:style w:type="character" w:customStyle="1" w:styleId="BodytextOPMCharChar">
    <w:name w:val="Body text OPM Char Char"/>
    <w:link w:val="BodytextOPM"/>
    <w:uiPriority w:val="99"/>
    <w:locked/>
    <w:rsid w:val="00382FD3"/>
    <w:rPr>
      <w:rFonts w:ascii="Arial" w:eastAsia="Times New Roman" w:hAnsi="Arial" w:cs="Times New Roman"/>
      <w:szCs w:val="20"/>
    </w:rPr>
  </w:style>
  <w:style w:type="paragraph" w:styleId="Revision">
    <w:name w:val="Revision"/>
    <w:hidden/>
    <w:uiPriority w:val="99"/>
    <w:semiHidden/>
    <w:rsid w:val="00F34A0F"/>
    <w:rPr>
      <w:sz w:val="22"/>
      <w:szCs w:val="22"/>
    </w:rPr>
  </w:style>
  <w:style w:type="paragraph" w:customStyle="1" w:styleId="Default">
    <w:name w:val="Default"/>
    <w:rsid w:val="00C972F1"/>
    <w:pPr>
      <w:autoSpaceDE w:val="0"/>
      <w:autoSpaceDN w:val="0"/>
      <w:adjustRightInd w:val="0"/>
    </w:pPr>
    <w:rPr>
      <w:rFonts w:ascii="Helvetica" w:hAnsi="Helvetica" w:cs="Helvetica"/>
      <w:color w:val="000000"/>
      <w:sz w:val="24"/>
      <w:szCs w:val="24"/>
    </w:rPr>
  </w:style>
  <w:style w:type="character" w:styleId="Emphasis">
    <w:name w:val="Emphasis"/>
    <w:uiPriority w:val="20"/>
    <w:qFormat/>
    <w:rsid w:val="00E91D4B"/>
    <w:rPr>
      <w:i/>
      <w:iCs/>
    </w:rPr>
  </w:style>
  <w:style w:type="paragraph" w:styleId="NoSpacing">
    <w:name w:val="No Spacing"/>
    <w:uiPriority w:val="1"/>
    <w:qFormat/>
    <w:rsid w:val="00C13FCD"/>
    <w:rPr>
      <w:sz w:val="22"/>
      <w:szCs w:val="22"/>
    </w:rPr>
  </w:style>
  <w:style w:type="paragraph" w:styleId="TOCHeading">
    <w:name w:val="TOC Heading"/>
    <w:basedOn w:val="Heading1"/>
    <w:next w:val="Normal"/>
    <w:uiPriority w:val="39"/>
    <w:unhideWhenUsed/>
    <w:qFormat/>
    <w:rsid w:val="00607DF1"/>
    <w:pPr>
      <w:jc w:val="left"/>
      <w:outlineLvl w:val="9"/>
    </w:pPr>
    <w:rPr>
      <w:rFonts w:ascii="Cambria" w:hAnsi="Cambria"/>
      <w:sz w:val="28"/>
      <w:lang w:val="en-US" w:eastAsia="ja-JP"/>
    </w:rPr>
  </w:style>
  <w:style w:type="paragraph" w:customStyle="1" w:styleId="1Bullet">
    <w:name w:val="1Bullet"/>
    <w:basedOn w:val="BodyText1"/>
    <w:rsid w:val="00E054EF"/>
    <w:pPr>
      <w:numPr>
        <w:numId w:val="15"/>
      </w:numPr>
      <w:tabs>
        <w:tab w:val="clear" w:pos="360"/>
        <w:tab w:val="num" w:pos="720"/>
      </w:tabs>
      <w:ind w:left="720"/>
      <w:jc w:val="left"/>
    </w:pPr>
    <w:rPr>
      <w:rFonts w:ascii="Garamond" w:hAnsi="Garamond"/>
      <w:b/>
      <w:sz w:val="24"/>
      <w:szCs w:val="24"/>
      <w:lang w:val="en-US"/>
    </w:rPr>
  </w:style>
  <w:style w:type="paragraph" w:customStyle="1" w:styleId="TableHead">
    <w:name w:val="Table Head"/>
    <w:rsid w:val="00257B61"/>
    <w:pPr>
      <w:keepNext/>
      <w:keepLines/>
      <w:spacing w:before="80" w:after="40"/>
      <w:jc w:val="center"/>
    </w:pPr>
    <w:rPr>
      <w:rFonts w:ascii="Gill Sans MT" w:eastAsia="Times New Roman" w:hAnsi="Gill Sans MT"/>
      <w:b/>
      <w:noProof/>
    </w:rPr>
  </w:style>
  <w:style w:type="paragraph" w:customStyle="1" w:styleId="J0Char">
    <w:name w:val="J0 Char"/>
    <w:basedOn w:val="Normal"/>
    <w:rsid w:val="00DD054B"/>
    <w:pPr>
      <w:spacing w:before="240" w:after="0" w:line="240" w:lineRule="auto"/>
      <w:jc w:val="both"/>
    </w:pPr>
    <w:rPr>
      <w:rFonts w:ascii="Arial" w:eastAsia="Times" w:hAnsi="Arial"/>
      <w:szCs w:val="20"/>
      <w:lang w:val="en-GB"/>
    </w:rPr>
  </w:style>
  <w:style w:type="character" w:customStyle="1" w:styleId="Heading5Char">
    <w:name w:val="Heading 5 Char"/>
    <w:link w:val="Heading5"/>
    <w:uiPriority w:val="9"/>
    <w:semiHidden/>
    <w:rsid w:val="007A313E"/>
    <w:rPr>
      <w:rFonts w:ascii="Cambria" w:eastAsia="Times New Roman" w:hAnsi="Cambria" w:cs="Times New Roman"/>
      <w:color w:val="243F60"/>
    </w:rPr>
  </w:style>
  <w:style w:type="paragraph" w:customStyle="1" w:styleId="HeadingO">
    <w:name w:val="Heading O"/>
    <w:basedOn w:val="Heading1"/>
    <w:link w:val="HeadingOChar"/>
    <w:autoRedefine/>
    <w:qFormat/>
    <w:rsid w:val="00FB6B5B"/>
    <w:pPr>
      <w:shd w:val="clear" w:color="auto" w:fill="C2D69B"/>
      <w:spacing w:before="120" w:after="360"/>
      <w:ind w:left="360" w:hanging="360"/>
      <w:jc w:val="left"/>
    </w:pPr>
    <w:rPr>
      <w:rFonts w:eastAsia="Calibri"/>
      <w:color w:val="auto"/>
      <w:sz w:val="28"/>
      <w:lang w:eastAsia="x-none"/>
    </w:rPr>
  </w:style>
  <w:style w:type="character" w:customStyle="1" w:styleId="HeadingOChar">
    <w:name w:val="Heading O Char"/>
    <w:link w:val="HeadingO"/>
    <w:rsid w:val="00FB6B5B"/>
    <w:rPr>
      <w:b/>
      <w:bCs/>
      <w:sz w:val="28"/>
      <w:szCs w:val="28"/>
      <w:shd w:val="clear" w:color="auto" w:fill="C2D69B"/>
      <w:lang w:val="en-GB" w:eastAsia="x-none"/>
    </w:rPr>
  </w:style>
  <w:style w:type="paragraph" w:customStyle="1" w:styleId="DefaultParagraphFontCharChar">
    <w:name w:val="Default Paragraph Font Char Char"/>
    <w:aliases w:val="Default Paragraph Font Para Char Char Char Char Char"/>
    <w:basedOn w:val="Normal"/>
    <w:rsid w:val="0062561A"/>
    <w:pPr>
      <w:spacing w:after="160" w:line="240" w:lineRule="exact"/>
    </w:pPr>
    <w:rPr>
      <w:rFonts w:ascii="Arial" w:eastAsia="Times New Roman" w:hAnsi="Arial"/>
      <w:sz w:val="20"/>
      <w:szCs w:val="20"/>
      <w:lang w:val="en-GB"/>
    </w:rPr>
  </w:style>
  <w:style w:type="paragraph" w:customStyle="1" w:styleId="1-DocText">
    <w:name w:val="1-DocText"/>
    <w:link w:val="1-DocTextChar"/>
    <w:autoRedefine/>
    <w:rsid w:val="0062561A"/>
    <w:pPr>
      <w:ind w:left="600"/>
      <w:jc w:val="both"/>
    </w:pPr>
    <w:rPr>
      <w:rFonts w:asciiTheme="minorHAnsi" w:eastAsia="Times New Roman" w:hAnsiTheme="minorHAnsi"/>
      <w:color w:val="000000"/>
      <w:sz w:val="24"/>
      <w:szCs w:val="22"/>
      <w:lang w:val="en-GB"/>
    </w:rPr>
  </w:style>
  <w:style w:type="character" w:customStyle="1" w:styleId="1-DocTextChar">
    <w:name w:val="1-DocText Char"/>
    <w:link w:val="1-DocText"/>
    <w:locked/>
    <w:rsid w:val="0062561A"/>
    <w:rPr>
      <w:rFonts w:asciiTheme="minorHAnsi" w:eastAsia="Times New Roman" w:hAnsiTheme="minorHAnsi"/>
      <w:color w:val="000000"/>
      <w:sz w:val="24"/>
      <w:szCs w:val="22"/>
      <w:lang w:val="en-GB"/>
    </w:rPr>
  </w:style>
  <w:style w:type="paragraph" w:styleId="Caption">
    <w:name w:val="caption"/>
    <w:basedOn w:val="Normal"/>
    <w:next w:val="Normal"/>
    <w:uiPriority w:val="35"/>
    <w:unhideWhenUsed/>
    <w:qFormat/>
    <w:rsid w:val="004709C6"/>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9F4261"/>
    <w:pPr>
      <w:spacing w:after="0"/>
    </w:pPr>
  </w:style>
  <w:style w:type="paragraph" w:styleId="BodyText">
    <w:name w:val="Body Text"/>
    <w:basedOn w:val="Normal"/>
    <w:link w:val="BodyTextChar0"/>
    <w:uiPriority w:val="99"/>
    <w:semiHidden/>
    <w:unhideWhenUsed/>
    <w:rsid w:val="00AD28B1"/>
    <w:pPr>
      <w:spacing w:after="120"/>
    </w:pPr>
  </w:style>
  <w:style w:type="character" w:customStyle="1" w:styleId="BodyTextChar0">
    <w:name w:val="Body Text Char"/>
    <w:basedOn w:val="DefaultParagraphFont"/>
    <w:link w:val="BodyText"/>
    <w:uiPriority w:val="99"/>
    <w:semiHidden/>
    <w:rsid w:val="00AD28B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51118">
      <w:bodyDiv w:val="1"/>
      <w:marLeft w:val="0"/>
      <w:marRight w:val="0"/>
      <w:marTop w:val="0"/>
      <w:marBottom w:val="0"/>
      <w:divBdr>
        <w:top w:val="none" w:sz="0" w:space="0" w:color="auto"/>
        <w:left w:val="none" w:sz="0" w:space="0" w:color="auto"/>
        <w:bottom w:val="none" w:sz="0" w:space="0" w:color="auto"/>
        <w:right w:val="none" w:sz="0" w:space="0" w:color="auto"/>
      </w:divBdr>
      <w:divsChild>
        <w:div w:id="264075758">
          <w:marLeft w:val="1800"/>
          <w:marRight w:val="0"/>
          <w:marTop w:val="86"/>
          <w:marBottom w:val="120"/>
          <w:divBdr>
            <w:top w:val="none" w:sz="0" w:space="0" w:color="auto"/>
            <w:left w:val="none" w:sz="0" w:space="0" w:color="auto"/>
            <w:bottom w:val="none" w:sz="0" w:space="0" w:color="auto"/>
            <w:right w:val="none" w:sz="0" w:space="0" w:color="auto"/>
          </w:divBdr>
        </w:div>
        <w:div w:id="723530413">
          <w:marLeft w:val="1800"/>
          <w:marRight w:val="0"/>
          <w:marTop w:val="86"/>
          <w:marBottom w:val="120"/>
          <w:divBdr>
            <w:top w:val="none" w:sz="0" w:space="0" w:color="auto"/>
            <w:left w:val="none" w:sz="0" w:space="0" w:color="auto"/>
            <w:bottom w:val="none" w:sz="0" w:space="0" w:color="auto"/>
            <w:right w:val="none" w:sz="0" w:space="0" w:color="auto"/>
          </w:divBdr>
        </w:div>
        <w:div w:id="1413695599">
          <w:marLeft w:val="1800"/>
          <w:marRight w:val="0"/>
          <w:marTop w:val="86"/>
          <w:marBottom w:val="120"/>
          <w:divBdr>
            <w:top w:val="none" w:sz="0" w:space="0" w:color="auto"/>
            <w:left w:val="none" w:sz="0" w:space="0" w:color="auto"/>
            <w:bottom w:val="none" w:sz="0" w:space="0" w:color="auto"/>
            <w:right w:val="none" w:sz="0" w:space="0" w:color="auto"/>
          </w:divBdr>
        </w:div>
        <w:div w:id="1680619957">
          <w:marLeft w:val="720"/>
          <w:marRight w:val="0"/>
          <w:marTop w:val="86"/>
          <w:marBottom w:val="120"/>
          <w:divBdr>
            <w:top w:val="none" w:sz="0" w:space="0" w:color="auto"/>
            <w:left w:val="none" w:sz="0" w:space="0" w:color="auto"/>
            <w:bottom w:val="none" w:sz="0" w:space="0" w:color="auto"/>
            <w:right w:val="none" w:sz="0" w:space="0" w:color="auto"/>
          </w:divBdr>
        </w:div>
        <w:div w:id="1736128293">
          <w:marLeft w:val="1800"/>
          <w:marRight w:val="0"/>
          <w:marTop w:val="86"/>
          <w:marBottom w:val="120"/>
          <w:divBdr>
            <w:top w:val="none" w:sz="0" w:space="0" w:color="auto"/>
            <w:left w:val="none" w:sz="0" w:space="0" w:color="auto"/>
            <w:bottom w:val="none" w:sz="0" w:space="0" w:color="auto"/>
            <w:right w:val="none" w:sz="0" w:space="0" w:color="auto"/>
          </w:divBdr>
        </w:div>
        <w:div w:id="1748458542">
          <w:marLeft w:val="720"/>
          <w:marRight w:val="0"/>
          <w:marTop w:val="86"/>
          <w:marBottom w:val="120"/>
          <w:divBdr>
            <w:top w:val="none" w:sz="0" w:space="0" w:color="auto"/>
            <w:left w:val="none" w:sz="0" w:space="0" w:color="auto"/>
            <w:bottom w:val="none" w:sz="0" w:space="0" w:color="auto"/>
            <w:right w:val="none" w:sz="0" w:space="0" w:color="auto"/>
          </w:divBdr>
        </w:div>
        <w:div w:id="2028828261">
          <w:marLeft w:val="720"/>
          <w:marRight w:val="0"/>
          <w:marTop w:val="86"/>
          <w:marBottom w:val="120"/>
          <w:divBdr>
            <w:top w:val="none" w:sz="0" w:space="0" w:color="auto"/>
            <w:left w:val="none" w:sz="0" w:space="0" w:color="auto"/>
            <w:bottom w:val="none" w:sz="0" w:space="0" w:color="auto"/>
            <w:right w:val="none" w:sz="0" w:space="0" w:color="auto"/>
          </w:divBdr>
        </w:div>
        <w:div w:id="2039356933">
          <w:marLeft w:val="720"/>
          <w:marRight w:val="0"/>
          <w:marTop w:val="86"/>
          <w:marBottom w:val="120"/>
          <w:divBdr>
            <w:top w:val="none" w:sz="0" w:space="0" w:color="auto"/>
            <w:left w:val="none" w:sz="0" w:space="0" w:color="auto"/>
            <w:bottom w:val="none" w:sz="0" w:space="0" w:color="auto"/>
            <w:right w:val="none" w:sz="0" w:space="0" w:color="auto"/>
          </w:divBdr>
        </w:div>
      </w:divsChild>
    </w:div>
    <w:div w:id="82117246">
      <w:bodyDiv w:val="1"/>
      <w:marLeft w:val="0"/>
      <w:marRight w:val="0"/>
      <w:marTop w:val="0"/>
      <w:marBottom w:val="0"/>
      <w:divBdr>
        <w:top w:val="none" w:sz="0" w:space="0" w:color="auto"/>
        <w:left w:val="none" w:sz="0" w:space="0" w:color="auto"/>
        <w:bottom w:val="none" w:sz="0" w:space="0" w:color="auto"/>
        <w:right w:val="none" w:sz="0" w:space="0" w:color="auto"/>
      </w:divBdr>
    </w:div>
    <w:div w:id="141890667">
      <w:bodyDiv w:val="1"/>
      <w:marLeft w:val="0"/>
      <w:marRight w:val="0"/>
      <w:marTop w:val="0"/>
      <w:marBottom w:val="0"/>
      <w:divBdr>
        <w:top w:val="none" w:sz="0" w:space="0" w:color="auto"/>
        <w:left w:val="none" w:sz="0" w:space="0" w:color="auto"/>
        <w:bottom w:val="none" w:sz="0" w:space="0" w:color="auto"/>
        <w:right w:val="none" w:sz="0" w:space="0" w:color="auto"/>
      </w:divBdr>
    </w:div>
    <w:div w:id="158085029">
      <w:bodyDiv w:val="1"/>
      <w:marLeft w:val="0"/>
      <w:marRight w:val="0"/>
      <w:marTop w:val="0"/>
      <w:marBottom w:val="0"/>
      <w:divBdr>
        <w:top w:val="none" w:sz="0" w:space="0" w:color="auto"/>
        <w:left w:val="none" w:sz="0" w:space="0" w:color="auto"/>
        <w:bottom w:val="none" w:sz="0" w:space="0" w:color="auto"/>
        <w:right w:val="none" w:sz="0" w:space="0" w:color="auto"/>
      </w:divBdr>
    </w:div>
    <w:div w:id="185296551">
      <w:bodyDiv w:val="1"/>
      <w:marLeft w:val="0"/>
      <w:marRight w:val="0"/>
      <w:marTop w:val="0"/>
      <w:marBottom w:val="0"/>
      <w:divBdr>
        <w:top w:val="none" w:sz="0" w:space="0" w:color="auto"/>
        <w:left w:val="none" w:sz="0" w:space="0" w:color="auto"/>
        <w:bottom w:val="none" w:sz="0" w:space="0" w:color="auto"/>
        <w:right w:val="none" w:sz="0" w:space="0" w:color="auto"/>
      </w:divBdr>
      <w:divsChild>
        <w:div w:id="1893232771">
          <w:marLeft w:val="547"/>
          <w:marRight w:val="0"/>
          <w:marTop w:val="154"/>
          <w:marBottom w:val="0"/>
          <w:divBdr>
            <w:top w:val="none" w:sz="0" w:space="0" w:color="auto"/>
            <w:left w:val="none" w:sz="0" w:space="0" w:color="auto"/>
            <w:bottom w:val="none" w:sz="0" w:space="0" w:color="auto"/>
            <w:right w:val="none" w:sz="0" w:space="0" w:color="auto"/>
          </w:divBdr>
        </w:div>
      </w:divsChild>
    </w:div>
    <w:div w:id="208349442">
      <w:bodyDiv w:val="1"/>
      <w:marLeft w:val="0"/>
      <w:marRight w:val="0"/>
      <w:marTop w:val="0"/>
      <w:marBottom w:val="0"/>
      <w:divBdr>
        <w:top w:val="none" w:sz="0" w:space="0" w:color="auto"/>
        <w:left w:val="none" w:sz="0" w:space="0" w:color="auto"/>
        <w:bottom w:val="none" w:sz="0" w:space="0" w:color="auto"/>
        <w:right w:val="none" w:sz="0" w:space="0" w:color="auto"/>
      </w:divBdr>
    </w:div>
    <w:div w:id="244537929">
      <w:bodyDiv w:val="1"/>
      <w:marLeft w:val="0"/>
      <w:marRight w:val="0"/>
      <w:marTop w:val="0"/>
      <w:marBottom w:val="0"/>
      <w:divBdr>
        <w:top w:val="none" w:sz="0" w:space="0" w:color="auto"/>
        <w:left w:val="none" w:sz="0" w:space="0" w:color="auto"/>
        <w:bottom w:val="none" w:sz="0" w:space="0" w:color="auto"/>
        <w:right w:val="none" w:sz="0" w:space="0" w:color="auto"/>
      </w:divBdr>
    </w:div>
    <w:div w:id="266618959">
      <w:bodyDiv w:val="1"/>
      <w:marLeft w:val="0"/>
      <w:marRight w:val="0"/>
      <w:marTop w:val="0"/>
      <w:marBottom w:val="0"/>
      <w:divBdr>
        <w:top w:val="none" w:sz="0" w:space="0" w:color="auto"/>
        <w:left w:val="none" w:sz="0" w:space="0" w:color="auto"/>
        <w:bottom w:val="none" w:sz="0" w:space="0" w:color="auto"/>
        <w:right w:val="none" w:sz="0" w:space="0" w:color="auto"/>
      </w:divBdr>
    </w:div>
    <w:div w:id="296760663">
      <w:bodyDiv w:val="1"/>
      <w:marLeft w:val="0"/>
      <w:marRight w:val="0"/>
      <w:marTop w:val="0"/>
      <w:marBottom w:val="0"/>
      <w:divBdr>
        <w:top w:val="none" w:sz="0" w:space="0" w:color="auto"/>
        <w:left w:val="none" w:sz="0" w:space="0" w:color="auto"/>
        <w:bottom w:val="none" w:sz="0" w:space="0" w:color="auto"/>
        <w:right w:val="none" w:sz="0" w:space="0" w:color="auto"/>
      </w:divBdr>
    </w:div>
    <w:div w:id="319188681">
      <w:bodyDiv w:val="1"/>
      <w:marLeft w:val="0"/>
      <w:marRight w:val="0"/>
      <w:marTop w:val="0"/>
      <w:marBottom w:val="0"/>
      <w:divBdr>
        <w:top w:val="none" w:sz="0" w:space="0" w:color="auto"/>
        <w:left w:val="none" w:sz="0" w:space="0" w:color="auto"/>
        <w:bottom w:val="none" w:sz="0" w:space="0" w:color="auto"/>
        <w:right w:val="none" w:sz="0" w:space="0" w:color="auto"/>
      </w:divBdr>
      <w:divsChild>
        <w:div w:id="474760344">
          <w:marLeft w:val="274"/>
          <w:marRight w:val="0"/>
          <w:marTop w:val="0"/>
          <w:marBottom w:val="0"/>
          <w:divBdr>
            <w:top w:val="none" w:sz="0" w:space="0" w:color="auto"/>
            <w:left w:val="none" w:sz="0" w:space="0" w:color="auto"/>
            <w:bottom w:val="none" w:sz="0" w:space="0" w:color="auto"/>
            <w:right w:val="none" w:sz="0" w:space="0" w:color="auto"/>
          </w:divBdr>
        </w:div>
      </w:divsChild>
    </w:div>
    <w:div w:id="346636372">
      <w:bodyDiv w:val="1"/>
      <w:marLeft w:val="0"/>
      <w:marRight w:val="0"/>
      <w:marTop w:val="0"/>
      <w:marBottom w:val="0"/>
      <w:divBdr>
        <w:top w:val="none" w:sz="0" w:space="0" w:color="auto"/>
        <w:left w:val="none" w:sz="0" w:space="0" w:color="auto"/>
        <w:bottom w:val="none" w:sz="0" w:space="0" w:color="auto"/>
        <w:right w:val="none" w:sz="0" w:space="0" w:color="auto"/>
      </w:divBdr>
      <w:divsChild>
        <w:div w:id="306859207">
          <w:marLeft w:val="1166"/>
          <w:marRight w:val="0"/>
          <w:marTop w:val="96"/>
          <w:marBottom w:val="0"/>
          <w:divBdr>
            <w:top w:val="none" w:sz="0" w:space="0" w:color="auto"/>
            <w:left w:val="none" w:sz="0" w:space="0" w:color="auto"/>
            <w:bottom w:val="none" w:sz="0" w:space="0" w:color="auto"/>
            <w:right w:val="none" w:sz="0" w:space="0" w:color="auto"/>
          </w:divBdr>
        </w:div>
      </w:divsChild>
    </w:div>
    <w:div w:id="421226572">
      <w:bodyDiv w:val="1"/>
      <w:marLeft w:val="0"/>
      <w:marRight w:val="0"/>
      <w:marTop w:val="0"/>
      <w:marBottom w:val="0"/>
      <w:divBdr>
        <w:top w:val="none" w:sz="0" w:space="0" w:color="auto"/>
        <w:left w:val="none" w:sz="0" w:space="0" w:color="auto"/>
        <w:bottom w:val="none" w:sz="0" w:space="0" w:color="auto"/>
        <w:right w:val="none" w:sz="0" w:space="0" w:color="auto"/>
      </w:divBdr>
    </w:div>
    <w:div w:id="613485702">
      <w:bodyDiv w:val="1"/>
      <w:marLeft w:val="0"/>
      <w:marRight w:val="0"/>
      <w:marTop w:val="0"/>
      <w:marBottom w:val="0"/>
      <w:divBdr>
        <w:top w:val="none" w:sz="0" w:space="0" w:color="auto"/>
        <w:left w:val="none" w:sz="0" w:space="0" w:color="auto"/>
        <w:bottom w:val="none" w:sz="0" w:space="0" w:color="auto"/>
        <w:right w:val="none" w:sz="0" w:space="0" w:color="auto"/>
      </w:divBdr>
    </w:div>
    <w:div w:id="622615672">
      <w:bodyDiv w:val="1"/>
      <w:marLeft w:val="0"/>
      <w:marRight w:val="0"/>
      <w:marTop w:val="0"/>
      <w:marBottom w:val="0"/>
      <w:divBdr>
        <w:top w:val="none" w:sz="0" w:space="0" w:color="auto"/>
        <w:left w:val="none" w:sz="0" w:space="0" w:color="auto"/>
        <w:bottom w:val="none" w:sz="0" w:space="0" w:color="auto"/>
        <w:right w:val="none" w:sz="0" w:space="0" w:color="auto"/>
      </w:divBdr>
    </w:div>
    <w:div w:id="625038934">
      <w:bodyDiv w:val="1"/>
      <w:marLeft w:val="0"/>
      <w:marRight w:val="0"/>
      <w:marTop w:val="0"/>
      <w:marBottom w:val="0"/>
      <w:divBdr>
        <w:top w:val="none" w:sz="0" w:space="0" w:color="auto"/>
        <w:left w:val="none" w:sz="0" w:space="0" w:color="auto"/>
        <w:bottom w:val="none" w:sz="0" w:space="0" w:color="auto"/>
        <w:right w:val="none" w:sz="0" w:space="0" w:color="auto"/>
      </w:divBdr>
    </w:div>
    <w:div w:id="724446252">
      <w:bodyDiv w:val="1"/>
      <w:marLeft w:val="0"/>
      <w:marRight w:val="0"/>
      <w:marTop w:val="0"/>
      <w:marBottom w:val="0"/>
      <w:divBdr>
        <w:top w:val="none" w:sz="0" w:space="0" w:color="auto"/>
        <w:left w:val="none" w:sz="0" w:space="0" w:color="auto"/>
        <w:bottom w:val="none" w:sz="0" w:space="0" w:color="auto"/>
        <w:right w:val="none" w:sz="0" w:space="0" w:color="auto"/>
      </w:divBdr>
      <w:divsChild>
        <w:div w:id="269513757">
          <w:marLeft w:val="0"/>
          <w:marRight w:val="0"/>
          <w:marTop w:val="0"/>
          <w:marBottom w:val="0"/>
          <w:divBdr>
            <w:top w:val="none" w:sz="0" w:space="0" w:color="auto"/>
            <w:left w:val="none" w:sz="0" w:space="0" w:color="auto"/>
            <w:bottom w:val="none" w:sz="0" w:space="0" w:color="auto"/>
            <w:right w:val="none" w:sz="0" w:space="0" w:color="auto"/>
          </w:divBdr>
          <w:divsChild>
            <w:div w:id="2005232851">
              <w:marLeft w:val="0"/>
              <w:marRight w:val="0"/>
              <w:marTop w:val="0"/>
              <w:marBottom w:val="0"/>
              <w:divBdr>
                <w:top w:val="none" w:sz="0" w:space="0" w:color="auto"/>
                <w:left w:val="none" w:sz="0" w:space="0" w:color="auto"/>
                <w:bottom w:val="none" w:sz="0" w:space="0" w:color="auto"/>
                <w:right w:val="none" w:sz="0" w:space="0" w:color="auto"/>
              </w:divBdr>
              <w:divsChild>
                <w:div w:id="230626091">
                  <w:marLeft w:val="0"/>
                  <w:marRight w:val="0"/>
                  <w:marTop w:val="0"/>
                  <w:marBottom w:val="0"/>
                  <w:divBdr>
                    <w:top w:val="none" w:sz="0" w:space="0" w:color="auto"/>
                    <w:left w:val="none" w:sz="0" w:space="0" w:color="auto"/>
                    <w:bottom w:val="none" w:sz="0" w:space="0" w:color="auto"/>
                    <w:right w:val="none" w:sz="0" w:space="0" w:color="auto"/>
                  </w:divBdr>
                  <w:divsChild>
                    <w:div w:id="1503668617">
                      <w:marLeft w:val="0"/>
                      <w:marRight w:val="0"/>
                      <w:marTop w:val="0"/>
                      <w:marBottom w:val="0"/>
                      <w:divBdr>
                        <w:top w:val="none" w:sz="0" w:space="0" w:color="auto"/>
                        <w:left w:val="none" w:sz="0" w:space="0" w:color="auto"/>
                        <w:bottom w:val="none" w:sz="0" w:space="0" w:color="auto"/>
                        <w:right w:val="none" w:sz="0" w:space="0" w:color="auto"/>
                      </w:divBdr>
                      <w:divsChild>
                        <w:div w:id="453138744">
                          <w:marLeft w:val="0"/>
                          <w:marRight w:val="0"/>
                          <w:marTop w:val="0"/>
                          <w:marBottom w:val="0"/>
                          <w:divBdr>
                            <w:top w:val="none" w:sz="0" w:space="0" w:color="auto"/>
                            <w:left w:val="none" w:sz="0" w:space="0" w:color="auto"/>
                            <w:bottom w:val="none" w:sz="0" w:space="0" w:color="auto"/>
                            <w:right w:val="none" w:sz="0" w:space="0" w:color="auto"/>
                          </w:divBdr>
                          <w:divsChild>
                            <w:div w:id="221985980">
                              <w:marLeft w:val="0"/>
                              <w:marRight w:val="0"/>
                              <w:marTop w:val="0"/>
                              <w:marBottom w:val="0"/>
                              <w:divBdr>
                                <w:top w:val="none" w:sz="0" w:space="0" w:color="auto"/>
                                <w:left w:val="none" w:sz="0" w:space="0" w:color="auto"/>
                                <w:bottom w:val="none" w:sz="0" w:space="0" w:color="auto"/>
                                <w:right w:val="none" w:sz="0" w:space="0" w:color="auto"/>
                              </w:divBdr>
                              <w:divsChild>
                                <w:div w:id="1845709212">
                                  <w:marLeft w:val="0"/>
                                  <w:marRight w:val="0"/>
                                  <w:marTop w:val="0"/>
                                  <w:marBottom w:val="0"/>
                                  <w:divBdr>
                                    <w:top w:val="none" w:sz="0" w:space="0" w:color="auto"/>
                                    <w:left w:val="none" w:sz="0" w:space="0" w:color="auto"/>
                                    <w:bottom w:val="none" w:sz="0" w:space="0" w:color="auto"/>
                                    <w:right w:val="none" w:sz="0" w:space="0" w:color="auto"/>
                                  </w:divBdr>
                                  <w:divsChild>
                                    <w:div w:id="6653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5770413">
      <w:bodyDiv w:val="1"/>
      <w:marLeft w:val="0"/>
      <w:marRight w:val="0"/>
      <w:marTop w:val="0"/>
      <w:marBottom w:val="0"/>
      <w:divBdr>
        <w:top w:val="none" w:sz="0" w:space="0" w:color="auto"/>
        <w:left w:val="none" w:sz="0" w:space="0" w:color="auto"/>
        <w:bottom w:val="none" w:sz="0" w:space="0" w:color="auto"/>
        <w:right w:val="none" w:sz="0" w:space="0" w:color="auto"/>
      </w:divBdr>
      <w:divsChild>
        <w:div w:id="230651894">
          <w:marLeft w:val="1354"/>
          <w:marRight w:val="0"/>
          <w:marTop w:val="53"/>
          <w:marBottom w:val="0"/>
          <w:divBdr>
            <w:top w:val="none" w:sz="0" w:space="0" w:color="auto"/>
            <w:left w:val="none" w:sz="0" w:space="0" w:color="auto"/>
            <w:bottom w:val="none" w:sz="0" w:space="0" w:color="auto"/>
            <w:right w:val="none" w:sz="0" w:space="0" w:color="auto"/>
          </w:divBdr>
        </w:div>
      </w:divsChild>
    </w:div>
    <w:div w:id="980421491">
      <w:bodyDiv w:val="1"/>
      <w:marLeft w:val="0"/>
      <w:marRight w:val="0"/>
      <w:marTop w:val="0"/>
      <w:marBottom w:val="0"/>
      <w:divBdr>
        <w:top w:val="none" w:sz="0" w:space="0" w:color="auto"/>
        <w:left w:val="none" w:sz="0" w:space="0" w:color="auto"/>
        <w:bottom w:val="none" w:sz="0" w:space="0" w:color="auto"/>
        <w:right w:val="none" w:sz="0" w:space="0" w:color="auto"/>
      </w:divBdr>
      <w:divsChild>
        <w:div w:id="1901864517">
          <w:marLeft w:val="547"/>
          <w:marRight w:val="0"/>
          <w:marTop w:val="96"/>
          <w:marBottom w:val="0"/>
          <w:divBdr>
            <w:top w:val="none" w:sz="0" w:space="0" w:color="auto"/>
            <w:left w:val="none" w:sz="0" w:space="0" w:color="auto"/>
            <w:bottom w:val="none" w:sz="0" w:space="0" w:color="auto"/>
            <w:right w:val="none" w:sz="0" w:space="0" w:color="auto"/>
          </w:divBdr>
        </w:div>
      </w:divsChild>
    </w:div>
    <w:div w:id="1051656922">
      <w:bodyDiv w:val="1"/>
      <w:marLeft w:val="0"/>
      <w:marRight w:val="0"/>
      <w:marTop w:val="0"/>
      <w:marBottom w:val="0"/>
      <w:divBdr>
        <w:top w:val="none" w:sz="0" w:space="0" w:color="auto"/>
        <w:left w:val="none" w:sz="0" w:space="0" w:color="auto"/>
        <w:bottom w:val="none" w:sz="0" w:space="0" w:color="auto"/>
        <w:right w:val="none" w:sz="0" w:space="0" w:color="auto"/>
      </w:divBdr>
    </w:div>
    <w:div w:id="1307052365">
      <w:bodyDiv w:val="1"/>
      <w:marLeft w:val="0"/>
      <w:marRight w:val="0"/>
      <w:marTop w:val="0"/>
      <w:marBottom w:val="0"/>
      <w:divBdr>
        <w:top w:val="none" w:sz="0" w:space="0" w:color="auto"/>
        <w:left w:val="none" w:sz="0" w:space="0" w:color="auto"/>
        <w:bottom w:val="none" w:sz="0" w:space="0" w:color="auto"/>
        <w:right w:val="none" w:sz="0" w:space="0" w:color="auto"/>
      </w:divBdr>
    </w:div>
    <w:div w:id="1374423427">
      <w:bodyDiv w:val="1"/>
      <w:marLeft w:val="0"/>
      <w:marRight w:val="0"/>
      <w:marTop w:val="0"/>
      <w:marBottom w:val="0"/>
      <w:divBdr>
        <w:top w:val="none" w:sz="0" w:space="0" w:color="auto"/>
        <w:left w:val="none" w:sz="0" w:space="0" w:color="auto"/>
        <w:bottom w:val="none" w:sz="0" w:space="0" w:color="auto"/>
        <w:right w:val="none" w:sz="0" w:space="0" w:color="auto"/>
      </w:divBdr>
    </w:div>
    <w:div w:id="1397243089">
      <w:bodyDiv w:val="1"/>
      <w:marLeft w:val="0"/>
      <w:marRight w:val="0"/>
      <w:marTop w:val="0"/>
      <w:marBottom w:val="0"/>
      <w:divBdr>
        <w:top w:val="none" w:sz="0" w:space="0" w:color="auto"/>
        <w:left w:val="none" w:sz="0" w:space="0" w:color="auto"/>
        <w:bottom w:val="none" w:sz="0" w:space="0" w:color="auto"/>
        <w:right w:val="none" w:sz="0" w:space="0" w:color="auto"/>
      </w:divBdr>
      <w:divsChild>
        <w:div w:id="574049995">
          <w:marLeft w:val="547"/>
          <w:marRight w:val="0"/>
          <w:marTop w:val="96"/>
          <w:marBottom w:val="0"/>
          <w:divBdr>
            <w:top w:val="none" w:sz="0" w:space="0" w:color="auto"/>
            <w:left w:val="none" w:sz="0" w:space="0" w:color="auto"/>
            <w:bottom w:val="none" w:sz="0" w:space="0" w:color="auto"/>
            <w:right w:val="none" w:sz="0" w:space="0" w:color="auto"/>
          </w:divBdr>
        </w:div>
      </w:divsChild>
    </w:div>
    <w:div w:id="1672367317">
      <w:bodyDiv w:val="1"/>
      <w:marLeft w:val="0"/>
      <w:marRight w:val="0"/>
      <w:marTop w:val="0"/>
      <w:marBottom w:val="0"/>
      <w:divBdr>
        <w:top w:val="none" w:sz="0" w:space="0" w:color="auto"/>
        <w:left w:val="none" w:sz="0" w:space="0" w:color="auto"/>
        <w:bottom w:val="none" w:sz="0" w:space="0" w:color="auto"/>
        <w:right w:val="none" w:sz="0" w:space="0" w:color="auto"/>
      </w:divBdr>
    </w:div>
    <w:div w:id="1689715749">
      <w:bodyDiv w:val="1"/>
      <w:marLeft w:val="0"/>
      <w:marRight w:val="0"/>
      <w:marTop w:val="0"/>
      <w:marBottom w:val="0"/>
      <w:divBdr>
        <w:top w:val="none" w:sz="0" w:space="0" w:color="auto"/>
        <w:left w:val="none" w:sz="0" w:space="0" w:color="auto"/>
        <w:bottom w:val="none" w:sz="0" w:space="0" w:color="auto"/>
        <w:right w:val="none" w:sz="0" w:space="0" w:color="auto"/>
      </w:divBdr>
    </w:div>
    <w:div w:id="1854610216">
      <w:bodyDiv w:val="1"/>
      <w:marLeft w:val="0"/>
      <w:marRight w:val="0"/>
      <w:marTop w:val="0"/>
      <w:marBottom w:val="0"/>
      <w:divBdr>
        <w:top w:val="none" w:sz="0" w:space="0" w:color="auto"/>
        <w:left w:val="none" w:sz="0" w:space="0" w:color="auto"/>
        <w:bottom w:val="none" w:sz="0" w:space="0" w:color="auto"/>
        <w:right w:val="none" w:sz="0" w:space="0" w:color="auto"/>
      </w:divBdr>
    </w:div>
    <w:div w:id="1918318396">
      <w:bodyDiv w:val="1"/>
      <w:marLeft w:val="0"/>
      <w:marRight w:val="0"/>
      <w:marTop w:val="0"/>
      <w:marBottom w:val="0"/>
      <w:divBdr>
        <w:top w:val="none" w:sz="0" w:space="0" w:color="auto"/>
        <w:left w:val="none" w:sz="0" w:space="0" w:color="auto"/>
        <w:bottom w:val="none" w:sz="0" w:space="0" w:color="auto"/>
        <w:right w:val="none" w:sz="0" w:space="0" w:color="auto"/>
      </w:divBdr>
    </w:div>
    <w:div w:id="1971590662">
      <w:bodyDiv w:val="1"/>
      <w:marLeft w:val="0"/>
      <w:marRight w:val="0"/>
      <w:marTop w:val="0"/>
      <w:marBottom w:val="0"/>
      <w:divBdr>
        <w:top w:val="none" w:sz="0" w:space="0" w:color="auto"/>
        <w:left w:val="none" w:sz="0" w:space="0" w:color="auto"/>
        <w:bottom w:val="none" w:sz="0" w:space="0" w:color="auto"/>
        <w:right w:val="none" w:sz="0" w:space="0" w:color="auto"/>
      </w:divBdr>
    </w:div>
    <w:div w:id="198438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1.xml"/><Relationship Id="rId18" Type="http://schemas.openxmlformats.org/officeDocument/2006/relationships/chart" Target="charts/chart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chart" Target="charts/chart4.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chart" Target="charts/chart2.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who.int/healthsystems/publications/abuja_report_aug_2011.pdf" TargetMode="External"/><Relationship Id="rId2" Type="http://schemas.openxmlformats.org/officeDocument/2006/relationships/hyperlink" Target="http://informahealthcare.com/doi/abs/10.1080/09595230600944511" TargetMode="External"/><Relationship Id="rId1" Type="http://schemas.openxmlformats.org/officeDocument/2006/relationships/hyperlink" Target="http://www.who.int/choice/publications/p_2009_CE_Alcohol_Lancet.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rkM\Documents\Mark@Abt\Abt%20Associates%20Inc\NHA-Expenditure%20Tracking\NHA%20DATABASE\Report\Financing%20Source%20graph%20-%202001-201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kthomas\Dropbox\Malawi%20HF%20team\Health%20financing%20strategy\Options%20Assessment\Financial%20models%20for%20options%20assessment-updated%20March%206%20201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kthomas\Dropbox\Malawi%20HF%20team\Health%20financing%20strategy\Options%20Assessment\Financial%20models%20for%20options%20assessment-updated%20March%206%20201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Owner\Dropbox\Malawi%20HF%20team\Health%20financing%20strategy\Takondwa%20files\Options%20Assessment\Financial%20models%20&amp;%20data\Financial%20models%20for%20final%20strategy%20-16%20July%20201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kthomas\Dropbox\Malawi%20HF%20team\Health%20financing%20strategy\Options%20Assessment\Financial%20models%20for%20options%20assessment-updated%20March%206%20201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0"/>
    <c:plotArea>
      <c:layout>
        <c:manualLayout>
          <c:layoutTarget val="inner"/>
          <c:xMode val="edge"/>
          <c:yMode val="edge"/>
          <c:x val="9.4048051685846956E-2"/>
          <c:y val="5.140041543886769E-2"/>
          <c:w val="0.89239916885389325"/>
          <c:h val="0.8326195683872849"/>
        </c:manualLayout>
      </c:layout>
      <c:lineChart>
        <c:grouping val="standard"/>
        <c:varyColors val="0"/>
        <c:ser>
          <c:idx val="0"/>
          <c:order val="0"/>
          <c:tx>
            <c:strRef>
              <c:f>Sheet1!$A$5</c:f>
              <c:strCache>
                <c:ptCount val="1"/>
                <c:pt idx="0">
                  <c:v>donors</c:v>
                </c:pt>
              </c:strCache>
            </c:strRef>
          </c:tx>
          <c:marker>
            <c:symbol val="none"/>
          </c:marker>
          <c:dLbls>
            <c:dLbl>
              <c:idx val="0"/>
              <c:showLegendKey val="0"/>
              <c:showVal val="1"/>
              <c:showCatName val="0"/>
              <c:showSerName val="0"/>
              <c:showPercent val="0"/>
              <c:showBubbleSize val="0"/>
              <c:extLst>
                <c:ext xmlns:c15="http://schemas.microsoft.com/office/drawing/2012/chart" uri="{CE6537A1-D6FC-4f65-9D91-7224C49458BB}"/>
              </c:extLst>
            </c:dLbl>
            <c:dLbl>
              <c:idx val="11"/>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Sheet1!$B$4:$M$4</c:f>
              <c:numCache>
                <c:formatCode>General</c:formatCode>
                <c:ptCount val="12"/>
                <c:pt idx="0">
                  <c:v>2001</c:v>
                </c:pt>
                <c:pt idx="1">
                  <c:v>2002</c:v>
                </c:pt>
                <c:pt idx="2">
                  <c:v>2003</c:v>
                </c:pt>
                <c:pt idx="3">
                  <c:v>2004</c:v>
                </c:pt>
                <c:pt idx="4">
                  <c:v>2005</c:v>
                </c:pt>
                <c:pt idx="5">
                  <c:v>2006</c:v>
                </c:pt>
                <c:pt idx="6">
                  <c:v>2007</c:v>
                </c:pt>
                <c:pt idx="7">
                  <c:v>2008</c:v>
                </c:pt>
                <c:pt idx="8">
                  <c:v>2009</c:v>
                </c:pt>
                <c:pt idx="9">
                  <c:v>2010</c:v>
                </c:pt>
                <c:pt idx="10">
                  <c:v>2011</c:v>
                </c:pt>
                <c:pt idx="11">
                  <c:v>2012</c:v>
                </c:pt>
              </c:numCache>
            </c:numRef>
          </c:cat>
          <c:val>
            <c:numRef>
              <c:f>Sheet1!$B$5:$M$5</c:f>
              <c:numCache>
                <c:formatCode>0%</c:formatCode>
                <c:ptCount val="12"/>
                <c:pt idx="0">
                  <c:v>0.36</c:v>
                </c:pt>
                <c:pt idx="1">
                  <c:v>0.35</c:v>
                </c:pt>
                <c:pt idx="2">
                  <c:v>0.46</c:v>
                </c:pt>
                <c:pt idx="3">
                  <c:v>0.66</c:v>
                </c:pt>
                <c:pt idx="4">
                  <c:v>0.64</c:v>
                </c:pt>
                <c:pt idx="5">
                  <c:v>0.55000000000000004</c:v>
                </c:pt>
                <c:pt idx="6">
                  <c:v>0.69099999999999995</c:v>
                </c:pt>
                <c:pt idx="7">
                  <c:v>0.62</c:v>
                </c:pt>
                <c:pt idx="8">
                  <c:v>0.65</c:v>
                </c:pt>
                <c:pt idx="9">
                  <c:v>0.61</c:v>
                </c:pt>
                <c:pt idx="10">
                  <c:v>0.63</c:v>
                </c:pt>
                <c:pt idx="11">
                  <c:v>0.69</c:v>
                </c:pt>
              </c:numCache>
            </c:numRef>
          </c:val>
          <c:smooth val="0"/>
        </c:ser>
        <c:ser>
          <c:idx val="1"/>
          <c:order val="1"/>
          <c:tx>
            <c:strRef>
              <c:f>Sheet1!$A$6</c:f>
              <c:strCache>
                <c:ptCount val="1"/>
                <c:pt idx="0">
                  <c:v>public</c:v>
                </c:pt>
              </c:strCache>
            </c:strRef>
          </c:tx>
          <c:marker>
            <c:symbol val="none"/>
          </c:marker>
          <c:dLbls>
            <c:dLbl>
              <c:idx val="0"/>
              <c:showLegendKey val="0"/>
              <c:showVal val="1"/>
              <c:showCatName val="0"/>
              <c:showSerName val="0"/>
              <c:showPercent val="0"/>
              <c:showBubbleSize val="0"/>
              <c:extLst>
                <c:ext xmlns:c15="http://schemas.microsoft.com/office/drawing/2012/chart" uri="{CE6537A1-D6FC-4f65-9D91-7224C49458BB}"/>
              </c:extLst>
            </c:dLbl>
            <c:dLbl>
              <c:idx val="11"/>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Sheet1!$B$4:$M$4</c:f>
              <c:numCache>
                <c:formatCode>General</c:formatCode>
                <c:ptCount val="12"/>
                <c:pt idx="0">
                  <c:v>2001</c:v>
                </c:pt>
                <c:pt idx="1">
                  <c:v>2002</c:v>
                </c:pt>
                <c:pt idx="2">
                  <c:v>2003</c:v>
                </c:pt>
                <c:pt idx="3">
                  <c:v>2004</c:v>
                </c:pt>
                <c:pt idx="4">
                  <c:v>2005</c:v>
                </c:pt>
                <c:pt idx="5">
                  <c:v>2006</c:v>
                </c:pt>
                <c:pt idx="6">
                  <c:v>2007</c:v>
                </c:pt>
                <c:pt idx="7">
                  <c:v>2008</c:v>
                </c:pt>
                <c:pt idx="8">
                  <c:v>2009</c:v>
                </c:pt>
                <c:pt idx="9">
                  <c:v>2010</c:v>
                </c:pt>
                <c:pt idx="10">
                  <c:v>2011</c:v>
                </c:pt>
                <c:pt idx="11">
                  <c:v>2012</c:v>
                </c:pt>
              </c:numCache>
            </c:numRef>
          </c:cat>
          <c:val>
            <c:numRef>
              <c:f>Sheet1!$B$6:$M$6</c:f>
              <c:numCache>
                <c:formatCode>0%</c:formatCode>
                <c:ptCount val="12"/>
                <c:pt idx="0">
                  <c:v>0.38</c:v>
                </c:pt>
                <c:pt idx="1">
                  <c:v>0.45</c:v>
                </c:pt>
                <c:pt idx="2">
                  <c:v>0.36</c:v>
                </c:pt>
                <c:pt idx="3">
                  <c:v>0.21</c:v>
                </c:pt>
                <c:pt idx="4">
                  <c:v>0.24</c:v>
                </c:pt>
                <c:pt idx="5">
                  <c:v>0.23</c:v>
                </c:pt>
                <c:pt idx="6">
                  <c:v>0.13400000000000001</c:v>
                </c:pt>
                <c:pt idx="7">
                  <c:v>0.224</c:v>
                </c:pt>
                <c:pt idx="8">
                  <c:v>0.17</c:v>
                </c:pt>
                <c:pt idx="9">
                  <c:v>0.23</c:v>
                </c:pt>
                <c:pt idx="10">
                  <c:v>0.22</c:v>
                </c:pt>
                <c:pt idx="11">
                  <c:v>0.17</c:v>
                </c:pt>
              </c:numCache>
            </c:numRef>
          </c:val>
          <c:smooth val="0"/>
        </c:ser>
        <c:ser>
          <c:idx val="2"/>
          <c:order val="2"/>
          <c:tx>
            <c:strRef>
              <c:f>Sheet1!$A$7</c:f>
              <c:strCache>
                <c:ptCount val="1"/>
                <c:pt idx="0">
                  <c:v>private</c:v>
                </c:pt>
              </c:strCache>
            </c:strRef>
          </c:tx>
          <c:marker>
            <c:symbol val="none"/>
          </c:marker>
          <c:dLbls>
            <c:dLbl>
              <c:idx val="0"/>
              <c:showLegendKey val="0"/>
              <c:showVal val="1"/>
              <c:showCatName val="0"/>
              <c:showSerName val="0"/>
              <c:showPercent val="0"/>
              <c:showBubbleSize val="0"/>
              <c:extLst>
                <c:ext xmlns:c15="http://schemas.microsoft.com/office/drawing/2012/chart" uri="{CE6537A1-D6FC-4f65-9D91-7224C49458BB}"/>
              </c:extLst>
            </c:dLbl>
            <c:dLbl>
              <c:idx val="11"/>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Sheet1!$B$4:$M$4</c:f>
              <c:numCache>
                <c:formatCode>General</c:formatCode>
                <c:ptCount val="12"/>
                <c:pt idx="0">
                  <c:v>2001</c:v>
                </c:pt>
                <c:pt idx="1">
                  <c:v>2002</c:v>
                </c:pt>
                <c:pt idx="2">
                  <c:v>2003</c:v>
                </c:pt>
                <c:pt idx="3">
                  <c:v>2004</c:v>
                </c:pt>
                <c:pt idx="4">
                  <c:v>2005</c:v>
                </c:pt>
                <c:pt idx="5">
                  <c:v>2006</c:v>
                </c:pt>
                <c:pt idx="6">
                  <c:v>2007</c:v>
                </c:pt>
                <c:pt idx="7">
                  <c:v>2008</c:v>
                </c:pt>
                <c:pt idx="8">
                  <c:v>2009</c:v>
                </c:pt>
                <c:pt idx="9">
                  <c:v>2010</c:v>
                </c:pt>
                <c:pt idx="10">
                  <c:v>2011</c:v>
                </c:pt>
                <c:pt idx="11">
                  <c:v>2012</c:v>
                </c:pt>
              </c:numCache>
            </c:numRef>
          </c:cat>
          <c:val>
            <c:numRef>
              <c:f>Sheet1!$B$7:$M$7</c:f>
              <c:numCache>
                <c:formatCode>0%</c:formatCode>
                <c:ptCount val="12"/>
                <c:pt idx="0">
                  <c:v>0.26</c:v>
                </c:pt>
                <c:pt idx="1">
                  <c:v>0.2</c:v>
                </c:pt>
                <c:pt idx="2">
                  <c:v>0.18</c:v>
                </c:pt>
                <c:pt idx="3">
                  <c:v>0.13</c:v>
                </c:pt>
                <c:pt idx="4">
                  <c:v>0.12</c:v>
                </c:pt>
                <c:pt idx="5">
                  <c:v>0.22</c:v>
                </c:pt>
                <c:pt idx="6">
                  <c:v>0.17499999999999999</c:v>
                </c:pt>
                <c:pt idx="7">
                  <c:v>0.156</c:v>
                </c:pt>
                <c:pt idx="8">
                  <c:v>0.18</c:v>
                </c:pt>
                <c:pt idx="9">
                  <c:v>0.16</c:v>
                </c:pt>
                <c:pt idx="10">
                  <c:v>0.15</c:v>
                </c:pt>
                <c:pt idx="11">
                  <c:v>0.14000000000000001</c:v>
                </c:pt>
              </c:numCache>
            </c:numRef>
          </c:val>
          <c:smooth val="0"/>
        </c:ser>
        <c:dLbls>
          <c:showLegendKey val="0"/>
          <c:showVal val="0"/>
          <c:showCatName val="0"/>
          <c:showSerName val="0"/>
          <c:showPercent val="0"/>
          <c:showBubbleSize val="0"/>
        </c:dLbls>
        <c:smooth val="0"/>
        <c:axId val="-1623077232"/>
        <c:axId val="-1623076144"/>
      </c:lineChart>
      <c:catAx>
        <c:axId val="-1623077232"/>
        <c:scaling>
          <c:orientation val="minMax"/>
        </c:scaling>
        <c:delete val="0"/>
        <c:axPos val="b"/>
        <c:numFmt formatCode="General" sourceLinked="1"/>
        <c:majorTickMark val="out"/>
        <c:minorTickMark val="none"/>
        <c:tickLblPos val="nextTo"/>
        <c:crossAx val="-1623076144"/>
        <c:crosses val="autoZero"/>
        <c:auto val="1"/>
        <c:lblAlgn val="ctr"/>
        <c:lblOffset val="100"/>
        <c:noMultiLvlLbl val="0"/>
      </c:catAx>
      <c:valAx>
        <c:axId val="-1623076144"/>
        <c:scaling>
          <c:orientation val="minMax"/>
        </c:scaling>
        <c:delete val="0"/>
        <c:axPos val="l"/>
        <c:majorGridlines/>
        <c:numFmt formatCode="0%" sourceLinked="1"/>
        <c:majorTickMark val="out"/>
        <c:minorTickMark val="none"/>
        <c:tickLblPos val="nextTo"/>
        <c:crossAx val="-1623077232"/>
        <c:crosses val="autoZero"/>
        <c:crossBetween val="between"/>
      </c:valAx>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lang="en-CA"/>
            </a:pPr>
            <a:r>
              <a:rPr lang="en-US" sz="1400"/>
              <a:t>Revenue</a:t>
            </a:r>
            <a:r>
              <a:rPr lang="en-US" sz="1400" baseline="0"/>
              <a:t> Generated from Alcohol Levy</a:t>
            </a:r>
            <a:endParaRPr lang="en-US" sz="1400"/>
          </a:p>
        </c:rich>
      </c:tx>
      <c:overlay val="0"/>
    </c:title>
    <c:autoTitleDeleted val="0"/>
    <c:plotArea>
      <c:layout/>
      <c:barChart>
        <c:barDir val="col"/>
        <c:grouping val="clustered"/>
        <c:varyColors val="1"/>
        <c:ser>
          <c:idx val="0"/>
          <c:order val="0"/>
          <c:tx>
            <c:strRef>
              <c:f>Alcohol!$A$42</c:f>
              <c:strCache>
                <c:ptCount val="1"/>
                <c:pt idx="0">
                  <c:v>Scenario 1 - 10% Levy</c:v>
                </c:pt>
              </c:strCache>
            </c:strRef>
          </c:tx>
          <c:invertIfNegative val="1"/>
          <c:cat>
            <c:strRef>
              <c:f>Alcohol!$B$41:$I$41</c:f>
              <c:strCache>
                <c:ptCount val="8"/>
                <c:pt idx="0">
                  <c:v>2013-14</c:v>
                </c:pt>
                <c:pt idx="1">
                  <c:v>2014-15</c:v>
                </c:pt>
                <c:pt idx="2">
                  <c:v>2015-16</c:v>
                </c:pt>
                <c:pt idx="3">
                  <c:v>2016-17</c:v>
                </c:pt>
                <c:pt idx="4">
                  <c:v>2017-18</c:v>
                </c:pt>
                <c:pt idx="5">
                  <c:v>2018-19</c:v>
                </c:pt>
                <c:pt idx="6">
                  <c:v>2019-20</c:v>
                </c:pt>
                <c:pt idx="7">
                  <c:v>2020-21</c:v>
                </c:pt>
              </c:strCache>
            </c:strRef>
          </c:cat>
          <c:val>
            <c:numRef>
              <c:f>Alcohol!$B$42:$I$42</c:f>
              <c:numCache>
                <c:formatCode>_("$"* #,##0_);_("$"* \(#,##0\);_("$"* "-"??_);_(@_)</c:formatCode>
                <c:ptCount val="8"/>
                <c:pt idx="0">
                  <c:v>1712292.3329962508</c:v>
                </c:pt>
                <c:pt idx="1">
                  <c:v>1830423.9691299831</c:v>
                </c:pt>
                <c:pt idx="2">
                  <c:v>1973775.9833504972</c:v>
                </c:pt>
                <c:pt idx="3">
                  <c:v>2134025.930603411</c:v>
                </c:pt>
                <c:pt idx="4">
                  <c:v>2315242.1752035697</c:v>
                </c:pt>
                <c:pt idx="5">
                  <c:v>2501947.5799430739</c:v>
                </c:pt>
                <c:pt idx="6">
                  <c:v>2703709.2533236267</c:v>
                </c:pt>
                <c:pt idx="7">
                  <c:v>2921741.360653976</c:v>
                </c:pt>
              </c:numCache>
            </c:numRef>
          </c:val>
        </c:ser>
        <c:ser>
          <c:idx val="1"/>
          <c:order val="1"/>
          <c:tx>
            <c:strRef>
              <c:f>Alcohol!$A$43</c:f>
              <c:strCache>
                <c:ptCount val="1"/>
                <c:pt idx="0">
                  <c:v>Scenario 2 - 20% Levy</c:v>
                </c:pt>
              </c:strCache>
            </c:strRef>
          </c:tx>
          <c:invertIfNegative val="1"/>
          <c:cat>
            <c:strRef>
              <c:f>Alcohol!$B$41:$I$41</c:f>
              <c:strCache>
                <c:ptCount val="8"/>
                <c:pt idx="0">
                  <c:v>2013-14</c:v>
                </c:pt>
                <c:pt idx="1">
                  <c:v>2014-15</c:v>
                </c:pt>
                <c:pt idx="2">
                  <c:v>2015-16</c:v>
                </c:pt>
                <c:pt idx="3">
                  <c:v>2016-17</c:v>
                </c:pt>
                <c:pt idx="4">
                  <c:v>2017-18</c:v>
                </c:pt>
                <c:pt idx="5">
                  <c:v>2018-19</c:v>
                </c:pt>
                <c:pt idx="6">
                  <c:v>2019-20</c:v>
                </c:pt>
                <c:pt idx="7">
                  <c:v>2020-21</c:v>
                </c:pt>
              </c:strCache>
            </c:strRef>
          </c:cat>
          <c:val>
            <c:numRef>
              <c:f>Alcohol!$B$43:$I$43</c:f>
              <c:numCache>
                <c:formatCode>_("$"* #,##0_);_("$"* \(#,##0\);_("$"* "-"??_);_(@_)</c:formatCode>
                <c:ptCount val="8"/>
                <c:pt idx="0">
                  <c:v>3424584.6659924975</c:v>
                </c:pt>
                <c:pt idx="1">
                  <c:v>3660847.9382599657</c:v>
                </c:pt>
                <c:pt idx="2">
                  <c:v>3947551.9667009967</c:v>
                </c:pt>
                <c:pt idx="3">
                  <c:v>4268051.8612068249</c:v>
                </c:pt>
                <c:pt idx="4">
                  <c:v>4630484.3504071385</c:v>
                </c:pt>
                <c:pt idx="5">
                  <c:v>5003895.1598861432</c:v>
                </c:pt>
                <c:pt idx="6">
                  <c:v>5407418.5066472609</c:v>
                </c:pt>
                <c:pt idx="7">
                  <c:v>5843482.7213079566</c:v>
                </c:pt>
              </c:numCache>
            </c:numRef>
          </c:val>
        </c:ser>
        <c:ser>
          <c:idx val="2"/>
          <c:order val="2"/>
          <c:tx>
            <c:strRef>
              <c:f>Alcohol!$A$44</c:f>
              <c:strCache>
                <c:ptCount val="1"/>
                <c:pt idx="0">
                  <c:v>Scenario 3 - 30% Levy</c:v>
                </c:pt>
              </c:strCache>
            </c:strRef>
          </c:tx>
          <c:invertIfNegative val="1"/>
          <c:cat>
            <c:strRef>
              <c:f>Alcohol!$B$41:$I$41</c:f>
              <c:strCache>
                <c:ptCount val="8"/>
                <c:pt idx="0">
                  <c:v>2013-14</c:v>
                </c:pt>
                <c:pt idx="1">
                  <c:v>2014-15</c:v>
                </c:pt>
                <c:pt idx="2">
                  <c:v>2015-16</c:v>
                </c:pt>
                <c:pt idx="3">
                  <c:v>2016-17</c:v>
                </c:pt>
                <c:pt idx="4">
                  <c:v>2017-18</c:v>
                </c:pt>
                <c:pt idx="5">
                  <c:v>2018-19</c:v>
                </c:pt>
                <c:pt idx="6">
                  <c:v>2019-20</c:v>
                </c:pt>
                <c:pt idx="7">
                  <c:v>2020-21</c:v>
                </c:pt>
              </c:strCache>
            </c:strRef>
          </c:cat>
          <c:val>
            <c:numRef>
              <c:f>Alcohol!$B$44:$I$44</c:f>
              <c:numCache>
                <c:formatCode>_("$"* #,##0_);_("$"* \(#,##0\);_("$"* "-"??_);_(@_)</c:formatCode>
                <c:ptCount val="8"/>
                <c:pt idx="0">
                  <c:v>5136876.9989887532</c:v>
                </c:pt>
                <c:pt idx="1">
                  <c:v>5491271.9073899528</c:v>
                </c:pt>
                <c:pt idx="2">
                  <c:v>5921327.9500514902</c:v>
                </c:pt>
                <c:pt idx="3">
                  <c:v>6402077.7918102425</c:v>
                </c:pt>
                <c:pt idx="4">
                  <c:v>6945726.5256107105</c:v>
                </c:pt>
                <c:pt idx="5">
                  <c:v>7505842.7398292301</c:v>
                </c:pt>
                <c:pt idx="6">
                  <c:v>8111127.7599708857</c:v>
                </c:pt>
                <c:pt idx="7">
                  <c:v>8765224.0819619335</c:v>
                </c:pt>
              </c:numCache>
            </c:numRef>
          </c:val>
        </c:ser>
        <c:dLbls>
          <c:showLegendKey val="0"/>
          <c:showVal val="0"/>
          <c:showCatName val="0"/>
          <c:showSerName val="0"/>
          <c:showPercent val="0"/>
          <c:showBubbleSize val="0"/>
        </c:dLbls>
        <c:gapWidth val="150"/>
        <c:axId val="-1623075056"/>
        <c:axId val="-1623090832"/>
      </c:barChart>
      <c:catAx>
        <c:axId val="-1623075056"/>
        <c:scaling>
          <c:orientation val="minMax"/>
        </c:scaling>
        <c:delete val="1"/>
        <c:axPos val="b"/>
        <c:numFmt formatCode="General" sourceLinked="0"/>
        <c:majorTickMark val="cross"/>
        <c:minorTickMark val="cross"/>
        <c:tickLblPos val="nextTo"/>
        <c:crossAx val="-1623090832"/>
        <c:crosses val="autoZero"/>
        <c:auto val="1"/>
        <c:lblAlgn val="ctr"/>
        <c:lblOffset val="100"/>
        <c:noMultiLvlLbl val="1"/>
      </c:catAx>
      <c:valAx>
        <c:axId val="-1623090832"/>
        <c:scaling>
          <c:orientation val="minMax"/>
        </c:scaling>
        <c:delete val="0"/>
        <c:axPos val="l"/>
        <c:majorGridlines/>
        <c:title>
          <c:tx>
            <c:rich>
              <a:bodyPr rot="-5400000" vert="horz"/>
              <a:lstStyle/>
              <a:p>
                <a:pPr>
                  <a:defRPr lang="en-CA"/>
                </a:pPr>
                <a:r>
                  <a:rPr lang="en-US"/>
                  <a:t>Revenue Generated (USD)</a:t>
                </a:r>
              </a:p>
            </c:rich>
          </c:tx>
          <c:overlay val="1"/>
        </c:title>
        <c:numFmt formatCode="_(&quot;$&quot;* #,##0_);_(&quot;$&quot;* \(#,##0\);_(&quot;$&quot;* &quot;-&quot;??_);_(@_)" sourceLinked="1"/>
        <c:majorTickMark val="cross"/>
        <c:minorTickMark val="cross"/>
        <c:tickLblPos val="nextTo"/>
        <c:crossAx val="-1623075056"/>
        <c:crosses val="autoZero"/>
        <c:crossBetween val="between"/>
        <c:dispUnits>
          <c:builtInUnit val="millions"/>
          <c:dispUnitsLbl/>
        </c:dispUnits>
      </c:valAx>
    </c:plotArea>
    <c:legend>
      <c:legendPos val="r"/>
      <c:overlay val="0"/>
      <c:txPr>
        <a:bodyPr/>
        <a:lstStyle/>
        <a:p>
          <a:pPr>
            <a:defRPr lang="en-CA"/>
          </a:pPr>
          <a:endParaRPr lang="en-US"/>
        </a:p>
      </c:txPr>
    </c:legend>
    <c:plotVisOnly val="1"/>
    <c:dispBlanksAs val="gap"/>
    <c:showDLblsOverMax val="1"/>
  </c:chart>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lang="en-CA"/>
            </a:pPr>
            <a:r>
              <a:rPr lang="en-US" sz="1400" b="1" i="0" baseline="0">
                <a:effectLst/>
                <a:latin typeface="+mn-lt"/>
              </a:rPr>
              <a:t>Revenue Generated from Cigarette Levy</a:t>
            </a:r>
            <a:endParaRPr lang="en-US" sz="1400">
              <a:effectLst/>
              <a:latin typeface="+mn-lt"/>
            </a:endParaRPr>
          </a:p>
        </c:rich>
      </c:tx>
      <c:overlay val="0"/>
    </c:title>
    <c:autoTitleDeleted val="0"/>
    <c:plotArea>
      <c:layout/>
      <c:barChart>
        <c:barDir val="col"/>
        <c:grouping val="clustered"/>
        <c:varyColors val="1"/>
        <c:ser>
          <c:idx val="0"/>
          <c:order val="0"/>
          <c:tx>
            <c:strRef>
              <c:f>Tobacco!$A$42</c:f>
              <c:strCache>
                <c:ptCount val="1"/>
                <c:pt idx="0">
                  <c:v>Scenario 1 - 10% Levy</c:v>
                </c:pt>
              </c:strCache>
            </c:strRef>
          </c:tx>
          <c:invertIfNegative val="1"/>
          <c:cat>
            <c:strRef>
              <c:f>Tobacco!$B$41:$I$41</c:f>
              <c:strCache>
                <c:ptCount val="8"/>
                <c:pt idx="0">
                  <c:v>2013-14</c:v>
                </c:pt>
                <c:pt idx="1">
                  <c:v>2014-15</c:v>
                </c:pt>
                <c:pt idx="2">
                  <c:v>2015-16</c:v>
                </c:pt>
                <c:pt idx="3">
                  <c:v>2016-17</c:v>
                </c:pt>
                <c:pt idx="4">
                  <c:v>2017-18</c:v>
                </c:pt>
                <c:pt idx="5">
                  <c:v>2018-19</c:v>
                </c:pt>
                <c:pt idx="6">
                  <c:v>2019-20</c:v>
                </c:pt>
                <c:pt idx="7">
                  <c:v>2020-21</c:v>
                </c:pt>
              </c:strCache>
            </c:strRef>
          </c:cat>
          <c:val>
            <c:numRef>
              <c:f>Tobacco!$B$42:$I$42</c:f>
              <c:numCache>
                <c:formatCode>_("$"* #,##0_);_("$"* \(#,##0\);_("$"* "-"??_);_(@_)</c:formatCode>
                <c:ptCount val="8"/>
                <c:pt idx="0">
                  <c:v>1008587.7876249683</c:v>
                </c:pt>
                <c:pt idx="1">
                  <c:v>1078170.6054888743</c:v>
                </c:pt>
                <c:pt idx="2">
                  <c:v>1162608.9271983763</c:v>
                </c:pt>
                <c:pt idx="3">
                  <c:v>1257000.6012439039</c:v>
                </c:pt>
                <c:pt idx="4">
                  <c:v>1363742.0073116121</c:v>
                </c:pt>
                <c:pt idx="5">
                  <c:v>1473716.6813057025</c:v>
                </c:pt>
                <c:pt idx="6">
                  <c:v>1592559.9161091419</c:v>
                </c:pt>
                <c:pt idx="7">
                  <c:v>1720986.8888438311</c:v>
                </c:pt>
              </c:numCache>
            </c:numRef>
          </c:val>
        </c:ser>
        <c:ser>
          <c:idx val="1"/>
          <c:order val="1"/>
          <c:tx>
            <c:strRef>
              <c:f>Tobacco!$A$43</c:f>
              <c:strCache>
                <c:ptCount val="1"/>
                <c:pt idx="0">
                  <c:v>Scenario 2 - 20% Levy</c:v>
                </c:pt>
              </c:strCache>
            </c:strRef>
          </c:tx>
          <c:invertIfNegative val="1"/>
          <c:cat>
            <c:strRef>
              <c:f>Tobacco!$B$41:$I$41</c:f>
              <c:strCache>
                <c:ptCount val="8"/>
                <c:pt idx="0">
                  <c:v>2013-14</c:v>
                </c:pt>
                <c:pt idx="1">
                  <c:v>2014-15</c:v>
                </c:pt>
                <c:pt idx="2">
                  <c:v>2015-16</c:v>
                </c:pt>
                <c:pt idx="3">
                  <c:v>2016-17</c:v>
                </c:pt>
                <c:pt idx="4">
                  <c:v>2017-18</c:v>
                </c:pt>
                <c:pt idx="5">
                  <c:v>2018-19</c:v>
                </c:pt>
                <c:pt idx="6">
                  <c:v>2019-20</c:v>
                </c:pt>
                <c:pt idx="7">
                  <c:v>2020-21</c:v>
                </c:pt>
              </c:strCache>
            </c:strRef>
          </c:cat>
          <c:val>
            <c:numRef>
              <c:f>Tobacco!$B$43:$I$43</c:f>
              <c:numCache>
                <c:formatCode>_("$"* #,##0_);_("$"* \(#,##0\);_("$"* "-"??_);_(@_)</c:formatCode>
                <c:ptCount val="8"/>
                <c:pt idx="0">
                  <c:v>2017175.5752499367</c:v>
                </c:pt>
                <c:pt idx="1">
                  <c:v>2156341.2109777462</c:v>
                </c:pt>
                <c:pt idx="2">
                  <c:v>2325217.8543967507</c:v>
                </c:pt>
                <c:pt idx="3">
                  <c:v>2514001.2024878077</c:v>
                </c:pt>
                <c:pt idx="4">
                  <c:v>2727484.0146232243</c:v>
                </c:pt>
                <c:pt idx="5">
                  <c:v>2947433.3626114023</c:v>
                </c:pt>
                <c:pt idx="6">
                  <c:v>3185119.8322182815</c:v>
                </c:pt>
                <c:pt idx="7">
                  <c:v>3441973.7776876623</c:v>
                </c:pt>
              </c:numCache>
            </c:numRef>
          </c:val>
        </c:ser>
        <c:ser>
          <c:idx val="2"/>
          <c:order val="2"/>
          <c:tx>
            <c:strRef>
              <c:f>Tobacco!$A$44</c:f>
              <c:strCache>
                <c:ptCount val="1"/>
                <c:pt idx="0">
                  <c:v>Scenario 3 - 30% Levy</c:v>
                </c:pt>
              </c:strCache>
            </c:strRef>
          </c:tx>
          <c:invertIfNegative val="1"/>
          <c:cat>
            <c:strRef>
              <c:f>Tobacco!$B$41:$I$41</c:f>
              <c:strCache>
                <c:ptCount val="8"/>
                <c:pt idx="0">
                  <c:v>2013-14</c:v>
                </c:pt>
                <c:pt idx="1">
                  <c:v>2014-15</c:v>
                </c:pt>
                <c:pt idx="2">
                  <c:v>2015-16</c:v>
                </c:pt>
                <c:pt idx="3">
                  <c:v>2016-17</c:v>
                </c:pt>
                <c:pt idx="4">
                  <c:v>2017-18</c:v>
                </c:pt>
                <c:pt idx="5">
                  <c:v>2018-19</c:v>
                </c:pt>
                <c:pt idx="6">
                  <c:v>2019-20</c:v>
                </c:pt>
                <c:pt idx="7">
                  <c:v>2020-21</c:v>
                </c:pt>
              </c:strCache>
            </c:strRef>
          </c:cat>
          <c:val>
            <c:numRef>
              <c:f>Tobacco!$B$44:$I$44</c:f>
              <c:numCache>
                <c:formatCode>_("$"* #,##0_);_("$"* \(#,##0\);_("$"* "-"??_);_(@_)</c:formatCode>
                <c:ptCount val="8"/>
                <c:pt idx="0">
                  <c:v>3025763.3628749042</c:v>
                </c:pt>
                <c:pt idx="1">
                  <c:v>3234511.8164666183</c:v>
                </c:pt>
                <c:pt idx="2">
                  <c:v>3487826.7815951309</c:v>
                </c:pt>
                <c:pt idx="3">
                  <c:v>3771001.8037317107</c:v>
                </c:pt>
                <c:pt idx="4">
                  <c:v>4091226.0219348362</c:v>
                </c:pt>
                <c:pt idx="5">
                  <c:v>4421150.0439171027</c:v>
                </c:pt>
                <c:pt idx="6">
                  <c:v>4777679.7483274247</c:v>
                </c:pt>
                <c:pt idx="7">
                  <c:v>5162960.6665314883</c:v>
                </c:pt>
              </c:numCache>
            </c:numRef>
          </c:val>
        </c:ser>
        <c:dLbls>
          <c:showLegendKey val="0"/>
          <c:showVal val="0"/>
          <c:showCatName val="0"/>
          <c:showSerName val="0"/>
          <c:showPercent val="0"/>
          <c:showBubbleSize val="0"/>
        </c:dLbls>
        <c:gapWidth val="150"/>
        <c:axId val="-1623088656"/>
        <c:axId val="-1709731024"/>
      </c:barChart>
      <c:catAx>
        <c:axId val="-1623088656"/>
        <c:scaling>
          <c:orientation val="minMax"/>
        </c:scaling>
        <c:delete val="1"/>
        <c:axPos val="b"/>
        <c:numFmt formatCode="General" sourceLinked="0"/>
        <c:majorTickMark val="cross"/>
        <c:minorTickMark val="cross"/>
        <c:tickLblPos val="nextTo"/>
        <c:crossAx val="-1709731024"/>
        <c:crosses val="autoZero"/>
        <c:auto val="1"/>
        <c:lblAlgn val="ctr"/>
        <c:lblOffset val="100"/>
        <c:noMultiLvlLbl val="1"/>
      </c:catAx>
      <c:valAx>
        <c:axId val="-1709731024"/>
        <c:scaling>
          <c:orientation val="minMax"/>
        </c:scaling>
        <c:delete val="0"/>
        <c:axPos val="l"/>
        <c:majorGridlines/>
        <c:title>
          <c:tx>
            <c:rich>
              <a:bodyPr rot="-5400000" vert="horz"/>
              <a:lstStyle/>
              <a:p>
                <a:pPr>
                  <a:defRPr lang="en-CA"/>
                </a:pPr>
                <a:r>
                  <a:rPr lang="en-US" sz="1000" b="1" i="0" baseline="0">
                    <a:effectLst/>
                    <a:latin typeface="+mn-lt"/>
                  </a:rPr>
                  <a:t>Revenue Generated (USD)</a:t>
                </a:r>
                <a:endParaRPr lang="en-US" sz="1000">
                  <a:effectLst/>
                  <a:latin typeface="+mn-lt"/>
                </a:endParaRPr>
              </a:p>
            </c:rich>
          </c:tx>
          <c:overlay val="1"/>
        </c:title>
        <c:numFmt formatCode="_(&quot;$&quot;* #,##0_);_(&quot;$&quot;* \(#,##0\);_(&quot;$&quot;* &quot;-&quot;??_);_(@_)" sourceLinked="1"/>
        <c:majorTickMark val="out"/>
        <c:minorTickMark val="cross"/>
        <c:tickLblPos val="nextTo"/>
        <c:crossAx val="-1623088656"/>
        <c:crosses val="autoZero"/>
        <c:crossBetween val="between"/>
        <c:dispUnits>
          <c:builtInUnit val="millions"/>
          <c:dispUnitsLbl/>
        </c:dispUnits>
      </c:valAx>
    </c:plotArea>
    <c:legend>
      <c:legendPos val="r"/>
      <c:overlay val="0"/>
      <c:txPr>
        <a:bodyPr/>
        <a:lstStyle/>
        <a:p>
          <a:pPr>
            <a:defRPr lang="en-CA"/>
          </a:pPr>
          <a:endParaRPr lang="en-US"/>
        </a:p>
      </c:txPr>
    </c:legend>
    <c:plotVisOnly val="1"/>
    <c:dispBlanksAs val="gap"/>
    <c:showDLblsOverMax val="1"/>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lang="en-CA"/>
            </a:pPr>
            <a:r>
              <a:rPr lang="en-US" sz="1400" b="1" i="0" baseline="0">
                <a:effectLst/>
              </a:rPr>
              <a:t>Revenue Generated from 5% Fuel Levy</a:t>
            </a:r>
            <a:endParaRPr lang="en-US" sz="1400">
              <a:effectLst/>
            </a:endParaRPr>
          </a:p>
        </c:rich>
      </c:tx>
      <c:overlay val="1"/>
    </c:title>
    <c:autoTitleDeleted val="0"/>
    <c:plotArea>
      <c:layout>
        <c:manualLayout>
          <c:layoutTarget val="inner"/>
          <c:xMode val="edge"/>
          <c:yMode val="edge"/>
          <c:x val="0.14433028532723746"/>
          <c:y val="0.17218759113444151"/>
          <c:w val="0.76154474642282655"/>
          <c:h val="0.59364574219889266"/>
        </c:manualLayout>
      </c:layout>
      <c:barChart>
        <c:barDir val="col"/>
        <c:grouping val="clustered"/>
        <c:varyColors val="1"/>
        <c:ser>
          <c:idx val="2"/>
          <c:order val="0"/>
          <c:tx>
            <c:strRef>
              <c:f>'Fuel Levies'!$A$77</c:f>
              <c:strCache>
                <c:ptCount val="1"/>
                <c:pt idx="0">
                  <c:v>Scenario 3 - 5%</c:v>
                </c:pt>
              </c:strCache>
            </c:strRef>
          </c:tx>
          <c:spPr>
            <a:ln>
              <a:solidFill>
                <a:sysClr val="windowText" lastClr="000000"/>
              </a:solidFill>
            </a:ln>
          </c:spPr>
          <c:invertIfNegative val="1"/>
          <c:dLbls>
            <c:dLbl>
              <c:idx val="0"/>
              <c:tx>
                <c:rich>
                  <a:bodyPr/>
                  <a:lstStyle/>
                  <a:p>
                    <a:r>
                      <a:rPr lang="en-US"/>
                      <a:t> $40M </a:t>
                    </a:r>
                  </a:p>
                </c:rich>
              </c:tx>
              <c:showLegendKey val="1"/>
              <c:showVal val="1"/>
              <c:showCatName val="1"/>
              <c:showSerName val="1"/>
              <c:showPercent val="1"/>
              <c:showBubbleSize val="1"/>
              <c:extLst>
                <c:ext xmlns:c15="http://schemas.microsoft.com/office/drawing/2012/chart" uri="{CE6537A1-D6FC-4f65-9D91-7224C49458BB}"/>
              </c:extLst>
            </c:dLbl>
            <c:dLbl>
              <c:idx val="1"/>
              <c:tx>
                <c:rich>
                  <a:bodyPr/>
                  <a:lstStyle/>
                  <a:p>
                    <a:r>
                      <a:rPr lang="en-US"/>
                      <a:t> $49M </a:t>
                    </a:r>
                  </a:p>
                </c:rich>
              </c:tx>
              <c:showLegendKey val="1"/>
              <c:showVal val="1"/>
              <c:showCatName val="1"/>
              <c:showSerName val="1"/>
              <c:showPercent val="1"/>
              <c:showBubbleSize val="1"/>
              <c:extLst>
                <c:ext xmlns:c15="http://schemas.microsoft.com/office/drawing/2012/chart" uri="{CE6537A1-D6FC-4f65-9D91-7224C49458BB}"/>
              </c:extLst>
            </c:dLbl>
            <c:dLbl>
              <c:idx val="2"/>
              <c:tx>
                <c:rich>
                  <a:bodyPr/>
                  <a:lstStyle/>
                  <a:p>
                    <a:r>
                      <a:rPr lang="en-US"/>
                      <a:t> $61M </a:t>
                    </a:r>
                  </a:p>
                </c:rich>
              </c:tx>
              <c:showLegendKey val="1"/>
              <c:showVal val="1"/>
              <c:showCatName val="1"/>
              <c:showSerName val="1"/>
              <c:showPercent val="1"/>
              <c:showBubbleSize val="1"/>
              <c:extLst>
                <c:ext xmlns:c15="http://schemas.microsoft.com/office/drawing/2012/chart" uri="{CE6537A1-D6FC-4f65-9D91-7224C49458BB}"/>
              </c:extLst>
            </c:dLbl>
            <c:dLbl>
              <c:idx val="3"/>
              <c:tx>
                <c:rich>
                  <a:bodyPr/>
                  <a:lstStyle/>
                  <a:p>
                    <a:r>
                      <a:rPr lang="en-US"/>
                      <a:t> $77M </a:t>
                    </a:r>
                  </a:p>
                </c:rich>
              </c:tx>
              <c:showLegendKey val="1"/>
              <c:showVal val="1"/>
              <c:showCatName val="1"/>
              <c:showSerName val="1"/>
              <c:showPercent val="1"/>
              <c:showBubbleSize val="1"/>
              <c:extLst>
                <c:ext xmlns:c15="http://schemas.microsoft.com/office/drawing/2012/chart" uri="{CE6537A1-D6FC-4f65-9D91-7224C49458BB}"/>
              </c:extLst>
            </c:dLbl>
            <c:dLbl>
              <c:idx val="4"/>
              <c:tx>
                <c:rich>
                  <a:bodyPr/>
                  <a:lstStyle/>
                  <a:p>
                    <a:r>
                      <a:rPr lang="en-US"/>
                      <a:t> $96M </a:t>
                    </a:r>
                  </a:p>
                </c:rich>
              </c:tx>
              <c:showLegendKey val="1"/>
              <c:showVal val="1"/>
              <c:showCatName val="1"/>
              <c:showSerName val="1"/>
              <c:showPercent val="1"/>
              <c:showBubbleSize val="1"/>
              <c:extLst>
                <c:ext xmlns:c15="http://schemas.microsoft.com/office/drawing/2012/chart" uri="{CE6537A1-D6FC-4f65-9D91-7224C49458BB}"/>
              </c:extLst>
            </c:dLbl>
            <c:dLbl>
              <c:idx val="5"/>
              <c:tx>
                <c:rich>
                  <a:bodyPr/>
                  <a:lstStyle/>
                  <a:p>
                    <a:r>
                      <a:rPr lang="en-US"/>
                      <a:t> $121M </a:t>
                    </a:r>
                  </a:p>
                </c:rich>
              </c:tx>
              <c:showLegendKey val="1"/>
              <c:showVal val="1"/>
              <c:showCatName val="1"/>
              <c:showSerName val="1"/>
              <c:showPercent val="1"/>
              <c:showBubbleSize val="1"/>
              <c:extLst>
                <c:ext xmlns:c15="http://schemas.microsoft.com/office/drawing/2012/chart" uri="{CE6537A1-D6FC-4f65-9D91-7224C49458BB}"/>
              </c:extLst>
            </c:dLbl>
            <c:dLbl>
              <c:idx val="6"/>
              <c:tx>
                <c:rich>
                  <a:bodyPr/>
                  <a:lstStyle/>
                  <a:p>
                    <a:r>
                      <a:rPr lang="en-US"/>
                      <a:t> $151M </a:t>
                    </a:r>
                  </a:p>
                </c:rich>
              </c:tx>
              <c:showLegendKey val="1"/>
              <c:showVal val="1"/>
              <c:showCatName val="1"/>
              <c:showSerName val="1"/>
              <c:showPercent val="1"/>
              <c:showBubbleSize val="1"/>
              <c:extLst>
                <c:ext xmlns:c15="http://schemas.microsoft.com/office/drawing/2012/chart" uri="{CE6537A1-D6FC-4f65-9D91-7224C49458BB}"/>
              </c:extLst>
            </c:dLbl>
            <c:dLbl>
              <c:idx val="7"/>
              <c:tx>
                <c:rich>
                  <a:bodyPr/>
                  <a:lstStyle/>
                  <a:p>
                    <a:r>
                      <a:rPr lang="en-US"/>
                      <a:t> $189M </a:t>
                    </a:r>
                  </a:p>
                </c:rich>
              </c:tx>
              <c:showLegendKey val="1"/>
              <c:showVal val="1"/>
              <c:showCatName val="1"/>
              <c:showSerName val="1"/>
              <c:showPercent val="1"/>
              <c:showBubbleSize val="1"/>
              <c:extLst>
                <c:ext xmlns:c15="http://schemas.microsoft.com/office/drawing/2012/chart" uri="{CE6537A1-D6FC-4f65-9D91-7224C49458BB}"/>
              </c:extLst>
            </c:dLbl>
            <c:spPr>
              <a:noFill/>
              <a:ln>
                <a:noFill/>
              </a:ln>
              <a:effectLst/>
            </c:sp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strRef>
              <c:f>'Fuel Levies'!$B$74:$I$74</c:f>
              <c:strCache>
                <c:ptCount val="8"/>
                <c:pt idx="0">
                  <c:v>2013-14</c:v>
                </c:pt>
                <c:pt idx="1">
                  <c:v>2014-15</c:v>
                </c:pt>
                <c:pt idx="2">
                  <c:v>2015-16</c:v>
                </c:pt>
                <c:pt idx="3">
                  <c:v>2016-17</c:v>
                </c:pt>
                <c:pt idx="4">
                  <c:v>2017-18</c:v>
                </c:pt>
                <c:pt idx="5">
                  <c:v>2018-19</c:v>
                </c:pt>
                <c:pt idx="6">
                  <c:v>2019-20</c:v>
                </c:pt>
                <c:pt idx="7">
                  <c:v>2020-21</c:v>
                </c:pt>
              </c:strCache>
            </c:strRef>
          </c:cat>
          <c:val>
            <c:numRef>
              <c:f>'Fuel Levies'!$B$77:$I$77</c:f>
              <c:numCache>
                <c:formatCode>_("$"* #,##0_);_("$"* \(#,##0\);_("$"* "-"??_);_(@_)</c:formatCode>
                <c:ptCount val="8"/>
                <c:pt idx="0">
                  <c:v>40102531.977848299</c:v>
                </c:pt>
                <c:pt idx="1">
                  <c:v>49314919.685875192</c:v>
                </c:pt>
                <c:pt idx="2">
                  <c:v>61367887.789606459</c:v>
                </c:pt>
                <c:pt idx="3">
                  <c:v>76697563.23671706</c:v>
                </c:pt>
                <c:pt idx="4">
                  <c:v>96324407.953907967</c:v>
                </c:pt>
                <c:pt idx="5">
                  <c:v>120527174.25653222</c:v>
                </c:pt>
                <c:pt idx="6">
                  <c:v>150884458.00714457</c:v>
                </c:pt>
                <c:pt idx="7">
                  <c:v>188978209.84869415</c:v>
                </c:pt>
              </c:numCache>
            </c:numRef>
          </c:val>
        </c:ser>
        <c:dLbls>
          <c:showLegendKey val="0"/>
          <c:showVal val="0"/>
          <c:showCatName val="0"/>
          <c:showSerName val="0"/>
          <c:showPercent val="0"/>
          <c:showBubbleSize val="0"/>
        </c:dLbls>
        <c:gapWidth val="50"/>
        <c:axId val="-1709732656"/>
        <c:axId val="-1709727760"/>
      </c:barChart>
      <c:catAx>
        <c:axId val="-1709732656"/>
        <c:scaling>
          <c:orientation val="minMax"/>
        </c:scaling>
        <c:delete val="1"/>
        <c:axPos val="b"/>
        <c:numFmt formatCode="General" sourceLinked="0"/>
        <c:majorTickMark val="cross"/>
        <c:minorTickMark val="cross"/>
        <c:tickLblPos val="nextTo"/>
        <c:crossAx val="-1709727760"/>
        <c:crosses val="autoZero"/>
        <c:auto val="1"/>
        <c:lblAlgn val="ctr"/>
        <c:lblOffset val="100"/>
        <c:noMultiLvlLbl val="1"/>
      </c:catAx>
      <c:valAx>
        <c:axId val="-1709727760"/>
        <c:scaling>
          <c:orientation val="minMax"/>
        </c:scaling>
        <c:delete val="1"/>
        <c:axPos val="l"/>
        <c:numFmt formatCode="_(&quot;$&quot;* #,##0_);_(&quot;$&quot;* \(#,##0\);_(&quot;$&quot;* &quot;-&quot;??_);_(@_)" sourceLinked="1"/>
        <c:majorTickMark val="cross"/>
        <c:minorTickMark val="cross"/>
        <c:tickLblPos val="nextTo"/>
        <c:crossAx val="-1709732656"/>
        <c:crosses val="autoZero"/>
        <c:crossBetween val="between"/>
        <c:dispUnits>
          <c:builtInUnit val="millions"/>
          <c:dispUnitsLbl>
            <c:layout>
              <c:manualLayout>
                <c:xMode val="edge"/>
                <c:yMode val="edge"/>
                <c:x val="6.4784946236559155E-3"/>
                <c:y val="0.27403944298629329"/>
              </c:manualLayout>
            </c:layout>
            <c:tx>
              <c:rich>
                <a:bodyPr/>
                <a:lstStyle/>
                <a:p>
                  <a:pPr>
                    <a:defRPr/>
                  </a:pPr>
                  <a:r>
                    <a:rPr lang="en-US"/>
                    <a:t> USD</a:t>
                  </a:r>
                  <a:r>
                    <a:rPr lang="en-US" baseline="0"/>
                    <a:t> </a:t>
                  </a:r>
                  <a:r>
                    <a:rPr lang="en-US"/>
                    <a:t>Millions</a:t>
                  </a:r>
                </a:p>
              </c:rich>
            </c:tx>
          </c:dispUnitsLbl>
        </c:dispUnits>
      </c:valAx>
    </c:plotArea>
    <c:plotVisOnly val="1"/>
    <c:dispBlanksAs val="gap"/>
    <c:showDLblsOverMax val="1"/>
  </c:chart>
  <c:externalData r:id="rId1">
    <c:autoUpdate val="1"/>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Airtime!$A$45</c:f>
              <c:strCache>
                <c:ptCount val="1"/>
                <c:pt idx="0">
                  <c:v>Scenario 1 - 1% Levy</c:v>
                </c:pt>
              </c:strCache>
            </c:strRef>
          </c:tx>
          <c:spPr>
            <a:ln>
              <a:solidFill>
                <a:schemeClr val="tx1"/>
              </a:solidFill>
            </a:ln>
          </c:spPr>
          <c:invertIfNegative val="0"/>
          <c:cat>
            <c:strRef>
              <c:f>Airtime!$B$44:$I$44</c:f>
              <c:strCache>
                <c:ptCount val="8"/>
                <c:pt idx="0">
                  <c:v>2013-14</c:v>
                </c:pt>
                <c:pt idx="1">
                  <c:v>2014-15</c:v>
                </c:pt>
                <c:pt idx="2">
                  <c:v>2015-16</c:v>
                </c:pt>
                <c:pt idx="3">
                  <c:v>2016-17</c:v>
                </c:pt>
                <c:pt idx="4">
                  <c:v>2017-18</c:v>
                </c:pt>
                <c:pt idx="5">
                  <c:v>2018-19</c:v>
                </c:pt>
                <c:pt idx="6">
                  <c:v>2019-20</c:v>
                </c:pt>
                <c:pt idx="7">
                  <c:v>2020-21</c:v>
                </c:pt>
              </c:strCache>
            </c:strRef>
          </c:cat>
          <c:val>
            <c:numRef>
              <c:f>Airtime!$B$45:$I$45</c:f>
              <c:numCache>
                <c:formatCode>_("$"* #,##0_);_("$"* \(#,##0\);_("$"* "-"??_);_(@_)</c:formatCode>
                <c:ptCount val="8"/>
                <c:pt idx="0">
                  <c:v>1169403.8314227709</c:v>
                </c:pt>
                <c:pt idx="1">
                  <c:v>1250081.4033799493</c:v>
                </c:pt>
                <c:pt idx="2">
                  <c:v>1347983.1409753666</c:v>
                </c:pt>
                <c:pt idx="3">
                  <c:v>1457425.2605782403</c:v>
                </c:pt>
                <c:pt idx="4">
                  <c:v>1581186.2368250047</c:v>
                </c:pt>
                <c:pt idx="5">
                  <c:v>1708696.0150575947</c:v>
                </c:pt>
                <c:pt idx="6">
                  <c:v>1846488.4172887164</c:v>
                </c:pt>
                <c:pt idx="7">
                  <c:v>1995392.6533073068</c:v>
                </c:pt>
              </c:numCache>
            </c:numRef>
          </c:val>
        </c:ser>
        <c:ser>
          <c:idx val="1"/>
          <c:order val="1"/>
          <c:tx>
            <c:strRef>
              <c:f>Airtime!$A$46</c:f>
              <c:strCache>
                <c:ptCount val="1"/>
                <c:pt idx="0">
                  <c:v>Scenario 2 - 2% Levy</c:v>
                </c:pt>
              </c:strCache>
            </c:strRef>
          </c:tx>
          <c:spPr>
            <a:ln>
              <a:solidFill>
                <a:schemeClr val="tx1"/>
              </a:solidFill>
            </a:ln>
          </c:spPr>
          <c:invertIfNegative val="0"/>
          <c:cat>
            <c:strRef>
              <c:f>Airtime!$B$44:$I$44</c:f>
              <c:strCache>
                <c:ptCount val="8"/>
                <c:pt idx="0">
                  <c:v>2013-14</c:v>
                </c:pt>
                <c:pt idx="1">
                  <c:v>2014-15</c:v>
                </c:pt>
                <c:pt idx="2">
                  <c:v>2015-16</c:v>
                </c:pt>
                <c:pt idx="3">
                  <c:v>2016-17</c:v>
                </c:pt>
                <c:pt idx="4">
                  <c:v>2017-18</c:v>
                </c:pt>
                <c:pt idx="5">
                  <c:v>2018-19</c:v>
                </c:pt>
                <c:pt idx="6">
                  <c:v>2019-20</c:v>
                </c:pt>
                <c:pt idx="7">
                  <c:v>2020-21</c:v>
                </c:pt>
              </c:strCache>
            </c:strRef>
          </c:cat>
          <c:val>
            <c:numRef>
              <c:f>Airtime!$B$46:$I$46</c:f>
              <c:numCache>
                <c:formatCode>_("$"* #,##0_);_("$"* \(#,##0\);_("$"* "-"??_);_(@_)</c:formatCode>
                <c:ptCount val="8"/>
                <c:pt idx="0">
                  <c:v>2338807.6628455417</c:v>
                </c:pt>
                <c:pt idx="1">
                  <c:v>2500162.8067598967</c:v>
                </c:pt>
                <c:pt idx="2">
                  <c:v>2695966.2819507304</c:v>
                </c:pt>
                <c:pt idx="3">
                  <c:v>2914850.5211564773</c:v>
                </c:pt>
                <c:pt idx="4">
                  <c:v>3162372.4736500066</c:v>
                </c:pt>
                <c:pt idx="5">
                  <c:v>3417392.0301151895</c:v>
                </c:pt>
                <c:pt idx="6">
                  <c:v>3692976.8345774347</c:v>
                </c:pt>
                <c:pt idx="7">
                  <c:v>3990785.3066146094</c:v>
                </c:pt>
              </c:numCache>
            </c:numRef>
          </c:val>
        </c:ser>
        <c:ser>
          <c:idx val="2"/>
          <c:order val="2"/>
          <c:tx>
            <c:strRef>
              <c:f>Airtime!$A$47</c:f>
              <c:strCache>
                <c:ptCount val="1"/>
                <c:pt idx="0">
                  <c:v>Scenario 3 - 3% Levy</c:v>
                </c:pt>
              </c:strCache>
            </c:strRef>
          </c:tx>
          <c:spPr>
            <a:ln>
              <a:solidFill>
                <a:schemeClr val="tx1"/>
              </a:solidFill>
            </a:ln>
          </c:spPr>
          <c:invertIfNegative val="0"/>
          <c:cat>
            <c:strRef>
              <c:f>Airtime!$B$44:$I$44</c:f>
              <c:strCache>
                <c:ptCount val="8"/>
                <c:pt idx="0">
                  <c:v>2013-14</c:v>
                </c:pt>
                <c:pt idx="1">
                  <c:v>2014-15</c:v>
                </c:pt>
                <c:pt idx="2">
                  <c:v>2015-16</c:v>
                </c:pt>
                <c:pt idx="3">
                  <c:v>2016-17</c:v>
                </c:pt>
                <c:pt idx="4">
                  <c:v>2017-18</c:v>
                </c:pt>
                <c:pt idx="5">
                  <c:v>2018-19</c:v>
                </c:pt>
                <c:pt idx="6">
                  <c:v>2019-20</c:v>
                </c:pt>
                <c:pt idx="7">
                  <c:v>2020-21</c:v>
                </c:pt>
              </c:strCache>
            </c:strRef>
          </c:cat>
          <c:val>
            <c:numRef>
              <c:f>Airtime!$B$47:$I$47</c:f>
              <c:numCache>
                <c:formatCode>_("$"* #,##0_);_("$"* \(#,##0\);_("$"* "-"??_);_(@_)</c:formatCode>
                <c:ptCount val="8"/>
                <c:pt idx="0">
                  <c:v>3508211.4942683117</c:v>
                </c:pt>
                <c:pt idx="1">
                  <c:v>3750244.2101398474</c:v>
                </c:pt>
                <c:pt idx="2">
                  <c:v>4043949.4229260948</c:v>
                </c:pt>
                <c:pt idx="3">
                  <c:v>4372275.7817347161</c:v>
                </c:pt>
                <c:pt idx="4">
                  <c:v>4743558.7104750164</c:v>
                </c:pt>
                <c:pt idx="5">
                  <c:v>5126088.0451727882</c:v>
                </c:pt>
                <c:pt idx="6">
                  <c:v>5539465.2518661525</c:v>
                </c:pt>
                <c:pt idx="7">
                  <c:v>5986177.9599219207</c:v>
                </c:pt>
              </c:numCache>
            </c:numRef>
          </c:val>
        </c:ser>
        <c:dLbls>
          <c:showLegendKey val="0"/>
          <c:showVal val="0"/>
          <c:showCatName val="0"/>
          <c:showSerName val="0"/>
          <c:showPercent val="0"/>
          <c:showBubbleSize val="0"/>
        </c:dLbls>
        <c:gapWidth val="50"/>
        <c:axId val="-1623184016"/>
        <c:axId val="-1623178032"/>
      </c:barChart>
      <c:catAx>
        <c:axId val="-1623184016"/>
        <c:scaling>
          <c:orientation val="minMax"/>
        </c:scaling>
        <c:delete val="0"/>
        <c:axPos val="b"/>
        <c:numFmt formatCode="General" sourceLinked="0"/>
        <c:majorTickMark val="out"/>
        <c:minorTickMark val="none"/>
        <c:tickLblPos val="nextTo"/>
        <c:crossAx val="-1623178032"/>
        <c:crosses val="autoZero"/>
        <c:auto val="1"/>
        <c:lblAlgn val="ctr"/>
        <c:lblOffset val="100"/>
        <c:noMultiLvlLbl val="0"/>
      </c:catAx>
      <c:valAx>
        <c:axId val="-1623178032"/>
        <c:scaling>
          <c:orientation val="minMax"/>
        </c:scaling>
        <c:delete val="0"/>
        <c:axPos val="l"/>
        <c:majorGridlines/>
        <c:title>
          <c:tx>
            <c:rich>
              <a:bodyPr rot="-5400000" vert="horz"/>
              <a:lstStyle/>
              <a:p>
                <a:pPr>
                  <a:defRPr/>
                </a:pPr>
                <a:r>
                  <a:rPr lang="en-US"/>
                  <a:t>Revenue Generated (US$ </a:t>
                </a:r>
                <a:r>
                  <a:rPr lang="en-US" sz="1000" b="1" i="0" u="none" strike="noStrike" baseline="0">
                    <a:effectLst/>
                  </a:rPr>
                  <a:t>millions</a:t>
                </a:r>
                <a:r>
                  <a:rPr lang="en-US"/>
                  <a:t>)</a:t>
                </a:r>
              </a:p>
            </c:rich>
          </c:tx>
          <c:layout>
            <c:manualLayout>
              <c:xMode val="edge"/>
              <c:yMode val="edge"/>
              <c:x val="2.4439912262639439E-2"/>
              <c:y val="0.21135747313680844"/>
            </c:manualLayout>
          </c:layout>
          <c:overlay val="0"/>
        </c:title>
        <c:numFmt formatCode="_(&quot;$&quot;* #,##0_);_(&quot;$&quot;* \(#,##0\);_(&quot;$&quot;* &quot;-&quot;??_);_(@_)" sourceLinked="1"/>
        <c:majorTickMark val="out"/>
        <c:minorTickMark val="none"/>
        <c:tickLblPos val="nextTo"/>
        <c:crossAx val="-1623184016"/>
        <c:crosses val="autoZero"/>
        <c:crossBetween val="between"/>
        <c:dispUnits>
          <c:builtInUnit val="millions"/>
        </c:dispUnits>
      </c:valAx>
    </c:plotArea>
    <c:legend>
      <c:legendPos val="r"/>
      <c:overlay val="0"/>
    </c:legend>
    <c:plotVisOnly val="1"/>
    <c:dispBlanksAs val="gap"/>
    <c:showDLblsOverMax val="0"/>
  </c:chart>
  <c:spPr>
    <a:effectLst>
      <a:outerShdw blurRad="50800" dist="38100" dir="2700000" algn="tl" rotWithShape="0">
        <a:prstClr val="black">
          <a:alpha val="40000"/>
        </a:prstClr>
      </a:outerShdw>
    </a:effectLst>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A84CD-E165-49AC-8996-C0545F41E4B4}">
  <ds:schemaRefs>
    <ds:schemaRef ds:uri="http://schemas.openxmlformats.org/officeDocument/2006/bibliography"/>
  </ds:schemaRefs>
</ds:datastoreItem>
</file>

<file path=customXml/itemProps2.xml><?xml version="1.0" encoding="utf-8"?>
<ds:datastoreItem xmlns:ds="http://schemas.openxmlformats.org/officeDocument/2006/customXml" ds:itemID="{0F7B71A4-C531-442A-8F7A-7707D2431946}">
  <ds:schemaRefs>
    <ds:schemaRef ds:uri="http://schemas.openxmlformats.org/officeDocument/2006/bibliography"/>
  </ds:schemaRefs>
</ds:datastoreItem>
</file>

<file path=customXml/itemProps3.xml><?xml version="1.0" encoding="utf-8"?>
<ds:datastoreItem xmlns:ds="http://schemas.openxmlformats.org/officeDocument/2006/customXml" ds:itemID="{CDB314E6-FE4E-42EE-8C84-6C2E249BFDFA}">
  <ds:schemaRefs>
    <ds:schemaRef ds:uri="http://schemas.openxmlformats.org/officeDocument/2006/bibliography"/>
  </ds:schemaRefs>
</ds:datastoreItem>
</file>

<file path=customXml/itemProps4.xml><?xml version="1.0" encoding="utf-8"?>
<ds:datastoreItem xmlns:ds="http://schemas.openxmlformats.org/officeDocument/2006/customXml" ds:itemID="{E2504119-E144-416D-A5FA-A81915CB7233}">
  <ds:schemaRefs>
    <ds:schemaRef ds:uri="http://schemas.openxmlformats.org/officeDocument/2006/bibliography"/>
  </ds:schemaRefs>
</ds:datastoreItem>
</file>

<file path=customXml/itemProps5.xml><?xml version="1.0" encoding="utf-8"?>
<ds:datastoreItem xmlns:ds="http://schemas.openxmlformats.org/officeDocument/2006/customXml" ds:itemID="{03D8E25D-6247-47E8-AC71-FC6ADBD1F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15976</Words>
  <Characters>91068</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106831</CharactersWithSpaces>
  <SharedDoc>false</SharedDoc>
  <HLinks>
    <vt:vector size="498" baseType="variant">
      <vt:variant>
        <vt:i4>1310770</vt:i4>
      </vt:variant>
      <vt:variant>
        <vt:i4>482</vt:i4>
      </vt:variant>
      <vt:variant>
        <vt:i4>0</vt:i4>
      </vt:variant>
      <vt:variant>
        <vt:i4>5</vt:i4>
      </vt:variant>
      <vt:variant>
        <vt:lpwstr/>
      </vt:variant>
      <vt:variant>
        <vt:lpwstr>_Toc361047421</vt:lpwstr>
      </vt:variant>
      <vt:variant>
        <vt:i4>1310770</vt:i4>
      </vt:variant>
      <vt:variant>
        <vt:i4>476</vt:i4>
      </vt:variant>
      <vt:variant>
        <vt:i4>0</vt:i4>
      </vt:variant>
      <vt:variant>
        <vt:i4>5</vt:i4>
      </vt:variant>
      <vt:variant>
        <vt:lpwstr/>
      </vt:variant>
      <vt:variant>
        <vt:lpwstr>_Toc361047420</vt:lpwstr>
      </vt:variant>
      <vt:variant>
        <vt:i4>1507378</vt:i4>
      </vt:variant>
      <vt:variant>
        <vt:i4>470</vt:i4>
      </vt:variant>
      <vt:variant>
        <vt:i4>0</vt:i4>
      </vt:variant>
      <vt:variant>
        <vt:i4>5</vt:i4>
      </vt:variant>
      <vt:variant>
        <vt:lpwstr/>
      </vt:variant>
      <vt:variant>
        <vt:lpwstr>_Toc361047419</vt:lpwstr>
      </vt:variant>
      <vt:variant>
        <vt:i4>1507378</vt:i4>
      </vt:variant>
      <vt:variant>
        <vt:i4>464</vt:i4>
      </vt:variant>
      <vt:variant>
        <vt:i4>0</vt:i4>
      </vt:variant>
      <vt:variant>
        <vt:i4>5</vt:i4>
      </vt:variant>
      <vt:variant>
        <vt:lpwstr/>
      </vt:variant>
      <vt:variant>
        <vt:lpwstr>_Toc361047418</vt:lpwstr>
      </vt:variant>
      <vt:variant>
        <vt:i4>1507378</vt:i4>
      </vt:variant>
      <vt:variant>
        <vt:i4>458</vt:i4>
      </vt:variant>
      <vt:variant>
        <vt:i4>0</vt:i4>
      </vt:variant>
      <vt:variant>
        <vt:i4>5</vt:i4>
      </vt:variant>
      <vt:variant>
        <vt:lpwstr/>
      </vt:variant>
      <vt:variant>
        <vt:lpwstr>_Toc361047417</vt:lpwstr>
      </vt:variant>
      <vt:variant>
        <vt:i4>1507378</vt:i4>
      </vt:variant>
      <vt:variant>
        <vt:i4>452</vt:i4>
      </vt:variant>
      <vt:variant>
        <vt:i4>0</vt:i4>
      </vt:variant>
      <vt:variant>
        <vt:i4>5</vt:i4>
      </vt:variant>
      <vt:variant>
        <vt:lpwstr/>
      </vt:variant>
      <vt:variant>
        <vt:lpwstr>_Toc361047416</vt:lpwstr>
      </vt:variant>
      <vt:variant>
        <vt:i4>1507378</vt:i4>
      </vt:variant>
      <vt:variant>
        <vt:i4>446</vt:i4>
      </vt:variant>
      <vt:variant>
        <vt:i4>0</vt:i4>
      </vt:variant>
      <vt:variant>
        <vt:i4>5</vt:i4>
      </vt:variant>
      <vt:variant>
        <vt:lpwstr/>
      </vt:variant>
      <vt:variant>
        <vt:lpwstr>_Toc361047415</vt:lpwstr>
      </vt:variant>
      <vt:variant>
        <vt:i4>1507378</vt:i4>
      </vt:variant>
      <vt:variant>
        <vt:i4>440</vt:i4>
      </vt:variant>
      <vt:variant>
        <vt:i4>0</vt:i4>
      </vt:variant>
      <vt:variant>
        <vt:i4>5</vt:i4>
      </vt:variant>
      <vt:variant>
        <vt:lpwstr/>
      </vt:variant>
      <vt:variant>
        <vt:lpwstr>_Toc361047414</vt:lpwstr>
      </vt:variant>
      <vt:variant>
        <vt:i4>1507378</vt:i4>
      </vt:variant>
      <vt:variant>
        <vt:i4>434</vt:i4>
      </vt:variant>
      <vt:variant>
        <vt:i4>0</vt:i4>
      </vt:variant>
      <vt:variant>
        <vt:i4>5</vt:i4>
      </vt:variant>
      <vt:variant>
        <vt:lpwstr/>
      </vt:variant>
      <vt:variant>
        <vt:lpwstr>_Toc361047413</vt:lpwstr>
      </vt:variant>
      <vt:variant>
        <vt:i4>1507378</vt:i4>
      </vt:variant>
      <vt:variant>
        <vt:i4>428</vt:i4>
      </vt:variant>
      <vt:variant>
        <vt:i4>0</vt:i4>
      </vt:variant>
      <vt:variant>
        <vt:i4>5</vt:i4>
      </vt:variant>
      <vt:variant>
        <vt:lpwstr/>
      </vt:variant>
      <vt:variant>
        <vt:lpwstr>_Toc361047412</vt:lpwstr>
      </vt:variant>
      <vt:variant>
        <vt:i4>1507378</vt:i4>
      </vt:variant>
      <vt:variant>
        <vt:i4>422</vt:i4>
      </vt:variant>
      <vt:variant>
        <vt:i4>0</vt:i4>
      </vt:variant>
      <vt:variant>
        <vt:i4>5</vt:i4>
      </vt:variant>
      <vt:variant>
        <vt:lpwstr/>
      </vt:variant>
      <vt:variant>
        <vt:lpwstr>_Toc361047411</vt:lpwstr>
      </vt:variant>
      <vt:variant>
        <vt:i4>1507378</vt:i4>
      </vt:variant>
      <vt:variant>
        <vt:i4>416</vt:i4>
      </vt:variant>
      <vt:variant>
        <vt:i4>0</vt:i4>
      </vt:variant>
      <vt:variant>
        <vt:i4>5</vt:i4>
      </vt:variant>
      <vt:variant>
        <vt:lpwstr/>
      </vt:variant>
      <vt:variant>
        <vt:lpwstr>_Toc361047410</vt:lpwstr>
      </vt:variant>
      <vt:variant>
        <vt:i4>1441842</vt:i4>
      </vt:variant>
      <vt:variant>
        <vt:i4>410</vt:i4>
      </vt:variant>
      <vt:variant>
        <vt:i4>0</vt:i4>
      </vt:variant>
      <vt:variant>
        <vt:i4>5</vt:i4>
      </vt:variant>
      <vt:variant>
        <vt:lpwstr/>
      </vt:variant>
      <vt:variant>
        <vt:lpwstr>_Toc361047409</vt:lpwstr>
      </vt:variant>
      <vt:variant>
        <vt:i4>1441842</vt:i4>
      </vt:variant>
      <vt:variant>
        <vt:i4>404</vt:i4>
      </vt:variant>
      <vt:variant>
        <vt:i4>0</vt:i4>
      </vt:variant>
      <vt:variant>
        <vt:i4>5</vt:i4>
      </vt:variant>
      <vt:variant>
        <vt:lpwstr/>
      </vt:variant>
      <vt:variant>
        <vt:lpwstr>_Toc361047408</vt:lpwstr>
      </vt:variant>
      <vt:variant>
        <vt:i4>1441842</vt:i4>
      </vt:variant>
      <vt:variant>
        <vt:i4>398</vt:i4>
      </vt:variant>
      <vt:variant>
        <vt:i4>0</vt:i4>
      </vt:variant>
      <vt:variant>
        <vt:i4>5</vt:i4>
      </vt:variant>
      <vt:variant>
        <vt:lpwstr/>
      </vt:variant>
      <vt:variant>
        <vt:lpwstr>_Toc361047407</vt:lpwstr>
      </vt:variant>
      <vt:variant>
        <vt:i4>1441842</vt:i4>
      </vt:variant>
      <vt:variant>
        <vt:i4>392</vt:i4>
      </vt:variant>
      <vt:variant>
        <vt:i4>0</vt:i4>
      </vt:variant>
      <vt:variant>
        <vt:i4>5</vt:i4>
      </vt:variant>
      <vt:variant>
        <vt:lpwstr/>
      </vt:variant>
      <vt:variant>
        <vt:lpwstr>_Toc361047406</vt:lpwstr>
      </vt:variant>
      <vt:variant>
        <vt:i4>1441842</vt:i4>
      </vt:variant>
      <vt:variant>
        <vt:i4>386</vt:i4>
      </vt:variant>
      <vt:variant>
        <vt:i4>0</vt:i4>
      </vt:variant>
      <vt:variant>
        <vt:i4>5</vt:i4>
      </vt:variant>
      <vt:variant>
        <vt:lpwstr/>
      </vt:variant>
      <vt:variant>
        <vt:lpwstr>_Toc361047405</vt:lpwstr>
      </vt:variant>
      <vt:variant>
        <vt:i4>1441842</vt:i4>
      </vt:variant>
      <vt:variant>
        <vt:i4>380</vt:i4>
      </vt:variant>
      <vt:variant>
        <vt:i4>0</vt:i4>
      </vt:variant>
      <vt:variant>
        <vt:i4>5</vt:i4>
      </vt:variant>
      <vt:variant>
        <vt:lpwstr/>
      </vt:variant>
      <vt:variant>
        <vt:lpwstr>_Toc361047404</vt:lpwstr>
      </vt:variant>
      <vt:variant>
        <vt:i4>1441842</vt:i4>
      </vt:variant>
      <vt:variant>
        <vt:i4>374</vt:i4>
      </vt:variant>
      <vt:variant>
        <vt:i4>0</vt:i4>
      </vt:variant>
      <vt:variant>
        <vt:i4>5</vt:i4>
      </vt:variant>
      <vt:variant>
        <vt:lpwstr/>
      </vt:variant>
      <vt:variant>
        <vt:lpwstr>_Toc361047403</vt:lpwstr>
      </vt:variant>
      <vt:variant>
        <vt:i4>1441842</vt:i4>
      </vt:variant>
      <vt:variant>
        <vt:i4>368</vt:i4>
      </vt:variant>
      <vt:variant>
        <vt:i4>0</vt:i4>
      </vt:variant>
      <vt:variant>
        <vt:i4>5</vt:i4>
      </vt:variant>
      <vt:variant>
        <vt:lpwstr/>
      </vt:variant>
      <vt:variant>
        <vt:lpwstr>_Toc361047402</vt:lpwstr>
      </vt:variant>
      <vt:variant>
        <vt:i4>1441842</vt:i4>
      </vt:variant>
      <vt:variant>
        <vt:i4>362</vt:i4>
      </vt:variant>
      <vt:variant>
        <vt:i4>0</vt:i4>
      </vt:variant>
      <vt:variant>
        <vt:i4>5</vt:i4>
      </vt:variant>
      <vt:variant>
        <vt:lpwstr/>
      </vt:variant>
      <vt:variant>
        <vt:lpwstr>_Toc361047401</vt:lpwstr>
      </vt:variant>
      <vt:variant>
        <vt:i4>1441842</vt:i4>
      </vt:variant>
      <vt:variant>
        <vt:i4>356</vt:i4>
      </vt:variant>
      <vt:variant>
        <vt:i4>0</vt:i4>
      </vt:variant>
      <vt:variant>
        <vt:i4>5</vt:i4>
      </vt:variant>
      <vt:variant>
        <vt:lpwstr/>
      </vt:variant>
      <vt:variant>
        <vt:lpwstr>_Toc361047400</vt:lpwstr>
      </vt:variant>
      <vt:variant>
        <vt:i4>2031669</vt:i4>
      </vt:variant>
      <vt:variant>
        <vt:i4>350</vt:i4>
      </vt:variant>
      <vt:variant>
        <vt:i4>0</vt:i4>
      </vt:variant>
      <vt:variant>
        <vt:i4>5</vt:i4>
      </vt:variant>
      <vt:variant>
        <vt:lpwstr/>
      </vt:variant>
      <vt:variant>
        <vt:lpwstr>_Toc361047399</vt:lpwstr>
      </vt:variant>
      <vt:variant>
        <vt:i4>2031669</vt:i4>
      </vt:variant>
      <vt:variant>
        <vt:i4>344</vt:i4>
      </vt:variant>
      <vt:variant>
        <vt:i4>0</vt:i4>
      </vt:variant>
      <vt:variant>
        <vt:i4>5</vt:i4>
      </vt:variant>
      <vt:variant>
        <vt:lpwstr/>
      </vt:variant>
      <vt:variant>
        <vt:lpwstr>_Toc361047398</vt:lpwstr>
      </vt:variant>
      <vt:variant>
        <vt:i4>2031669</vt:i4>
      </vt:variant>
      <vt:variant>
        <vt:i4>338</vt:i4>
      </vt:variant>
      <vt:variant>
        <vt:i4>0</vt:i4>
      </vt:variant>
      <vt:variant>
        <vt:i4>5</vt:i4>
      </vt:variant>
      <vt:variant>
        <vt:lpwstr/>
      </vt:variant>
      <vt:variant>
        <vt:lpwstr>_Toc361047397</vt:lpwstr>
      </vt:variant>
      <vt:variant>
        <vt:i4>2031669</vt:i4>
      </vt:variant>
      <vt:variant>
        <vt:i4>332</vt:i4>
      </vt:variant>
      <vt:variant>
        <vt:i4>0</vt:i4>
      </vt:variant>
      <vt:variant>
        <vt:i4>5</vt:i4>
      </vt:variant>
      <vt:variant>
        <vt:lpwstr/>
      </vt:variant>
      <vt:variant>
        <vt:lpwstr>_Toc361047396</vt:lpwstr>
      </vt:variant>
      <vt:variant>
        <vt:i4>2031669</vt:i4>
      </vt:variant>
      <vt:variant>
        <vt:i4>326</vt:i4>
      </vt:variant>
      <vt:variant>
        <vt:i4>0</vt:i4>
      </vt:variant>
      <vt:variant>
        <vt:i4>5</vt:i4>
      </vt:variant>
      <vt:variant>
        <vt:lpwstr/>
      </vt:variant>
      <vt:variant>
        <vt:lpwstr>_Toc361047395</vt:lpwstr>
      </vt:variant>
      <vt:variant>
        <vt:i4>2031669</vt:i4>
      </vt:variant>
      <vt:variant>
        <vt:i4>320</vt:i4>
      </vt:variant>
      <vt:variant>
        <vt:i4>0</vt:i4>
      </vt:variant>
      <vt:variant>
        <vt:i4>5</vt:i4>
      </vt:variant>
      <vt:variant>
        <vt:lpwstr/>
      </vt:variant>
      <vt:variant>
        <vt:lpwstr>_Toc361047394</vt:lpwstr>
      </vt:variant>
      <vt:variant>
        <vt:i4>2031669</vt:i4>
      </vt:variant>
      <vt:variant>
        <vt:i4>314</vt:i4>
      </vt:variant>
      <vt:variant>
        <vt:i4>0</vt:i4>
      </vt:variant>
      <vt:variant>
        <vt:i4>5</vt:i4>
      </vt:variant>
      <vt:variant>
        <vt:lpwstr/>
      </vt:variant>
      <vt:variant>
        <vt:lpwstr>_Toc361047393</vt:lpwstr>
      </vt:variant>
      <vt:variant>
        <vt:i4>2031669</vt:i4>
      </vt:variant>
      <vt:variant>
        <vt:i4>308</vt:i4>
      </vt:variant>
      <vt:variant>
        <vt:i4>0</vt:i4>
      </vt:variant>
      <vt:variant>
        <vt:i4>5</vt:i4>
      </vt:variant>
      <vt:variant>
        <vt:lpwstr/>
      </vt:variant>
      <vt:variant>
        <vt:lpwstr>_Toc361047392</vt:lpwstr>
      </vt:variant>
      <vt:variant>
        <vt:i4>2031669</vt:i4>
      </vt:variant>
      <vt:variant>
        <vt:i4>302</vt:i4>
      </vt:variant>
      <vt:variant>
        <vt:i4>0</vt:i4>
      </vt:variant>
      <vt:variant>
        <vt:i4>5</vt:i4>
      </vt:variant>
      <vt:variant>
        <vt:lpwstr/>
      </vt:variant>
      <vt:variant>
        <vt:lpwstr>_Toc361047391</vt:lpwstr>
      </vt:variant>
      <vt:variant>
        <vt:i4>2031669</vt:i4>
      </vt:variant>
      <vt:variant>
        <vt:i4>296</vt:i4>
      </vt:variant>
      <vt:variant>
        <vt:i4>0</vt:i4>
      </vt:variant>
      <vt:variant>
        <vt:i4>5</vt:i4>
      </vt:variant>
      <vt:variant>
        <vt:lpwstr/>
      </vt:variant>
      <vt:variant>
        <vt:lpwstr>_Toc361047390</vt:lpwstr>
      </vt:variant>
      <vt:variant>
        <vt:i4>1966133</vt:i4>
      </vt:variant>
      <vt:variant>
        <vt:i4>290</vt:i4>
      </vt:variant>
      <vt:variant>
        <vt:i4>0</vt:i4>
      </vt:variant>
      <vt:variant>
        <vt:i4>5</vt:i4>
      </vt:variant>
      <vt:variant>
        <vt:lpwstr/>
      </vt:variant>
      <vt:variant>
        <vt:lpwstr>_Toc361047389</vt:lpwstr>
      </vt:variant>
      <vt:variant>
        <vt:i4>1966133</vt:i4>
      </vt:variant>
      <vt:variant>
        <vt:i4>284</vt:i4>
      </vt:variant>
      <vt:variant>
        <vt:i4>0</vt:i4>
      </vt:variant>
      <vt:variant>
        <vt:i4>5</vt:i4>
      </vt:variant>
      <vt:variant>
        <vt:lpwstr/>
      </vt:variant>
      <vt:variant>
        <vt:lpwstr>_Toc361047388</vt:lpwstr>
      </vt:variant>
      <vt:variant>
        <vt:i4>1966133</vt:i4>
      </vt:variant>
      <vt:variant>
        <vt:i4>278</vt:i4>
      </vt:variant>
      <vt:variant>
        <vt:i4>0</vt:i4>
      </vt:variant>
      <vt:variant>
        <vt:i4>5</vt:i4>
      </vt:variant>
      <vt:variant>
        <vt:lpwstr/>
      </vt:variant>
      <vt:variant>
        <vt:lpwstr>_Toc361047387</vt:lpwstr>
      </vt:variant>
      <vt:variant>
        <vt:i4>1966133</vt:i4>
      </vt:variant>
      <vt:variant>
        <vt:i4>272</vt:i4>
      </vt:variant>
      <vt:variant>
        <vt:i4>0</vt:i4>
      </vt:variant>
      <vt:variant>
        <vt:i4>5</vt:i4>
      </vt:variant>
      <vt:variant>
        <vt:lpwstr/>
      </vt:variant>
      <vt:variant>
        <vt:lpwstr>_Toc361047386</vt:lpwstr>
      </vt:variant>
      <vt:variant>
        <vt:i4>1966133</vt:i4>
      </vt:variant>
      <vt:variant>
        <vt:i4>266</vt:i4>
      </vt:variant>
      <vt:variant>
        <vt:i4>0</vt:i4>
      </vt:variant>
      <vt:variant>
        <vt:i4>5</vt:i4>
      </vt:variant>
      <vt:variant>
        <vt:lpwstr/>
      </vt:variant>
      <vt:variant>
        <vt:lpwstr>_Toc361047385</vt:lpwstr>
      </vt:variant>
      <vt:variant>
        <vt:i4>1966133</vt:i4>
      </vt:variant>
      <vt:variant>
        <vt:i4>260</vt:i4>
      </vt:variant>
      <vt:variant>
        <vt:i4>0</vt:i4>
      </vt:variant>
      <vt:variant>
        <vt:i4>5</vt:i4>
      </vt:variant>
      <vt:variant>
        <vt:lpwstr/>
      </vt:variant>
      <vt:variant>
        <vt:lpwstr>_Toc361047384</vt:lpwstr>
      </vt:variant>
      <vt:variant>
        <vt:i4>1966133</vt:i4>
      </vt:variant>
      <vt:variant>
        <vt:i4>254</vt:i4>
      </vt:variant>
      <vt:variant>
        <vt:i4>0</vt:i4>
      </vt:variant>
      <vt:variant>
        <vt:i4>5</vt:i4>
      </vt:variant>
      <vt:variant>
        <vt:lpwstr/>
      </vt:variant>
      <vt:variant>
        <vt:lpwstr>_Toc361047383</vt:lpwstr>
      </vt:variant>
      <vt:variant>
        <vt:i4>1966133</vt:i4>
      </vt:variant>
      <vt:variant>
        <vt:i4>248</vt:i4>
      </vt:variant>
      <vt:variant>
        <vt:i4>0</vt:i4>
      </vt:variant>
      <vt:variant>
        <vt:i4>5</vt:i4>
      </vt:variant>
      <vt:variant>
        <vt:lpwstr/>
      </vt:variant>
      <vt:variant>
        <vt:lpwstr>_Toc361047382</vt:lpwstr>
      </vt:variant>
      <vt:variant>
        <vt:i4>1966133</vt:i4>
      </vt:variant>
      <vt:variant>
        <vt:i4>242</vt:i4>
      </vt:variant>
      <vt:variant>
        <vt:i4>0</vt:i4>
      </vt:variant>
      <vt:variant>
        <vt:i4>5</vt:i4>
      </vt:variant>
      <vt:variant>
        <vt:lpwstr/>
      </vt:variant>
      <vt:variant>
        <vt:lpwstr>_Toc361047381</vt:lpwstr>
      </vt:variant>
      <vt:variant>
        <vt:i4>1966133</vt:i4>
      </vt:variant>
      <vt:variant>
        <vt:i4>236</vt:i4>
      </vt:variant>
      <vt:variant>
        <vt:i4>0</vt:i4>
      </vt:variant>
      <vt:variant>
        <vt:i4>5</vt:i4>
      </vt:variant>
      <vt:variant>
        <vt:lpwstr/>
      </vt:variant>
      <vt:variant>
        <vt:lpwstr>_Toc361047380</vt:lpwstr>
      </vt:variant>
      <vt:variant>
        <vt:i4>1114165</vt:i4>
      </vt:variant>
      <vt:variant>
        <vt:i4>230</vt:i4>
      </vt:variant>
      <vt:variant>
        <vt:i4>0</vt:i4>
      </vt:variant>
      <vt:variant>
        <vt:i4>5</vt:i4>
      </vt:variant>
      <vt:variant>
        <vt:lpwstr/>
      </vt:variant>
      <vt:variant>
        <vt:lpwstr>_Toc361047379</vt:lpwstr>
      </vt:variant>
      <vt:variant>
        <vt:i4>1114165</vt:i4>
      </vt:variant>
      <vt:variant>
        <vt:i4>224</vt:i4>
      </vt:variant>
      <vt:variant>
        <vt:i4>0</vt:i4>
      </vt:variant>
      <vt:variant>
        <vt:i4>5</vt:i4>
      </vt:variant>
      <vt:variant>
        <vt:lpwstr/>
      </vt:variant>
      <vt:variant>
        <vt:lpwstr>_Toc361047378</vt:lpwstr>
      </vt:variant>
      <vt:variant>
        <vt:i4>1114165</vt:i4>
      </vt:variant>
      <vt:variant>
        <vt:i4>218</vt:i4>
      </vt:variant>
      <vt:variant>
        <vt:i4>0</vt:i4>
      </vt:variant>
      <vt:variant>
        <vt:i4>5</vt:i4>
      </vt:variant>
      <vt:variant>
        <vt:lpwstr/>
      </vt:variant>
      <vt:variant>
        <vt:lpwstr>_Toc361047377</vt:lpwstr>
      </vt:variant>
      <vt:variant>
        <vt:i4>1114165</vt:i4>
      </vt:variant>
      <vt:variant>
        <vt:i4>212</vt:i4>
      </vt:variant>
      <vt:variant>
        <vt:i4>0</vt:i4>
      </vt:variant>
      <vt:variant>
        <vt:i4>5</vt:i4>
      </vt:variant>
      <vt:variant>
        <vt:lpwstr/>
      </vt:variant>
      <vt:variant>
        <vt:lpwstr>_Toc361047376</vt:lpwstr>
      </vt:variant>
      <vt:variant>
        <vt:i4>1114165</vt:i4>
      </vt:variant>
      <vt:variant>
        <vt:i4>206</vt:i4>
      </vt:variant>
      <vt:variant>
        <vt:i4>0</vt:i4>
      </vt:variant>
      <vt:variant>
        <vt:i4>5</vt:i4>
      </vt:variant>
      <vt:variant>
        <vt:lpwstr/>
      </vt:variant>
      <vt:variant>
        <vt:lpwstr>_Toc361047375</vt:lpwstr>
      </vt:variant>
      <vt:variant>
        <vt:i4>1114165</vt:i4>
      </vt:variant>
      <vt:variant>
        <vt:i4>200</vt:i4>
      </vt:variant>
      <vt:variant>
        <vt:i4>0</vt:i4>
      </vt:variant>
      <vt:variant>
        <vt:i4>5</vt:i4>
      </vt:variant>
      <vt:variant>
        <vt:lpwstr/>
      </vt:variant>
      <vt:variant>
        <vt:lpwstr>_Toc361047374</vt:lpwstr>
      </vt:variant>
      <vt:variant>
        <vt:i4>1114165</vt:i4>
      </vt:variant>
      <vt:variant>
        <vt:i4>194</vt:i4>
      </vt:variant>
      <vt:variant>
        <vt:i4>0</vt:i4>
      </vt:variant>
      <vt:variant>
        <vt:i4>5</vt:i4>
      </vt:variant>
      <vt:variant>
        <vt:lpwstr/>
      </vt:variant>
      <vt:variant>
        <vt:lpwstr>_Toc361047373</vt:lpwstr>
      </vt:variant>
      <vt:variant>
        <vt:i4>1114165</vt:i4>
      </vt:variant>
      <vt:variant>
        <vt:i4>188</vt:i4>
      </vt:variant>
      <vt:variant>
        <vt:i4>0</vt:i4>
      </vt:variant>
      <vt:variant>
        <vt:i4>5</vt:i4>
      </vt:variant>
      <vt:variant>
        <vt:lpwstr/>
      </vt:variant>
      <vt:variant>
        <vt:lpwstr>_Toc361047372</vt:lpwstr>
      </vt:variant>
      <vt:variant>
        <vt:i4>1114165</vt:i4>
      </vt:variant>
      <vt:variant>
        <vt:i4>182</vt:i4>
      </vt:variant>
      <vt:variant>
        <vt:i4>0</vt:i4>
      </vt:variant>
      <vt:variant>
        <vt:i4>5</vt:i4>
      </vt:variant>
      <vt:variant>
        <vt:lpwstr/>
      </vt:variant>
      <vt:variant>
        <vt:lpwstr>_Toc361047371</vt:lpwstr>
      </vt:variant>
      <vt:variant>
        <vt:i4>1114165</vt:i4>
      </vt:variant>
      <vt:variant>
        <vt:i4>176</vt:i4>
      </vt:variant>
      <vt:variant>
        <vt:i4>0</vt:i4>
      </vt:variant>
      <vt:variant>
        <vt:i4>5</vt:i4>
      </vt:variant>
      <vt:variant>
        <vt:lpwstr/>
      </vt:variant>
      <vt:variant>
        <vt:lpwstr>_Toc361047370</vt:lpwstr>
      </vt:variant>
      <vt:variant>
        <vt:i4>1048629</vt:i4>
      </vt:variant>
      <vt:variant>
        <vt:i4>170</vt:i4>
      </vt:variant>
      <vt:variant>
        <vt:i4>0</vt:i4>
      </vt:variant>
      <vt:variant>
        <vt:i4>5</vt:i4>
      </vt:variant>
      <vt:variant>
        <vt:lpwstr/>
      </vt:variant>
      <vt:variant>
        <vt:lpwstr>_Toc361047369</vt:lpwstr>
      </vt:variant>
      <vt:variant>
        <vt:i4>1048629</vt:i4>
      </vt:variant>
      <vt:variant>
        <vt:i4>164</vt:i4>
      </vt:variant>
      <vt:variant>
        <vt:i4>0</vt:i4>
      </vt:variant>
      <vt:variant>
        <vt:i4>5</vt:i4>
      </vt:variant>
      <vt:variant>
        <vt:lpwstr/>
      </vt:variant>
      <vt:variant>
        <vt:lpwstr>_Toc361047368</vt:lpwstr>
      </vt:variant>
      <vt:variant>
        <vt:i4>1048629</vt:i4>
      </vt:variant>
      <vt:variant>
        <vt:i4>158</vt:i4>
      </vt:variant>
      <vt:variant>
        <vt:i4>0</vt:i4>
      </vt:variant>
      <vt:variant>
        <vt:i4>5</vt:i4>
      </vt:variant>
      <vt:variant>
        <vt:lpwstr/>
      </vt:variant>
      <vt:variant>
        <vt:lpwstr>_Toc361047367</vt:lpwstr>
      </vt:variant>
      <vt:variant>
        <vt:i4>1048629</vt:i4>
      </vt:variant>
      <vt:variant>
        <vt:i4>152</vt:i4>
      </vt:variant>
      <vt:variant>
        <vt:i4>0</vt:i4>
      </vt:variant>
      <vt:variant>
        <vt:i4>5</vt:i4>
      </vt:variant>
      <vt:variant>
        <vt:lpwstr/>
      </vt:variant>
      <vt:variant>
        <vt:lpwstr>_Toc361047366</vt:lpwstr>
      </vt:variant>
      <vt:variant>
        <vt:i4>1048629</vt:i4>
      </vt:variant>
      <vt:variant>
        <vt:i4>146</vt:i4>
      </vt:variant>
      <vt:variant>
        <vt:i4>0</vt:i4>
      </vt:variant>
      <vt:variant>
        <vt:i4>5</vt:i4>
      </vt:variant>
      <vt:variant>
        <vt:lpwstr/>
      </vt:variant>
      <vt:variant>
        <vt:lpwstr>_Toc361047365</vt:lpwstr>
      </vt:variant>
      <vt:variant>
        <vt:i4>1048629</vt:i4>
      </vt:variant>
      <vt:variant>
        <vt:i4>140</vt:i4>
      </vt:variant>
      <vt:variant>
        <vt:i4>0</vt:i4>
      </vt:variant>
      <vt:variant>
        <vt:i4>5</vt:i4>
      </vt:variant>
      <vt:variant>
        <vt:lpwstr/>
      </vt:variant>
      <vt:variant>
        <vt:lpwstr>_Toc361047364</vt:lpwstr>
      </vt:variant>
      <vt:variant>
        <vt:i4>1048629</vt:i4>
      </vt:variant>
      <vt:variant>
        <vt:i4>134</vt:i4>
      </vt:variant>
      <vt:variant>
        <vt:i4>0</vt:i4>
      </vt:variant>
      <vt:variant>
        <vt:i4>5</vt:i4>
      </vt:variant>
      <vt:variant>
        <vt:lpwstr/>
      </vt:variant>
      <vt:variant>
        <vt:lpwstr>_Toc361047363</vt:lpwstr>
      </vt:variant>
      <vt:variant>
        <vt:i4>1048629</vt:i4>
      </vt:variant>
      <vt:variant>
        <vt:i4>128</vt:i4>
      </vt:variant>
      <vt:variant>
        <vt:i4>0</vt:i4>
      </vt:variant>
      <vt:variant>
        <vt:i4>5</vt:i4>
      </vt:variant>
      <vt:variant>
        <vt:lpwstr/>
      </vt:variant>
      <vt:variant>
        <vt:lpwstr>_Toc361047362</vt:lpwstr>
      </vt:variant>
      <vt:variant>
        <vt:i4>1048629</vt:i4>
      </vt:variant>
      <vt:variant>
        <vt:i4>122</vt:i4>
      </vt:variant>
      <vt:variant>
        <vt:i4>0</vt:i4>
      </vt:variant>
      <vt:variant>
        <vt:i4>5</vt:i4>
      </vt:variant>
      <vt:variant>
        <vt:lpwstr/>
      </vt:variant>
      <vt:variant>
        <vt:lpwstr>_Toc361047361</vt:lpwstr>
      </vt:variant>
      <vt:variant>
        <vt:i4>1048629</vt:i4>
      </vt:variant>
      <vt:variant>
        <vt:i4>116</vt:i4>
      </vt:variant>
      <vt:variant>
        <vt:i4>0</vt:i4>
      </vt:variant>
      <vt:variant>
        <vt:i4>5</vt:i4>
      </vt:variant>
      <vt:variant>
        <vt:lpwstr/>
      </vt:variant>
      <vt:variant>
        <vt:lpwstr>_Toc361047360</vt:lpwstr>
      </vt:variant>
      <vt:variant>
        <vt:i4>1245237</vt:i4>
      </vt:variant>
      <vt:variant>
        <vt:i4>110</vt:i4>
      </vt:variant>
      <vt:variant>
        <vt:i4>0</vt:i4>
      </vt:variant>
      <vt:variant>
        <vt:i4>5</vt:i4>
      </vt:variant>
      <vt:variant>
        <vt:lpwstr/>
      </vt:variant>
      <vt:variant>
        <vt:lpwstr>_Toc361047359</vt:lpwstr>
      </vt:variant>
      <vt:variant>
        <vt:i4>1245237</vt:i4>
      </vt:variant>
      <vt:variant>
        <vt:i4>104</vt:i4>
      </vt:variant>
      <vt:variant>
        <vt:i4>0</vt:i4>
      </vt:variant>
      <vt:variant>
        <vt:i4>5</vt:i4>
      </vt:variant>
      <vt:variant>
        <vt:lpwstr/>
      </vt:variant>
      <vt:variant>
        <vt:lpwstr>_Toc361047358</vt:lpwstr>
      </vt:variant>
      <vt:variant>
        <vt:i4>1245237</vt:i4>
      </vt:variant>
      <vt:variant>
        <vt:i4>98</vt:i4>
      </vt:variant>
      <vt:variant>
        <vt:i4>0</vt:i4>
      </vt:variant>
      <vt:variant>
        <vt:i4>5</vt:i4>
      </vt:variant>
      <vt:variant>
        <vt:lpwstr/>
      </vt:variant>
      <vt:variant>
        <vt:lpwstr>_Toc361047357</vt:lpwstr>
      </vt:variant>
      <vt:variant>
        <vt:i4>1245237</vt:i4>
      </vt:variant>
      <vt:variant>
        <vt:i4>92</vt:i4>
      </vt:variant>
      <vt:variant>
        <vt:i4>0</vt:i4>
      </vt:variant>
      <vt:variant>
        <vt:i4>5</vt:i4>
      </vt:variant>
      <vt:variant>
        <vt:lpwstr/>
      </vt:variant>
      <vt:variant>
        <vt:lpwstr>_Toc361047356</vt:lpwstr>
      </vt:variant>
      <vt:variant>
        <vt:i4>1245237</vt:i4>
      </vt:variant>
      <vt:variant>
        <vt:i4>86</vt:i4>
      </vt:variant>
      <vt:variant>
        <vt:i4>0</vt:i4>
      </vt:variant>
      <vt:variant>
        <vt:i4>5</vt:i4>
      </vt:variant>
      <vt:variant>
        <vt:lpwstr/>
      </vt:variant>
      <vt:variant>
        <vt:lpwstr>_Toc361047355</vt:lpwstr>
      </vt:variant>
      <vt:variant>
        <vt:i4>1245237</vt:i4>
      </vt:variant>
      <vt:variant>
        <vt:i4>80</vt:i4>
      </vt:variant>
      <vt:variant>
        <vt:i4>0</vt:i4>
      </vt:variant>
      <vt:variant>
        <vt:i4>5</vt:i4>
      </vt:variant>
      <vt:variant>
        <vt:lpwstr/>
      </vt:variant>
      <vt:variant>
        <vt:lpwstr>_Toc361047354</vt:lpwstr>
      </vt:variant>
      <vt:variant>
        <vt:i4>1245237</vt:i4>
      </vt:variant>
      <vt:variant>
        <vt:i4>74</vt:i4>
      </vt:variant>
      <vt:variant>
        <vt:i4>0</vt:i4>
      </vt:variant>
      <vt:variant>
        <vt:i4>5</vt:i4>
      </vt:variant>
      <vt:variant>
        <vt:lpwstr/>
      </vt:variant>
      <vt:variant>
        <vt:lpwstr>_Toc361047353</vt:lpwstr>
      </vt:variant>
      <vt:variant>
        <vt:i4>1245237</vt:i4>
      </vt:variant>
      <vt:variant>
        <vt:i4>68</vt:i4>
      </vt:variant>
      <vt:variant>
        <vt:i4>0</vt:i4>
      </vt:variant>
      <vt:variant>
        <vt:i4>5</vt:i4>
      </vt:variant>
      <vt:variant>
        <vt:lpwstr/>
      </vt:variant>
      <vt:variant>
        <vt:lpwstr>_Toc361047352</vt:lpwstr>
      </vt:variant>
      <vt:variant>
        <vt:i4>1245237</vt:i4>
      </vt:variant>
      <vt:variant>
        <vt:i4>62</vt:i4>
      </vt:variant>
      <vt:variant>
        <vt:i4>0</vt:i4>
      </vt:variant>
      <vt:variant>
        <vt:i4>5</vt:i4>
      </vt:variant>
      <vt:variant>
        <vt:lpwstr/>
      </vt:variant>
      <vt:variant>
        <vt:lpwstr>_Toc361047351</vt:lpwstr>
      </vt:variant>
      <vt:variant>
        <vt:i4>1245237</vt:i4>
      </vt:variant>
      <vt:variant>
        <vt:i4>56</vt:i4>
      </vt:variant>
      <vt:variant>
        <vt:i4>0</vt:i4>
      </vt:variant>
      <vt:variant>
        <vt:i4>5</vt:i4>
      </vt:variant>
      <vt:variant>
        <vt:lpwstr/>
      </vt:variant>
      <vt:variant>
        <vt:lpwstr>_Toc361047350</vt:lpwstr>
      </vt:variant>
      <vt:variant>
        <vt:i4>1179701</vt:i4>
      </vt:variant>
      <vt:variant>
        <vt:i4>50</vt:i4>
      </vt:variant>
      <vt:variant>
        <vt:i4>0</vt:i4>
      </vt:variant>
      <vt:variant>
        <vt:i4>5</vt:i4>
      </vt:variant>
      <vt:variant>
        <vt:lpwstr/>
      </vt:variant>
      <vt:variant>
        <vt:lpwstr>_Toc361047349</vt:lpwstr>
      </vt:variant>
      <vt:variant>
        <vt:i4>1179701</vt:i4>
      </vt:variant>
      <vt:variant>
        <vt:i4>44</vt:i4>
      </vt:variant>
      <vt:variant>
        <vt:i4>0</vt:i4>
      </vt:variant>
      <vt:variant>
        <vt:i4>5</vt:i4>
      </vt:variant>
      <vt:variant>
        <vt:lpwstr/>
      </vt:variant>
      <vt:variant>
        <vt:lpwstr>_Toc361047348</vt:lpwstr>
      </vt:variant>
      <vt:variant>
        <vt:i4>1179701</vt:i4>
      </vt:variant>
      <vt:variant>
        <vt:i4>38</vt:i4>
      </vt:variant>
      <vt:variant>
        <vt:i4>0</vt:i4>
      </vt:variant>
      <vt:variant>
        <vt:i4>5</vt:i4>
      </vt:variant>
      <vt:variant>
        <vt:lpwstr/>
      </vt:variant>
      <vt:variant>
        <vt:lpwstr>_Toc361047347</vt:lpwstr>
      </vt:variant>
      <vt:variant>
        <vt:i4>1179701</vt:i4>
      </vt:variant>
      <vt:variant>
        <vt:i4>32</vt:i4>
      </vt:variant>
      <vt:variant>
        <vt:i4>0</vt:i4>
      </vt:variant>
      <vt:variant>
        <vt:i4>5</vt:i4>
      </vt:variant>
      <vt:variant>
        <vt:lpwstr/>
      </vt:variant>
      <vt:variant>
        <vt:lpwstr>_Toc361047346</vt:lpwstr>
      </vt:variant>
      <vt:variant>
        <vt:i4>1179701</vt:i4>
      </vt:variant>
      <vt:variant>
        <vt:i4>26</vt:i4>
      </vt:variant>
      <vt:variant>
        <vt:i4>0</vt:i4>
      </vt:variant>
      <vt:variant>
        <vt:i4>5</vt:i4>
      </vt:variant>
      <vt:variant>
        <vt:lpwstr/>
      </vt:variant>
      <vt:variant>
        <vt:lpwstr>_Toc361047345</vt:lpwstr>
      </vt:variant>
      <vt:variant>
        <vt:i4>1179701</vt:i4>
      </vt:variant>
      <vt:variant>
        <vt:i4>20</vt:i4>
      </vt:variant>
      <vt:variant>
        <vt:i4>0</vt:i4>
      </vt:variant>
      <vt:variant>
        <vt:i4>5</vt:i4>
      </vt:variant>
      <vt:variant>
        <vt:lpwstr/>
      </vt:variant>
      <vt:variant>
        <vt:lpwstr>_Toc361047344</vt:lpwstr>
      </vt:variant>
      <vt:variant>
        <vt:i4>1179701</vt:i4>
      </vt:variant>
      <vt:variant>
        <vt:i4>14</vt:i4>
      </vt:variant>
      <vt:variant>
        <vt:i4>0</vt:i4>
      </vt:variant>
      <vt:variant>
        <vt:i4>5</vt:i4>
      </vt:variant>
      <vt:variant>
        <vt:lpwstr/>
      </vt:variant>
      <vt:variant>
        <vt:lpwstr>_Toc361047343</vt:lpwstr>
      </vt:variant>
      <vt:variant>
        <vt:i4>1179701</vt:i4>
      </vt:variant>
      <vt:variant>
        <vt:i4>8</vt:i4>
      </vt:variant>
      <vt:variant>
        <vt:i4>0</vt:i4>
      </vt:variant>
      <vt:variant>
        <vt:i4>5</vt:i4>
      </vt:variant>
      <vt:variant>
        <vt:lpwstr/>
      </vt:variant>
      <vt:variant>
        <vt:lpwstr>_Toc361047342</vt:lpwstr>
      </vt:variant>
      <vt:variant>
        <vt:i4>1179701</vt:i4>
      </vt:variant>
      <vt:variant>
        <vt:i4>2</vt:i4>
      </vt:variant>
      <vt:variant>
        <vt:i4>0</vt:i4>
      </vt:variant>
      <vt:variant>
        <vt:i4>5</vt:i4>
      </vt:variant>
      <vt:variant>
        <vt:lpwstr/>
      </vt:variant>
      <vt:variant>
        <vt:lpwstr>_Toc361047341</vt:lpwstr>
      </vt:variant>
      <vt:variant>
        <vt:i4>6881394</vt:i4>
      </vt:variant>
      <vt:variant>
        <vt:i4>3</vt:i4>
      </vt:variant>
      <vt:variant>
        <vt:i4>0</vt:i4>
      </vt:variant>
      <vt:variant>
        <vt:i4>5</vt:i4>
      </vt:variant>
      <vt:variant>
        <vt:lpwstr>http://informahealthcare.com/doi/abs/10.1080/09595230600944511</vt:lpwstr>
      </vt:variant>
      <vt:variant>
        <vt:lpwstr/>
      </vt:variant>
      <vt:variant>
        <vt:i4>2031710</vt:i4>
      </vt:variant>
      <vt:variant>
        <vt:i4>0</vt:i4>
      </vt:variant>
      <vt:variant>
        <vt:i4>0</vt:i4>
      </vt:variant>
      <vt:variant>
        <vt:i4>5</vt:i4>
      </vt:variant>
      <vt:variant>
        <vt:lpwstr>http://www.who.int/choice/publications/p_2009_CE_Alcohol_Lancet.pdf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Trish Araru</cp:lastModifiedBy>
  <cp:revision>2</cp:revision>
  <cp:lastPrinted>2014-07-21T14:54:00Z</cp:lastPrinted>
  <dcterms:created xsi:type="dcterms:W3CDTF">2015-05-27T05:02:00Z</dcterms:created>
  <dcterms:modified xsi:type="dcterms:W3CDTF">2015-05-27T05:02:00Z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405426</vt:lpwstr>
  </property>
  <property fmtid="{D5CDD505-2E9C-101B-9397-08002B2CF9AE}" pid="3" name="NXPowerLiteSettings">
    <vt:lpwstr>F7000400038000</vt:lpwstr>
  </property>
  <property fmtid="{D5CDD505-2E9C-101B-9397-08002B2CF9AE}" pid="4" name="NXPowerLiteVersion">
    <vt:lpwstr>D5.0.2</vt:lpwstr>
  </property>
</Properties>
</file>