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CE25B1" w14:textId="77777777" w:rsidR="0004690F" w:rsidRDefault="00002A2E" w:rsidP="000A11AF">
      <w:pPr>
        <w:rPr>
          <w:rFonts w:ascii="Arial" w:hAnsi="Arial" w:cs="Arial"/>
          <w:b/>
          <w:sz w:val="22"/>
          <w:szCs w:val="22"/>
        </w:rPr>
      </w:pPr>
      <w:r>
        <w:rPr>
          <w:rFonts w:ascii="Arial" w:hAnsi="Arial" w:cs="Arial"/>
          <w:b/>
          <w:noProof/>
          <w:sz w:val="22"/>
          <w:szCs w:val="22"/>
          <w:lang w:eastAsia="fr-FR"/>
        </w:rPr>
        <mc:AlternateContent>
          <mc:Choice Requires="wps">
            <w:drawing>
              <wp:inline distT="0" distB="0" distL="0" distR="0" wp14:anchorId="6BF2EE4C" wp14:editId="61ACC3DB">
                <wp:extent cx="1714500" cy="484094"/>
                <wp:effectExtent l="0" t="0" r="0" b="1270"/>
                <wp:docPr id="29" name="Rectangle avec un coin diagonal rogné 29"/>
                <wp:cNvGraphicFramePr/>
                <a:graphic xmlns:a="http://schemas.openxmlformats.org/drawingml/2006/main">
                  <a:graphicData uri="http://schemas.microsoft.com/office/word/2010/wordprocessingShape">
                    <wps:wsp>
                      <wps:cNvSpPr/>
                      <wps:spPr>
                        <a:xfrm>
                          <a:off x="0" y="0"/>
                          <a:ext cx="1714500" cy="484094"/>
                        </a:xfrm>
                        <a:prstGeom prst="snip2Diag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3AA1142" w14:textId="023532E9" w:rsidR="0023573A" w:rsidRDefault="00DF33A9" w:rsidP="0023573A">
                            <w:r>
                              <w:t>P4H-EN3S</w:t>
                            </w:r>
                          </w:p>
                        </w:txbxContent>
                      </wps:txbx>
                      <wps:bodyPr rot="0" spcFirstLastPara="0" vertOverflow="overflow" horzOverflow="overflow" vert="horz" wrap="square" lIns="91440" tIns="45720" rIns="0" bIns="45720" numCol="1" spcCol="0" rtlCol="0" fromWordArt="0" anchor="ctr" anchorCtr="0" forceAA="0" compatLnSpc="1">
                        <a:prstTxWarp prst="textNoShape">
                          <a:avLst/>
                        </a:prstTxWarp>
                        <a:spAutoFit/>
                      </wps:bodyPr>
                    </wps:wsp>
                  </a:graphicData>
                </a:graphic>
              </wp:inline>
            </w:drawing>
          </mc:Choice>
          <mc:Fallback>
            <w:pict>
              <v:shape w14:anchorId="6BF2EE4C" id="Rectangle avec un coin diagonal rogné 29" o:spid="_x0000_s1026" style="width:135pt;height:38.1pt;visibility:visible;mso-wrap-style:square;mso-left-percent:-10001;mso-top-percent:-10001;mso-position-horizontal:absolute;mso-position-horizontal-relative:char;mso-position-vertical:absolute;mso-position-vertical-relative:line;mso-left-percent:-10001;mso-top-percent:-10001;v-text-anchor:middle" coordsize="1714500,484094"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" adj="-11796480,,5400" path="m,l1633816,r80684,80684l1714500,484094r,l80684,484094,,403410,,xe" fillcolor="#bd0037 [3204]" stroked="f" strokeweight="1pt">
                <v:stroke joinstyle="miter"/>
                <v:formulas/>
                <v:path arrowok="t" o:connecttype="custom" o:connectlocs="0,0;1633816,0;1714500,80684;1714500,484094;1714500,484094;80684,484094;0,403410;0,0" o:connectangles="0,0,0,0,0,0,0,0" textboxrect="0,0,1714500,484094"/>
                <v:textbox style="mso-fit-shape-to-text:t" inset=",,0">
                  <w:txbxContent>
                    <w:p w14:paraId="53AA1142" w14:textId="023532E9" w:rsidR="0023573A" w:rsidRDefault="00DF33A9" w:rsidP="0023573A">
                      <w:r>
                        <w:t>P4H-EN3S</w:t>
                      </w:r>
                    </w:p>
                  </w:txbxContent>
                </v:textbox>
                <w10:anchorlock/>
              </v:shape>
            </w:pict>
          </mc:Fallback>
        </mc:AlternateContent>
      </w:r>
    </w:p>
    <w:p w14:paraId="2388DF74" w14:textId="77777777" w:rsidR="00803510" w:rsidRDefault="00803510" w:rsidP="00803510">
      <w:pPr>
        <w:pStyle w:val="Paragraphe"/>
      </w:pPr>
    </w:p>
    <w:p w14:paraId="1154319E" w14:textId="77777777" w:rsidR="00DF33A9" w:rsidRDefault="00DF33A9" w:rsidP="00DF33A9">
      <w:pPr>
        <w:pStyle w:val="Grandtitre2"/>
        <w:rPr>
          <w:sz w:val="32"/>
          <w:szCs w:val="24"/>
        </w:rPr>
      </w:pPr>
      <w:r>
        <w:rPr>
          <w:caps w:val="0"/>
          <w:sz w:val="32"/>
          <w:szCs w:val="24"/>
        </w:rPr>
        <w:t>Sélection d</w:t>
      </w:r>
      <w:r>
        <w:rPr>
          <w:sz w:val="32"/>
          <w:szCs w:val="24"/>
        </w:rPr>
        <w:t>’</w:t>
      </w:r>
      <w:r>
        <w:rPr>
          <w:caps w:val="0"/>
          <w:sz w:val="32"/>
          <w:szCs w:val="24"/>
        </w:rPr>
        <w:t>articles et d</w:t>
      </w:r>
      <w:r>
        <w:rPr>
          <w:sz w:val="32"/>
          <w:szCs w:val="24"/>
        </w:rPr>
        <w:t>’</w:t>
      </w:r>
      <w:r>
        <w:rPr>
          <w:caps w:val="0"/>
          <w:sz w:val="32"/>
          <w:szCs w:val="24"/>
        </w:rPr>
        <w:t>actualités sur le système</w:t>
      </w:r>
      <w:r>
        <w:rPr>
          <w:sz w:val="32"/>
          <w:szCs w:val="24"/>
        </w:rPr>
        <w:t xml:space="preserve"> </w:t>
      </w:r>
      <w:r>
        <w:rPr>
          <w:caps w:val="0"/>
          <w:sz w:val="32"/>
          <w:szCs w:val="24"/>
        </w:rPr>
        <w:t>de santé en France, dans le cadre de la mise à jour de la page France</w:t>
      </w:r>
      <w:r>
        <w:rPr>
          <w:sz w:val="32"/>
          <w:szCs w:val="24"/>
        </w:rPr>
        <w:t xml:space="preserve"> </w:t>
      </w:r>
      <w:r>
        <w:rPr>
          <w:caps w:val="0"/>
          <w:sz w:val="32"/>
          <w:szCs w:val="24"/>
        </w:rPr>
        <w:t>sur le site P4H</w:t>
      </w:r>
    </w:p>
    <w:p w14:paraId="660044CD" w14:textId="18EA34E4" w:rsidR="00DF33A9" w:rsidRDefault="00DF33A9" w:rsidP="00DF33A9">
      <w:pPr>
        <w:pStyle w:val="Grandtitre2"/>
        <w:rPr>
          <w:sz w:val="24"/>
          <w:szCs w:val="20"/>
        </w:rPr>
      </w:pPr>
      <w:r>
        <w:rPr>
          <w:caps w:val="0"/>
          <w:sz w:val="24"/>
          <w:szCs w:val="20"/>
        </w:rPr>
        <w:t>Période décembre 2023</w:t>
      </w:r>
      <w:r>
        <w:rPr>
          <w:caps w:val="0"/>
          <w:sz w:val="24"/>
          <w:szCs w:val="20"/>
        </w:rPr>
        <w:t xml:space="preserve"> mars 2024</w:t>
      </w:r>
    </w:p>
    <w:p w14:paraId="4E661BD0" w14:textId="77777777" w:rsidR="00E1649E" w:rsidRDefault="00E1649E" w:rsidP="00E1649E">
      <w:pPr>
        <w:pStyle w:val="Styleinformations"/>
        <w:pBdr>
          <w:bottom w:val="dotted" w:sz="8" w:space="1" w:color="C00000"/>
        </w:pBdr>
      </w:pPr>
    </w:p>
    <w:p w14:paraId="1B028BF8" w14:textId="62CD8B15" w:rsidR="00DF33A9" w:rsidRDefault="00B90135" w:rsidP="00B90135">
      <w:pPr>
        <w:pStyle w:val="Titre2"/>
      </w:pPr>
      <w:r>
        <w:t xml:space="preserve">Financement de la santé </w:t>
      </w:r>
    </w:p>
    <w:tbl>
      <w:tblPr>
        <w:tblW w:w="8940" w:type="dxa"/>
        <w:jc w:val="center"/>
        <w:tblCellMar>
          <w:left w:w="0" w:type="dxa"/>
          <w:right w:w="0" w:type="dxa"/>
        </w:tblCellMar>
        <w:tblLook w:val="04A0" w:firstRow="1" w:lastRow="0" w:firstColumn="1" w:lastColumn="0" w:noHBand="0" w:noVBand="1"/>
      </w:tblPr>
      <w:tblGrid>
        <w:gridCol w:w="8940"/>
      </w:tblGrid>
      <w:tr w:rsidR="00D83AA1" w:rsidRPr="00D83AA1" w14:paraId="062E9DFA" w14:textId="77777777" w:rsidTr="00D83AA1">
        <w:trPr>
          <w:jc w:val="center"/>
        </w:trPr>
        <w:tc>
          <w:tcPr>
            <w:tcW w:w="8940" w:type="dxa"/>
            <w:hideMark/>
          </w:tcPr>
          <w:p w14:paraId="3FBB0EAB" w14:textId="5CC32B17" w:rsidR="00D83AA1" w:rsidRPr="00B90135" w:rsidRDefault="00D83AA1" w:rsidP="00B90135">
            <w:pPr>
              <w:pStyle w:val="Paragraphedeliste"/>
              <w:numPr>
                <w:ilvl w:val="0"/>
                <w:numId w:val="34"/>
              </w:numPr>
              <w:rPr>
                <w:rFonts w:ascii="Arial" w:hAnsi="Arial" w:cs="Arial"/>
                <w:color w:val="000000"/>
                <w:sz w:val="21"/>
                <w:szCs w:val="21"/>
              </w:rPr>
            </w:pPr>
            <w:r w:rsidRPr="00B90135">
              <w:rPr>
                <w:rFonts w:ascii="Arial" w:hAnsi="Arial" w:cs="Arial"/>
                <w:b/>
                <w:bCs/>
                <w:color w:val="760049"/>
              </w:rPr>
              <w:t>La Cades donne l’alerte sur le déficit de la Sécurité sociale</w:t>
            </w:r>
          </w:p>
        </w:tc>
      </w:tr>
      <w:tr w:rsidR="00D83AA1" w:rsidRPr="00D83AA1" w14:paraId="54A58C93" w14:textId="77777777" w:rsidTr="00D83AA1">
        <w:trPr>
          <w:trHeight w:val="150"/>
          <w:jc w:val="center"/>
        </w:trPr>
        <w:tc>
          <w:tcPr>
            <w:tcW w:w="0" w:type="auto"/>
            <w:vAlign w:val="center"/>
            <w:hideMark/>
          </w:tcPr>
          <w:p w14:paraId="456F29DB" w14:textId="77777777" w:rsidR="00D83AA1" w:rsidRPr="00D83AA1" w:rsidRDefault="00D83AA1" w:rsidP="00D83AA1">
            <w:pPr>
              <w:spacing w:line="15" w:lineRule="atLeast"/>
              <w:rPr>
                <w:rFonts w:ascii="Arial" w:eastAsia="Times New Roman" w:hAnsi="Arial" w:cs="Arial"/>
                <w:sz w:val="2"/>
                <w:szCs w:val="2"/>
                <w:lang w:eastAsia="fr-FR"/>
              </w:rPr>
            </w:pPr>
            <w:r w:rsidRPr="00D83AA1">
              <w:rPr>
                <w:rFonts w:ascii="Arial" w:eastAsia="Times New Roman" w:hAnsi="Arial" w:cs="Arial"/>
                <w:sz w:val="2"/>
                <w:szCs w:val="2"/>
                <w:lang w:eastAsia="fr-FR"/>
              </w:rPr>
              <w:t> </w:t>
            </w:r>
          </w:p>
        </w:tc>
      </w:tr>
      <w:tr w:rsidR="00D83AA1" w:rsidRPr="00D83AA1" w14:paraId="6635D948" w14:textId="77777777" w:rsidTr="00D83AA1">
        <w:trPr>
          <w:jc w:val="center"/>
        </w:trPr>
        <w:tc>
          <w:tcPr>
            <w:tcW w:w="8940" w:type="dxa"/>
            <w:hideMark/>
          </w:tcPr>
          <w:p w14:paraId="6E0ED152" w14:textId="77777777" w:rsidR="00D83AA1" w:rsidRPr="00D83AA1" w:rsidRDefault="00D83AA1" w:rsidP="00D83AA1">
            <w:pPr>
              <w:rPr>
                <w:rFonts w:ascii="Arial" w:eastAsia="Times New Roman" w:hAnsi="Arial" w:cs="Arial"/>
                <w:color w:val="000000"/>
                <w:sz w:val="21"/>
                <w:szCs w:val="21"/>
                <w:lang w:eastAsia="fr-FR"/>
              </w:rPr>
            </w:pPr>
            <w:r w:rsidRPr="00D83AA1">
              <w:rPr>
                <w:rFonts w:ascii="Arial" w:eastAsia="Times New Roman" w:hAnsi="Arial" w:cs="Arial"/>
                <w:color w:val="000000"/>
                <w:sz w:val="21"/>
                <w:szCs w:val="21"/>
                <w:lang w:eastAsia="fr-FR"/>
              </w:rPr>
              <w:t>14/12/2023- Le 12 décembre, le président de la Caisse d’amortissement de la dette sociale (Cades), Jean-Louis Rey, a présenté le bilan 2023 de l’Institution.</w:t>
            </w:r>
          </w:p>
          <w:p w14:paraId="49812289" w14:textId="77777777" w:rsidR="00D83AA1" w:rsidRPr="00D83AA1" w:rsidRDefault="00D83AA1" w:rsidP="00D83AA1">
            <w:pPr>
              <w:rPr>
                <w:rFonts w:ascii="Arial" w:eastAsia="Times New Roman" w:hAnsi="Arial" w:cs="Arial"/>
                <w:color w:val="000000"/>
                <w:sz w:val="21"/>
                <w:szCs w:val="21"/>
                <w:lang w:eastAsia="fr-FR"/>
              </w:rPr>
            </w:pPr>
          </w:p>
          <w:p w14:paraId="7A16C366" w14:textId="77777777" w:rsidR="00D83AA1" w:rsidRPr="00D83AA1" w:rsidRDefault="00D83AA1" w:rsidP="00D83AA1">
            <w:pPr>
              <w:rPr>
                <w:rFonts w:ascii="Arial" w:eastAsia="Times New Roman" w:hAnsi="Arial" w:cs="Arial"/>
                <w:color w:val="000000"/>
                <w:sz w:val="21"/>
                <w:szCs w:val="21"/>
                <w:lang w:eastAsia="fr-FR"/>
              </w:rPr>
            </w:pPr>
            <w:r w:rsidRPr="00D83AA1">
              <w:rPr>
                <w:rFonts w:ascii="Arial" w:eastAsia="Times New Roman" w:hAnsi="Arial" w:cs="Arial"/>
                <w:color w:val="000000"/>
                <w:sz w:val="21"/>
                <w:szCs w:val="21"/>
                <w:lang w:eastAsia="fr-FR"/>
              </w:rPr>
              <w:t>Chargée de financer et d'éteindre la dette cumulée du régime général de la Sécurité Sociale, la Cades devait terminer sa mission en 2024 ; elle a été prolongée jusqu’en 2033. En effet, le déficit de la Sécurité sociale, qui avait atteint 1,7 Md€ en 2019, a fortement augmenté lors de la crise sanitaire (+39,7 Md€ en 2020). Il serait de 8,8 Md€ en 2023 et les prévisions l’estiment à 17,7 Md€ en 2027.</w:t>
            </w:r>
          </w:p>
          <w:p w14:paraId="565313E5" w14:textId="77777777" w:rsidR="00D83AA1" w:rsidRPr="00D83AA1" w:rsidRDefault="00D83AA1" w:rsidP="00D83AA1">
            <w:pPr>
              <w:rPr>
                <w:rFonts w:ascii="Arial" w:eastAsia="Times New Roman" w:hAnsi="Arial" w:cs="Arial"/>
                <w:color w:val="000000"/>
                <w:sz w:val="21"/>
                <w:szCs w:val="21"/>
                <w:lang w:eastAsia="fr-FR"/>
              </w:rPr>
            </w:pPr>
          </w:p>
          <w:p w14:paraId="4C2F0B23" w14:textId="77777777" w:rsidR="00D83AA1" w:rsidRPr="00D83AA1" w:rsidRDefault="00D83AA1" w:rsidP="00D83AA1">
            <w:pPr>
              <w:rPr>
                <w:rFonts w:ascii="Arial" w:eastAsia="Times New Roman" w:hAnsi="Arial" w:cs="Arial"/>
                <w:color w:val="000000"/>
                <w:sz w:val="21"/>
                <w:szCs w:val="21"/>
                <w:lang w:eastAsia="fr-FR"/>
              </w:rPr>
            </w:pPr>
            <w:r w:rsidRPr="00D83AA1">
              <w:rPr>
                <w:rFonts w:ascii="Arial" w:eastAsia="Times New Roman" w:hAnsi="Arial" w:cs="Arial"/>
                <w:color w:val="000000"/>
                <w:sz w:val="21"/>
                <w:szCs w:val="21"/>
                <w:lang w:eastAsia="fr-FR"/>
              </w:rPr>
              <w:t>Selon Jean-Louis Rey, la Cades ne pourra pas prendre en charge les futurs déficits de la Sécurité sociale, sans redressement "crédible" des comptes de la branche Maladie. Celle-ci compte pour 9,5 Md€ de déficit en 2023. Quant à la branche Vieillesse, elle cumule 0,5 Md€. La Caisse nationale des retraites des agents des collectivités locales et des hospitaliers (CNRACL) souffre également d'un déficit de 7,5 Md€. En 2020, le Conseil constitutionnel avait statué que tout nouveau transfert de dette s’accompagnerait d’une augmentation des recettes, </w:t>
            </w:r>
            <w:r w:rsidRPr="00D83AA1">
              <w:rPr>
                <w:rFonts w:ascii="Arial" w:eastAsia="Times New Roman" w:hAnsi="Arial" w:cs="Arial"/>
                <w:i/>
                <w:iCs/>
                <w:color w:val="000000"/>
                <w:sz w:val="21"/>
                <w:szCs w:val="21"/>
                <w:lang w:eastAsia="fr-FR"/>
              </w:rPr>
              <w:t>via </w:t>
            </w:r>
            <w:r w:rsidRPr="00D83AA1">
              <w:rPr>
                <w:rFonts w:ascii="Arial" w:eastAsia="Times New Roman" w:hAnsi="Arial" w:cs="Arial"/>
                <w:color w:val="000000"/>
                <w:sz w:val="21"/>
                <w:szCs w:val="21"/>
                <w:lang w:eastAsia="fr-FR"/>
              </w:rPr>
              <w:t>des contributions comme la Contribution sociale généralisée (CSG). Selon ce dernier, il ne sera pas possible pour la Cades de prendre en charge une part plus importante de déficit.</w:t>
            </w:r>
          </w:p>
          <w:p w14:paraId="43CB1A7A" w14:textId="77777777" w:rsidR="00D83AA1" w:rsidRPr="00D83AA1" w:rsidRDefault="00D83AA1" w:rsidP="00D83AA1">
            <w:pPr>
              <w:rPr>
                <w:rFonts w:ascii="Arial" w:eastAsia="Times New Roman" w:hAnsi="Arial" w:cs="Arial"/>
                <w:color w:val="000000"/>
                <w:sz w:val="21"/>
                <w:szCs w:val="21"/>
                <w:lang w:eastAsia="fr-FR"/>
              </w:rPr>
            </w:pPr>
          </w:p>
          <w:p w14:paraId="61C38F36" w14:textId="77777777" w:rsidR="00D83AA1" w:rsidRPr="00D83AA1" w:rsidRDefault="00D83AA1" w:rsidP="00D83AA1">
            <w:pPr>
              <w:rPr>
                <w:rFonts w:ascii="Arial" w:eastAsia="Times New Roman" w:hAnsi="Arial" w:cs="Arial"/>
                <w:color w:val="000000"/>
                <w:sz w:val="21"/>
                <w:szCs w:val="21"/>
                <w:lang w:eastAsia="fr-FR"/>
              </w:rPr>
            </w:pPr>
            <w:r w:rsidRPr="00D83AA1">
              <w:rPr>
                <w:rFonts w:ascii="Arial" w:eastAsia="Times New Roman" w:hAnsi="Arial" w:cs="Arial"/>
                <w:color w:val="000000"/>
                <w:sz w:val="21"/>
                <w:szCs w:val="21"/>
                <w:lang w:eastAsia="fr-FR"/>
              </w:rPr>
              <w:t>&gt; </w:t>
            </w:r>
            <w:hyperlink r:id="rId9" w:tgtFrame="_blank" w:history="1">
              <w:r w:rsidRPr="00D83AA1">
                <w:rPr>
                  <w:rFonts w:ascii="Arial" w:eastAsia="Times New Roman" w:hAnsi="Arial" w:cs="Arial"/>
                  <w:color w:val="760049"/>
                  <w:sz w:val="21"/>
                  <w:szCs w:val="21"/>
                  <w:u w:val="single"/>
                  <w:lang w:eastAsia="fr-FR"/>
                </w:rPr>
                <w:t>Retour sur 2023 et annonce du programme indicatif de financement pour 2024</w:t>
              </w:r>
            </w:hyperlink>
            <w:r w:rsidRPr="00D83AA1">
              <w:rPr>
                <w:rFonts w:ascii="Arial" w:eastAsia="Times New Roman" w:hAnsi="Arial" w:cs="Arial"/>
                <w:color w:val="000000"/>
                <w:sz w:val="21"/>
                <w:szCs w:val="21"/>
                <w:lang w:eastAsia="fr-FR"/>
              </w:rPr>
              <w:t> - Cades, 12 décembre 2023</w:t>
            </w:r>
          </w:p>
          <w:p w14:paraId="265A031B" w14:textId="77777777" w:rsidR="00D83AA1" w:rsidRPr="00D83AA1" w:rsidRDefault="00D83AA1" w:rsidP="00D83AA1">
            <w:pPr>
              <w:rPr>
                <w:rFonts w:ascii="Arial" w:eastAsia="Times New Roman" w:hAnsi="Arial" w:cs="Arial"/>
                <w:color w:val="000000"/>
                <w:sz w:val="21"/>
                <w:szCs w:val="21"/>
                <w:lang w:eastAsia="fr-FR"/>
              </w:rPr>
            </w:pPr>
            <w:r w:rsidRPr="00D83AA1">
              <w:rPr>
                <w:rFonts w:ascii="Arial" w:eastAsia="Times New Roman" w:hAnsi="Arial" w:cs="Arial"/>
                <w:color w:val="000000"/>
                <w:sz w:val="21"/>
                <w:szCs w:val="21"/>
                <w:lang w:eastAsia="fr-FR"/>
              </w:rPr>
              <w:t>&gt; </w:t>
            </w:r>
            <w:hyperlink r:id="rId10" w:tgtFrame="_blank" w:history="1">
              <w:r w:rsidRPr="00D83AA1">
                <w:rPr>
                  <w:rFonts w:ascii="Arial" w:eastAsia="Times New Roman" w:hAnsi="Arial" w:cs="Arial"/>
                  <w:color w:val="760049"/>
                  <w:sz w:val="21"/>
                  <w:szCs w:val="21"/>
                  <w:u w:val="single"/>
                  <w:lang w:eastAsia="fr-FR"/>
                </w:rPr>
                <w:t>L’État mis en garde sur les déficits à venir de la Sécu</w:t>
              </w:r>
            </w:hyperlink>
            <w:r w:rsidRPr="00D83AA1">
              <w:rPr>
                <w:rFonts w:ascii="Arial" w:eastAsia="Times New Roman" w:hAnsi="Arial" w:cs="Arial"/>
                <w:color w:val="000000"/>
                <w:sz w:val="21"/>
                <w:szCs w:val="21"/>
                <w:lang w:eastAsia="fr-FR"/>
              </w:rPr>
              <w:t xml:space="preserve"> - </w:t>
            </w:r>
            <w:proofErr w:type="spellStart"/>
            <w:r w:rsidRPr="00D83AA1">
              <w:rPr>
                <w:rFonts w:ascii="Arial" w:eastAsia="Times New Roman" w:hAnsi="Arial" w:cs="Arial"/>
                <w:color w:val="000000"/>
                <w:sz w:val="21"/>
                <w:szCs w:val="21"/>
                <w:lang w:eastAsia="fr-FR"/>
              </w:rPr>
              <w:t>Egora</w:t>
            </w:r>
            <w:proofErr w:type="spellEnd"/>
            <w:r w:rsidRPr="00D83AA1">
              <w:rPr>
                <w:rFonts w:ascii="Arial" w:eastAsia="Times New Roman" w:hAnsi="Arial" w:cs="Arial"/>
                <w:color w:val="000000"/>
                <w:sz w:val="21"/>
                <w:szCs w:val="21"/>
                <w:lang w:eastAsia="fr-FR"/>
              </w:rPr>
              <w:t>, 12 décembre 2023, M.J. avec AFP</w:t>
            </w:r>
          </w:p>
        </w:tc>
      </w:tr>
    </w:tbl>
    <w:p w14:paraId="20805BF0" w14:textId="77777777" w:rsidR="00D83AA1" w:rsidRDefault="00D83AA1" w:rsidP="00DF33A9">
      <w:pPr>
        <w:pStyle w:val="Paragraphe"/>
      </w:pPr>
    </w:p>
    <w:tbl>
      <w:tblPr>
        <w:tblW w:w="5000" w:type="pct"/>
        <w:jc w:val="center"/>
        <w:shd w:val="clear" w:color="auto" w:fill="FFFFFF"/>
        <w:tblCellMar>
          <w:left w:w="0" w:type="dxa"/>
          <w:right w:w="0" w:type="dxa"/>
        </w:tblCellMar>
        <w:tblLook w:val="04A0" w:firstRow="1" w:lastRow="0" w:firstColumn="1" w:lastColumn="0" w:noHBand="0" w:noVBand="1"/>
      </w:tblPr>
      <w:tblGrid>
        <w:gridCol w:w="343"/>
        <w:gridCol w:w="8597"/>
        <w:gridCol w:w="132"/>
        <w:gridCol w:w="560"/>
      </w:tblGrid>
      <w:tr w:rsidR="00A258B8" w:rsidRPr="00A258B8" w14:paraId="70E6257E" w14:textId="77777777" w:rsidTr="00796898">
        <w:trPr>
          <w:jc w:val="center"/>
        </w:trPr>
        <w:tc>
          <w:tcPr>
            <w:tcW w:w="343" w:type="dxa"/>
            <w:shd w:val="clear" w:color="auto" w:fill="FFFFFF"/>
            <w:vAlign w:val="center"/>
            <w:hideMark/>
          </w:tcPr>
          <w:p w14:paraId="31D0672C" w14:textId="77777777" w:rsidR="00A258B8" w:rsidRPr="00A258B8" w:rsidRDefault="00A258B8" w:rsidP="00A258B8">
            <w:pPr>
              <w:spacing w:line="15" w:lineRule="atLeast"/>
              <w:rPr>
                <w:rFonts w:ascii="Arial" w:eastAsia="Times New Roman" w:hAnsi="Arial" w:cs="Arial"/>
                <w:color w:val="000000"/>
                <w:sz w:val="2"/>
                <w:szCs w:val="2"/>
                <w:lang w:eastAsia="fr-FR"/>
              </w:rPr>
            </w:pPr>
            <w:r w:rsidRPr="00A258B8">
              <w:rPr>
                <w:rFonts w:ascii="Arial" w:eastAsia="Times New Roman" w:hAnsi="Arial" w:cs="Arial"/>
                <w:color w:val="000000"/>
                <w:sz w:val="2"/>
                <w:szCs w:val="2"/>
                <w:lang w:eastAsia="fr-FR"/>
              </w:rPr>
              <w:br/>
              <w:t> </w:t>
            </w:r>
          </w:p>
        </w:tc>
        <w:tc>
          <w:tcPr>
            <w:tcW w:w="9289" w:type="dxa"/>
            <w:gridSpan w:val="3"/>
            <w:shd w:val="clear" w:color="auto" w:fill="FFFFFF"/>
            <w:hideMark/>
          </w:tcPr>
          <w:tbl>
            <w:tblPr>
              <w:tblW w:w="8940" w:type="dxa"/>
              <w:jc w:val="center"/>
              <w:tblCellMar>
                <w:left w:w="0" w:type="dxa"/>
                <w:right w:w="0" w:type="dxa"/>
              </w:tblCellMar>
              <w:tblLook w:val="04A0" w:firstRow="1" w:lastRow="0" w:firstColumn="1" w:lastColumn="0" w:noHBand="0" w:noVBand="1"/>
            </w:tblPr>
            <w:tblGrid>
              <w:gridCol w:w="8940"/>
            </w:tblGrid>
            <w:tr w:rsidR="00A258B8" w:rsidRPr="00A258B8" w14:paraId="2227C4EF" w14:textId="77777777" w:rsidTr="00A258B8">
              <w:trPr>
                <w:jc w:val="center"/>
              </w:trPr>
              <w:tc>
                <w:tcPr>
                  <w:tcW w:w="8940" w:type="dxa"/>
                  <w:hideMark/>
                </w:tcPr>
                <w:p w14:paraId="7F8A6474" w14:textId="6BC1EE80" w:rsidR="00A258B8" w:rsidRPr="00B90135" w:rsidRDefault="00A258B8" w:rsidP="00B90135">
                  <w:pPr>
                    <w:pStyle w:val="Paragraphedeliste"/>
                    <w:numPr>
                      <w:ilvl w:val="0"/>
                      <w:numId w:val="34"/>
                    </w:numPr>
                    <w:rPr>
                      <w:rFonts w:ascii="Arial" w:hAnsi="Arial" w:cs="Arial"/>
                      <w:b/>
                      <w:bCs/>
                      <w:color w:val="760049"/>
                    </w:rPr>
                  </w:pPr>
                  <w:r w:rsidRPr="00B90135">
                    <w:rPr>
                      <w:rFonts w:ascii="Arial" w:hAnsi="Arial" w:cs="Arial"/>
                      <w:b/>
                      <w:bCs/>
                      <w:color w:val="760049"/>
                    </w:rPr>
                    <w:t>Les montants des différentes franchises vont doubler prochainement</w:t>
                  </w:r>
                </w:p>
                <w:p w14:paraId="2312C54C" w14:textId="77777777" w:rsidR="00796898" w:rsidRPr="00A258B8" w:rsidRDefault="00796898" w:rsidP="00A258B8">
                  <w:pPr>
                    <w:rPr>
                      <w:rFonts w:ascii="Arial" w:eastAsia="Times New Roman" w:hAnsi="Arial" w:cs="Arial"/>
                      <w:color w:val="000000"/>
                      <w:sz w:val="21"/>
                      <w:szCs w:val="21"/>
                      <w:lang w:eastAsia="fr-FR"/>
                    </w:rPr>
                  </w:pPr>
                </w:p>
              </w:tc>
            </w:tr>
            <w:tr w:rsidR="00A258B8" w:rsidRPr="00A258B8" w14:paraId="1C5F040E" w14:textId="77777777">
              <w:trPr>
                <w:trHeight w:val="150"/>
                <w:jc w:val="center"/>
              </w:trPr>
              <w:tc>
                <w:tcPr>
                  <w:tcW w:w="0" w:type="auto"/>
                  <w:vAlign w:val="center"/>
                  <w:hideMark/>
                </w:tcPr>
                <w:p w14:paraId="6ABAD3DF" w14:textId="77777777" w:rsidR="00A258B8" w:rsidRPr="00A258B8" w:rsidRDefault="00A258B8" w:rsidP="00A258B8">
                  <w:pPr>
                    <w:spacing w:line="15" w:lineRule="atLeast"/>
                    <w:rPr>
                      <w:rFonts w:ascii="Arial" w:eastAsia="Times New Roman" w:hAnsi="Arial" w:cs="Arial"/>
                      <w:sz w:val="2"/>
                      <w:szCs w:val="2"/>
                      <w:lang w:eastAsia="fr-FR"/>
                    </w:rPr>
                  </w:pPr>
                  <w:r w:rsidRPr="00A258B8">
                    <w:rPr>
                      <w:rFonts w:ascii="Arial" w:eastAsia="Times New Roman" w:hAnsi="Arial" w:cs="Arial"/>
                      <w:sz w:val="2"/>
                      <w:szCs w:val="2"/>
                      <w:lang w:eastAsia="fr-FR"/>
                    </w:rPr>
                    <w:t> </w:t>
                  </w:r>
                </w:p>
              </w:tc>
            </w:tr>
            <w:tr w:rsidR="00A258B8" w:rsidRPr="00A258B8" w14:paraId="3B1BB135" w14:textId="77777777">
              <w:trPr>
                <w:jc w:val="center"/>
              </w:trPr>
              <w:tc>
                <w:tcPr>
                  <w:tcW w:w="8940" w:type="dxa"/>
                  <w:hideMark/>
                </w:tcPr>
                <w:p w14:paraId="042B5219"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25/01/2024- La France se situe au troisième rang mondial des dépenses dans le domaine de la santé, avec près de 12% du PIB national. Les dépenses d’Assurance maladie ont augmenté de près de 20% entre 2018 et 2022 (hors Covid-19). Le reste à charge des patients a baissé pour passer de 9% en 2011 à 7% en 2021 : il s’agit du niveau le plus faible de l’OCDE, après le Luxembourg. Dans un contexte de déficit chronique de l'Assurance maladie, les pouvoirs publics appellent à une plus grande responsabilisation et une participation accrue des Français au financement du système de santé.</w:t>
                  </w:r>
                </w:p>
                <w:p w14:paraId="0CF947BA" w14:textId="77777777" w:rsidR="00A258B8" w:rsidRPr="00A258B8" w:rsidRDefault="00A258B8" w:rsidP="00A258B8">
                  <w:pPr>
                    <w:rPr>
                      <w:rFonts w:ascii="Arial" w:eastAsia="Times New Roman" w:hAnsi="Arial" w:cs="Arial"/>
                      <w:color w:val="000000"/>
                      <w:sz w:val="21"/>
                      <w:szCs w:val="21"/>
                      <w:lang w:eastAsia="fr-FR"/>
                    </w:rPr>
                  </w:pPr>
                </w:p>
                <w:p w14:paraId="5241585A"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lastRenderedPageBreak/>
                    <w:t>Le Gouvernement a ainsi décidé de doubler le montant des différentes franchises, jamais augmentés depuis leur création. Les nouveaux montants devraient entrer en vigueur progressivement, d'ici mi-juin. Ils concernent : </w:t>
                  </w:r>
                </w:p>
                <w:p w14:paraId="2FE74DDC" w14:textId="77777777" w:rsidR="00A258B8" w:rsidRPr="00A258B8" w:rsidRDefault="00A258B8" w:rsidP="00A258B8">
                  <w:pPr>
                    <w:numPr>
                      <w:ilvl w:val="0"/>
                      <w:numId w:val="32"/>
                    </w:numPr>
                    <w:spacing w:before="100" w:beforeAutospacing="1" w:after="100" w:afterAutospacing="1"/>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La franchise médicale, qui s’applique sur les boîtes de médicaments et les actes paramédicaux (passant de 0,50 € à 1 €) ainsi que celle sur les transports sanitaires (de 2 € à 4 €),</w:t>
                  </w:r>
                </w:p>
                <w:p w14:paraId="57A2D09B" w14:textId="77777777" w:rsidR="00A258B8" w:rsidRPr="00A258B8" w:rsidRDefault="00A258B8" w:rsidP="00A258B8">
                  <w:pPr>
                    <w:numPr>
                      <w:ilvl w:val="0"/>
                      <w:numId w:val="32"/>
                    </w:numPr>
                    <w:spacing w:before="100" w:beforeAutospacing="1" w:after="100" w:afterAutospacing="1"/>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La participation forfaitaire qui s’applique aux actes et consultations réalisés par un médecin, ainsi qu’aux examens et analyses de biologie médicale (de 1 € à 2 €).</w:t>
                  </w:r>
                </w:p>
                <w:p w14:paraId="1C29A26D"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Ces mesures concernent l’ensemble des assurés, à l’exception des mineurs, des femmes qui bénéficient de l’assurance maternité, et des bénéficiaires de la complémentaire santé solidaire (C2S). Le plafond annuel (50 €) est néanmoins maintenu afin de protéger les patients atteints de pathologies lourdes.</w:t>
                  </w:r>
                </w:p>
                <w:p w14:paraId="0448FA74" w14:textId="77777777" w:rsidR="00A258B8" w:rsidRPr="00A258B8" w:rsidRDefault="00A258B8" w:rsidP="00A258B8">
                  <w:pPr>
                    <w:rPr>
                      <w:rFonts w:ascii="Arial" w:eastAsia="Times New Roman" w:hAnsi="Arial" w:cs="Arial"/>
                      <w:color w:val="000000"/>
                      <w:sz w:val="21"/>
                      <w:szCs w:val="21"/>
                      <w:lang w:eastAsia="fr-FR"/>
                    </w:rPr>
                  </w:pPr>
                </w:p>
                <w:p w14:paraId="7EBCF939"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&gt; </w:t>
                  </w:r>
                  <w:hyperlink r:id="rId11" w:tgtFrame="_blank" w:history="1">
                    <w:r w:rsidRPr="00A258B8">
                      <w:rPr>
                        <w:rFonts w:ascii="Arial" w:eastAsia="Times New Roman" w:hAnsi="Arial" w:cs="Arial"/>
                        <w:color w:val="760049"/>
                        <w:sz w:val="21"/>
                        <w:szCs w:val="21"/>
                        <w:u w:val="single"/>
                        <w:lang w:eastAsia="fr-FR"/>
                      </w:rPr>
                      <w:t>Fixation des tarifs des franchises et participations forfaitaires</w:t>
                    </w:r>
                  </w:hyperlink>
                  <w:r w:rsidRPr="00A258B8">
                    <w:rPr>
                      <w:rFonts w:ascii="Arial" w:eastAsia="Times New Roman" w:hAnsi="Arial" w:cs="Arial"/>
                      <w:color w:val="000000"/>
                      <w:sz w:val="21"/>
                      <w:szCs w:val="21"/>
                      <w:lang w:eastAsia="fr-FR"/>
                    </w:rPr>
                    <w:t> - Communiqué de presse du ministère du Travail, de la Santé et des Solidarités, 22 janvier 2024</w:t>
                  </w:r>
                </w:p>
                <w:p w14:paraId="6EAB424F"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&gt; </w:t>
                  </w:r>
                  <w:hyperlink r:id="rId12" w:tgtFrame="_blank" w:history="1">
                    <w:r w:rsidRPr="00A258B8">
                      <w:rPr>
                        <w:rFonts w:ascii="Arial" w:eastAsia="Times New Roman" w:hAnsi="Arial" w:cs="Arial"/>
                        <w:color w:val="760049"/>
                        <w:sz w:val="21"/>
                        <w:szCs w:val="21"/>
                        <w:u w:val="single"/>
                        <w:lang w:eastAsia="fr-FR"/>
                      </w:rPr>
                      <w:t>Le doublement des franchises médicales sera effectif "fin mars", annonce le gouvernement</w:t>
                    </w:r>
                  </w:hyperlink>
                  <w:r w:rsidRPr="00A258B8">
                    <w:rPr>
                      <w:rFonts w:ascii="Arial" w:eastAsia="Times New Roman" w:hAnsi="Arial" w:cs="Arial"/>
                      <w:color w:val="000000"/>
                      <w:sz w:val="21"/>
                      <w:szCs w:val="21"/>
                      <w:lang w:eastAsia="fr-FR"/>
                    </w:rPr>
                    <w:t> - Le Parisien, 22 janvier 2024, Le Parisien avec AFP</w:t>
                  </w:r>
                </w:p>
              </w:tc>
            </w:tr>
          </w:tbl>
          <w:p w14:paraId="306A164C" w14:textId="77777777" w:rsidR="00A258B8" w:rsidRPr="00A258B8" w:rsidRDefault="00A258B8" w:rsidP="00A258B8">
            <w:pPr>
              <w:rPr>
                <w:rFonts w:ascii="Arial" w:eastAsia="Times New Roman" w:hAnsi="Arial" w:cs="Arial"/>
                <w:color w:val="000000"/>
                <w:sz w:val="21"/>
                <w:szCs w:val="21"/>
                <w:lang w:eastAsia="fr-FR"/>
              </w:rPr>
            </w:pPr>
          </w:p>
        </w:tc>
      </w:tr>
      <w:tr w:rsidR="00A258B8" w:rsidRPr="00A258B8" w14:paraId="3A91BAF3" w14:textId="77777777" w:rsidTr="00796898">
        <w:trPr>
          <w:gridAfter w:val="1"/>
          <w:wAfter w:w="560" w:type="dxa"/>
          <w:jc w:val="center"/>
        </w:trPr>
        <w:tc>
          <w:tcPr>
            <w:tcW w:w="9072" w:type="dxa"/>
            <w:gridSpan w:val="3"/>
            <w:shd w:val="clear" w:color="auto" w:fill="FFFFFF"/>
            <w:hideMark/>
          </w:tcPr>
          <w:p w14:paraId="3442805B" w14:textId="77777777" w:rsidR="00A258B8" w:rsidRDefault="00A258B8" w:rsidP="00A258B8">
            <w:pPr>
              <w:rPr>
                <w:rFonts w:ascii="Arial" w:eastAsia="Times New Roman" w:hAnsi="Arial" w:cs="Arial"/>
                <w:color w:val="000000"/>
                <w:sz w:val="21"/>
                <w:szCs w:val="21"/>
                <w:lang w:eastAsia="fr-FR"/>
              </w:rPr>
            </w:pPr>
          </w:p>
          <w:tbl>
            <w:tblPr>
              <w:tblW w:w="8940" w:type="dxa"/>
              <w:jc w:val="center"/>
              <w:tblCellMar>
                <w:left w:w="0" w:type="dxa"/>
                <w:right w:w="0" w:type="dxa"/>
              </w:tblCellMar>
              <w:tblLook w:val="04A0" w:firstRow="1" w:lastRow="0" w:firstColumn="1" w:lastColumn="0" w:noHBand="0" w:noVBand="1"/>
            </w:tblPr>
            <w:tblGrid>
              <w:gridCol w:w="8940"/>
            </w:tblGrid>
            <w:tr w:rsidR="00796898" w:rsidRPr="00796898" w14:paraId="13BD1B03" w14:textId="77777777" w:rsidTr="00796898">
              <w:trPr>
                <w:jc w:val="center"/>
              </w:trPr>
              <w:tc>
                <w:tcPr>
                  <w:tcW w:w="8940" w:type="dxa"/>
                  <w:hideMark/>
                </w:tcPr>
                <w:p w14:paraId="4B7CF483" w14:textId="46176E52" w:rsidR="00796898" w:rsidRPr="00B90135" w:rsidRDefault="00796898" w:rsidP="00B90135">
                  <w:pPr>
                    <w:rPr>
                      <w:rFonts w:ascii="Arial" w:hAnsi="Arial" w:cs="Arial"/>
                      <w:color w:val="000000"/>
                      <w:sz w:val="21"/>
                      <w:szCs w:val="21"/>
                    </w:rPr>
                  </w:pPr>
                  <w:r w:rsidRPr="00B90135">
                    <w:rPr>
                      <w:rFonts w:ascii="Arial" w:hAnsi="Arial" w:cs="Arial"/>
                      <w:b/>
                      <w:bCs/>
                      <w:color w:val="760049"/>
                    </w:rPr>
                    <w:t>Le conseil de la Caisse nationale d’Assurance maladie s’oppose au doublement des franchises et des participations forfaitaires aux frais de santé</w:t>
                  </w:r>
                </w:p>
              </w:tc>
            </w:tr>
            <w:tr w:rsidR="00796898" w:rsidRPr="00796898" w14:paraId="245E08B2" w14:textId="77777777" w:rsidTr="00796898">
              <w:trPr>
                <w:trHeight w:val="150"/>
                <w:jc w:val="center"/>
              </w:trPr>
              <w:tc>
                <w:tcPr>
                  <w:tcW w:w="0" w:type="auto"/>
                  <w:vAlign w:val="center"/>
                  <w:hideMark/>
                </w:tcPr>
                <w:p w14:paraId="58C1F843" w14:textId="77777777" w:rsidR="00796898" w:rsidRPr="00796898" w:rsidRDefault="00796898" w:rsidP="00796898">
                  <w:pPr>
                    <w:spacing w:line="15" w:lineRule="atLeast"/>
                    <w:rPr>
                      <w:rFonts w:ascii="Arial" w:eastAsia="Times New Roman" w:hAnsi="Arial" w:cs="Arial"/>
                      <w:sz w:val="2"/>
                      <w:szCs w:val="2"/>
                      <w:lang w:eastAsia="fr-FR"/>
                    </w:rPr>
                  </w:pPr>
                  <w:r w:rsidRPr="00796898">
                    <w:rPr>
                      <w:rFonts w:ascii="Arial" w:eastAsia="Times New Roman" w:hAnsi="Arial" w:cs="Arial"/>
                      <w:sz w:val="2"/>
                      <w:szCs w:val="2"/>
                      <w:lang w:eastAsia="fr-FR"/>
                    </w:rPr>
                    <w:t> </w:t>
                  </w:r>
                </w:p>
              </w:tc>
            </w:tr>
            <w:tr w:rsidR="00796898" w:rsidRPr="00796898" w14:paraId="3C851598" w14:textId="77777777" w:rsidTr="00796898">
              <w:trPr>
                <w:jc w:val="center"/>
              </w:trPr>
              <w:tc>
                <w:tcPr>
                  <w:tcW w:w="8940" w:type="dxa"/>
                  <w:hideMark/>
                </w:tcPr>
                <w:p w14:paraId="46804CC9"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08/02/2024- Comme annoncé par le président de la République, Emmanuel Macron, le 6 janvier 2024, les franchises et participations aux frais de santé seront augmentées au cours de l’année. Les ministères concernés ont soumis au conseil de la Cnam trois projets de décret pour avis préalable.</w:t>
                  </w:r>
                </w:p>
                <w:p w14:paraId="430E96BB" w14:textId="77777777" w:rsidR="00796898" w:rsidRPr="00796898" w:rsidRDefault="00796898" w:rsidP="00796898">
                  <w:pPr>
                    <w:rPr>
                      <w:rFonts w:ascii="Arial" w:eastAsia="Times New Roman" w:hAnsi="Arial" w:cs="Arial"/>
                      <w:color w:val="000000"/>
                      <w:sz w:val="21"/>
                      <w:szCs w:val="21"/>
                      <w:lang w:eastAsia="fr-FR"/>
                    </w:rPr>
                  </w:pPr>
                </w:p>
                <w:p w14:paraId="5D89D8F7"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Le conseil de la Cnam a rejeté les trois projets de décrets le 1er février. Parmi les membres du conseil composé des partenaires sociaux, seul le Medef s’est exprimé en faveur de ces projets. L'U2P et la CPME ont pris acte. Les membres qui ont manifesté un avis défavorable dénoncent une forme de taxe sur les malades, les assurés ne faisant, selon eux, que suivre les prescriptions médicales.</w:t>
                  </w:r>
                </w:p>
                <w:p w14:paraId="0C556289" w14:textId="77777777" w:rsidR="00796898" w:rsidRPr="00796898" w:rsidRDefault="00796898" w:rsidP="00796898">
                  <w:pPr>
                    <w:rPr>
                      <w:rFonts w:ascii="Arial" w:eastAsia="Times New Roman" w:hAnsi="Arial" w:cs="Arial"/>
                      <w:color w:val="000000"/>
                      <w:sz w:val="21"/>
                      <w:szCs w:val="21"/>
                      <w:lang w:eastAsia="fr-FR"/>
                    </w:rPr>
                  </w:pPr>
                </w:p>
                <w:p w14:paraId="42B1DD56"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&gt; </w:t>
                  </w:r>
                  <w:hyperlink r:id="rId13" w:tgtFrame="_blank" w:history="1">
                    <w:r w:rsidRPr="00796898">
                      <w:rPr>
                        <w:rFonts w:ascii="Arial" w:eastAsia="Times New Roman" w:hAnsi="Arial" w:cs="Arial"/>
                        <w:color w:val="760049"/>
                        <w:sz w:val="21"/>
                        <w:szCs w:val="21"/>
                        <w:u w:val="single"/>
                        <w:lang w:eastAsia="fr-FR"/>
                      </w:rPr>
                      <w:t>Le gouvernement prévoit le doublement des franchises médicales à partir de fin mars</w:t>
                    </w:r>
                  </w:hyperlink>
                  <w:r w:rsidRPr="00796898">
                    <w:rPr>
                      <w:rFonts w:ascii="Arial" w:eastAsia="Times New Roman" w:hAnsi="Arial" w:cs="Arial"/>
                      <w:color w:val="000000"/>
                      <w:sz w:val="21"/>
                      <w:szCs w:val="21"/>
                      <w:lang w:eastAsia="fr-FR"/>
                    </w:rPr>
                    <w:t xml:space="preserve"> - France bleu, 22 janvier 2024, Victor </w:t>
                  </w:r>
                  <w:proofErr w:type="spellStart"/>
                  <w:r w:rsidRPr="00796898">
                    <w:rPr>
                      <w:rFonts w:ascii="Arial" w:eastAsia="Times New Roman" w:hAnsi="Arial" w:cs="Arial"/>
                      <w:color w:val="000000"/>
                      <w:sz w:val="21"/>
                      <w:szCs w:val="21"/>
                      <w:lang w:eastAsia="fr-FR"/>
                    </w:rPr>
                    <w:t>Tribot</w:t>
                  </w:r>
                  <w:proofErr w:type="spellEnd"/>
                  <w:r w:rsidRPr="00796898">
                    <w:rPr>
                      <w:rFonts w:ascii="Arial" w:eastAsia="Times New Roman" w:hAnsi="Arial" w:cs="Arial"/>
                      <w:color w:val="000000"/>
                      <w:sz w:val="21"/>
                      <w:szCs w:val="21"/>
                      <w:lang w:eastAsia="fr-FR"/>
                    </w:rPr>
                    <w:t xml:space="preserve"> </w:t>
                  </w:r>
                  <w:proofErr w:type="spellStart"/>
                  <w:r w:rsidRPr="00796898">
                    <w:rPr>
                      <w:rFonts w:ascii="Arial" w:eastAsia="Times New Roman" w:hAnsi="Arial" w:cs="Arial"/>
                      <w:color w:val="000000"/>
                      <w:sz w:val="21"/>
                      <w:szCs w:val="21"/>
                      <w:lang w:eastAsia="fr-FR"/>
                    </w:rPr>
                    <w:t>Laspière</w:t>
                  </w:r>
                  <w:proofErr w:type="spellEnd"/>
                </w:p>
              </w:tc>
            </w:tr>
          </w:tbl>
          <w:p w14:paraId="3B98855E" w14:textId="77777777" w:rsidR="00796898" w:rsidRPr="00A258B8" w:rsidRDefault="00796898" w:rsidP="00A258B8">
            <w:pPr>
              <w:rPr>
                <w:rFonts w:ascii="Arial" w:eastAsia="Times New Roman" w:hAnsi="Arial" w:cs="Arial"/>
                <w:color w:val="000000"/>
                <w:sz w:val="21"/>
                <w:szCs w:val="21"/>
                <w:lang w:eastAsia="fr-FR"/>
              </w:rPr>
            </w:pPr>
          </w:p>
          <w:tbl>
            <w:tblPr>
              <w:tblW w:w="8940" w:type="dxa"/>
              <w:jc w:val="center"/>
              <w:tblCellMar>
                <w:left w:w="0" w:type="dxa"/>
                <w:right w:w="0" w:type="dxa"/>
              </w:tblCellMar>
              <w:tblLook w:val="04A0" w:firstRow="1" w:lastRow="0" w:firstColumn="1" w:lastColumn="0" w:noHBand="0" w:noVBand="1"/>
            </w:tblPr>
            <w:tblGrid>
              <w:gridCol w:w="8940"/>
            </w:tblGrid>
            <w:tr w:rsidR="00A258B8" w:rsidRPr="00A258B8" w14:paraId="02A7D856" w14:textId="77777777" w:rsidTr="00A258B8">
              <w:trPr>
                <w:jc w:val="center"/>
              </w:trPr>
              <w:tc>
                <w:tcPr>
                  <w:tcW w:w="8940" w:type="dxa"/>
                  <w:hideMark/>
                </w:tcPr>
                <w:p w14:paraId="7642FB19" w14:textId="2B6C709E" w:rsidR="00A258B8" w:rsidRPr="00B90135" w:rsidRDefault="00A258B8" w:rsidP="00B90135">
                  <w:pPr>
                    <w:pStyle w:val="Paragraphedeliste"/>
                    <w:numPr>
                      <w:ilvl w:val="0"/>
                      <w:numId w:val="34"/>
                    </w:numPr>
                    <w:rPr>
                      <w:rFonts w:ascii="Arial" w:hAnsi="Arial" w:cs="Arial"/>
                      <w:color w:val="000000"/>
                      <w:sz w:val="21"/>
                      <w:szCs w:val="21"/>
                    </w:rPr>
                  </w:pPr>
                  <w:r w:rsidRPr="00B90135">
                    <w:rPr>
                      <w:rFonts w:ascii="Arial" w:hAnsi="Arial" w:cs="Arial"/>
                      <w:b/>
                      <w:bCs/>
                      <w:color w:val="760049"/>
                    </w:rPr>
                    <w:t>L'arrêt de travail sans délai de carence, désormais possible en cas de fausse couche</w:t>
                  </w:r>
                </w:p>
              </w:tc>
            </w:tr>
            <w:tr w:rsidR="00A258B8" w:rsidRPr="00A258B8" w14:paraId="658016F8" w14:textId="77777777">
              <w:trPr>
                <w:trHeight w:val="150"/>
                <w:jc w:val="center"/>
              </w:trPr>
              <w:tc>
                <w:tcPr>
                  <w:tcW w:w="0" w:type="auto"/>
                  <w:vAlign w:val="center"/>
                  <w:hideMark/>
                </w:tcPr>
                <w:p w14:paraId="7C22FE3B" w14:textId="77777777" w:rsidR="00A258B8" w:rsidRPr="00A258B8" w:rsidRDefault="00A258B8" w:rsidP="00A258B8">
                  <w:pPr>
                    <w:spacing w:line="15" w:lineRule="atLeast"/>
                    <w:rPr>
                      <w:rFonts w:ascii="Arial" w:eastAsia="Times New Roman" w:hAnsi="Arial" w:cs="Arial"/>
                      <w:sz w:val="2"/>
                      <w:szCs w:val="2"/>
                      <w:lang w:eastAsia="fr-FR"/>
                    </w:rPr>
                  </w:pPr>
                  <w:r w:rsidRPr="00A258B8">
                    <w:rPr>
                      <w:rFonts w:ascii="Arial" w:eastAsia="Times New Roman" w:hAnsi="Arial" w:cs="Arial"/>
                      <w:sz w:val="2"/>
                      <w:szCs w:val="2"/>
                      <w:lang w:eastAsia="fr-FR"/>
                    </w:rPr>
                    <w:t> </w:t>
                  </w:r>
                </w:p>
              </w:tc>
            </w:tr>
            <w:tr w:rsidR="00A258B8" w:rsidRPr="00A258B8" w14:paraId="02445992" w14:textId="77777777">
              <w:trPr>
                <w:jc w:val="center"/>
              </w:trPr>
              <w:tc>
                <w:tcPr>
                  <w:tcW w:w="8940" w:type="dxa"/>
                  <w:hideMark/>
                </w:tcPr>
                <w:p w14:paraId="407AF3E3" w14:textId="54148E0F"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18/01/2024- Depuis le 1er janvier 2024, en cas d’interruption spontanée de grossesse (fausse couche), il est possible de bénéficier d’un arrêt de travail pour maladie sans application du délai de carence. L'indemnisation de l’Assurance maladie intervient donc à partir du premier jour d’arrêt.</w:t>
                  </w:r>
                  <w:r>
                    <w:rPr>
                      <w:rFonts w:ascii="Arial" w:eastAsia="Times New Roman" w:hAnsi="Arial" w:cs="Arial"/>
                      <w:color w:val="000000"/>
                      <w:sz w:val="21"/>
                      <w:szCs w:val="21"/>
                      <w:lang w:eastAsia="fr-FR"/>
                    </w:rPr>
                    <w:t xml:space="preserve"> </w:t>
                  </w:r>
                  <w:r w:rsidRPr="00A258B8">
                    <w:rPr>
                      <w:rFonts w:ascii="Arial" w:eastAsia="Times New Roman" w:hAnsi="Arial" w:cs="Arial"/>
                      <w:color w:val="000000"/>
                      <w:sz w:val="21"/>
                      <w:szCs w:val="21"/>
                      <w:lang w:eastAsia="fr-FR"/>
                    </w:rPr>
                    <w:t>Sont éligibles à cette mesure les salariées, les artisanes, les commerçantes ainsi que les professionnelles libérales. </w:t>
                  </w:r>
                </w:p>
                <w:p w14:paraId="47EB1A19" w14:textId="77777777" w:rsidR="00A258B8" w:rsidRPr="00A258B8" w:rsidRDefault="00A258B8" w:rsidP="00A258B8">
                  <w:pPr>
                    <w:rPr>
                      <w:rFonts w:ascii="Arial" w:eastAsia="Times New Roman" w:hAnsi="Arial" w:cs="Arial"/>
                      <w:color w:val="000000"/>
                      <w:sz w:val="21"/>
                      <w:szCs w:val="21"/>
                      <w:lang w:eastAsia="fr-FR"/>
                    </w:rPr>
                  </w:pPr>
                </w:p>
                <w:p w14:paraId="21551F61" w14:textId="7E3ACDE7" w:rsid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&gt; </w:t>
                  </w:r>
                  <w:hyperlink r:id="rId14" w:tgtFrame="_blank" w:history="1">
                    <w:r w:rsidRPr="00A258B8">
                      <w:rPr>
                        <w:rFonts w:ascii="Arial" w:eastAsia="Times New Roman" w:hAnsi="Arial" w:cs="Arial"/>
                        <w:color w:val="760049"/>
                        <w:sz w:val="21"/>
                        <w:szCs w:val="21"/>
                        <w:u w:val="single"/>
                        <w:lang w:eastAsia="fr-FR"/>
                      </w:rPr>
                      <w:t>Fausse couche : la personne concernée peut demander un arrêt de travail sans délai de carence</w:t>
                    </w:r>
                  </w:hyperlink>
                  <w:r w:rsidRPr="00A258B8">
                    <w:rPr>
                      <w:rFonts w:ascii="Arial" w:eastAsia="Times New Roman" w:hAnsi="Arial" w:cs="Arial"/>
                      <w:color w:val="000000"/>
                      <w:sz w:val="21"/>
                      <w:szCs w:val="21"/>
                      <w:lang w:eastAsia="fr-FR"/>
                    </w:rPr>
                    <w:t> - Assurance maladie, 16 janvier 2024</w:t>
                  </w:r>
                </w:p>
                <w:p w14:paraId="069D8345" w14:textId="77777777" w:rsidR="00A258B8" w:rsidRDefault="00A258B8" w:rsidP="00A258B8">
                  <w:pPr>
                    <w:rPr>
                      <w:rFonts w:ascii="Arial" w:eastAsia="Times New Roman" w:hAnsi="Arial" w:cs="Arial"/>
                      <w:color w:val="000000"/>
                      <w:sz w:val="21"/>
                      <w:szCs w:val="21"/>
                      <w:lang w:eastAsia="fr-FR"/>
                    </w:rPr>
                  </w:pPr>
                </w:p>
                <w:tbl>
                  <w:tblPr>
                    <w:tblW w:w="8940" w:type="dxa"/>
                    <w:jc w:val="center"/>
                    <w:tblCellMar>
                      <w:left w:w="0" w:type="dxa"/>
                      <w:right w:w="0" w:type="dxa"/>
                    </w:tblCellMar>
                    <w:tblLook w:val="04A0" w:firstRow="1" w:lastRow="0" w:firstColumn="1" w:lastColumn="0" w:noHBand="0" w:noVBand="1"/>
                  </w:tblPr>
                  <w:tblGrid>
                    <w:gridCol w:w="8940"/>
                  </w:tblGrid>
                  <w:tr w:rsidR="00A258B8" w:rsidRPr="00A258B8" w14:paraId="7CC61972" w14:textId="77777777" w:rsidTr="00A258B8">
                    <w:trPr>
                      <w:jc w:val="center"/>
                    </w:trPr>
                    <w:tc>
                      <w:tcPr>
                        <w:tcW w:w="8940" w:type="dxa"/>
                        <w:hideMark/>
                      </w:tcPr>
                      <w:p w14:paraId="601E12DA" w14:textId="641B8F90" w:rsidR="00A258B8" w:rsidRPr="00B90135" w:rsidRDefault="00A258B8" w:rsidP="00B90135">
                        <w:pPr>
                          <w:pStyle w:val="Paragraphedeliste"/>
                          <w:numPr>
                            <w:ilvl w:val="0"/>
                            <w:numId w:val="34"/>
                          </w:numPr>
                          <w:rPr>
                            <w:rFonts w:ascii="Arial" w:hAnsi="Arial" w:cs="Arial"/>
                            <w:color w:val="000000"/>
                            <w:sz w:val="21"/>
                            <w:szCs w:val="21"/>
                          </w:rPr>
                        </w:pPr>
                        <w:r w:rsidRPr="00B90135">
                          <w:rPr>
                            <w:rFonts w:ascii="Arial" w:hAnsi="Arial" w:cs="Arial"/>
                            <w:b/>
                            <w:bCs/>
                            <w:color w:val="760049"/>
                          </w:rPr>
                          <w:t>L</w:t>
                        </w:r>
                        <w:r w:rsidRPr="00B90135">
                          <w:rPr>
                            <w:rFonts w:ascii="Arial" w:hAnsi="Arial" w:cs="Arial"/>
                            <w:b/>
                            <w:bCs/>
                            <w:color w:val="760049"/>
                          </w:rPr>
                          <w:t>'encadrement des tarifs et des conditions d'installation de la téléconsultation médicale</w:t>
                        </w:r>
                      </w:p>
                    </w:tc>
                  </w:tr>
                  <w:tr w:rsidR="00A258B8" w:rsidRPr="00A258B8" w14:paraId="4B627ED1" w14:textId="77777777" w:rsidTr="00A258B8">
                    <w:trPr>
                      <w:trHeight w:val="150"/>
                      <w:jc w:val="center"/>
                    </w:trPr>
                    <w:tc>
                      <w:tcPr>
                        <w:tcW w:w="0" w:type="auto"/>
                        <w:vAlign w:val="center"/>
                        <w:hideMark/>
                      </w:tcPr>
                      <w:p w14:paraId="56CB2BF7" w14:textId="77777777" w:rsidR="00A258B8" w:rsidRPr="00A258B8" w:rsidRDefault="00A258B8" w:rsidP="00A258B8">
                        <w:pPr>
                          <w:spacing w:line="15" w:lineRule="atLeast"/>
                          <w:rPr>
                            <w:rFonts w:ascii="Arial" w:eastAsia="Times New Roman" w:hAnsi="Arial" w:cs="Arial"/>
                            <w:sz w:val="2"/>
                            <w:szCs w:val="2"/>
                            <w:lang w:eastAsia="fr-FR"/>
                          </w:rPr>
                        </w:pPr>
                        <w:r w:rsidRPr="00A258B8">
                          <w:rPr>
                            <w:rFonts w:ascii="Arial" w:eastAsia="Times New Roman" w:hAnsi="Arial" w:cs="Arial"/>
                            <w:sz w:val="2"/>
                            <w:szCs w:val="2"/>
                            <w:lang w:eastAsia="fr-FR"/>
                          </w:rPr>
                          <w:t> </w:t>
                        </w:r>
                      </w:p>
                    </w:tc>
                  </w:tr>
                  <w:tr w:rsidR="00A258B8" w:rsidRPr="00A258B8" w14:paraId="3C0D55B5" w14:textId="77777777" w:rsidTr="00A258B8">
                    <w:trPr>
                      <w:jc w:val="center"/>
                    </w:trPr>
                    <w:tc>
                      <w:tcPr>
                        <w:tcW w:w="8940" w:type="dxa"/>
                        <w:hideMark/>
                      </w:tcPr>
                      <w:p w14:paraId="1CA7FAD5"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 xml:space="preserve">11/01/2024- Le secteur de la téléconsultation médicale en France se prépare à une mutation significative. Des entreprises comme </w:t>
                        </w:r>
                        <w:proofErr w:type="spellStart"/>
                        <w:r w:rsidRPr="00A258B8">
                          <w:rPr>
                            <w:rFonts w:ascii="Arial" w:eastAsia="Times New Roman" w:hAnsi="Arial" w:cs="Arial"/>
                            <w:color w:val="000000"/>
                            <w:sz w:val="21"/>
                            <w:szCs w:val="21"/>
                            <w:lang w:eastAsia="fr-FR"/>
                          </w:rPr>
                          <w:t>Qare</w:t>
                        </w:r>
                        <w:proofErr w:type="spellEnd"/>
                        <w:r w:rsidRPr="00A258B8">
                          <w:rPr>
                            <w:rFonts w:ascii="Arial" w:eastAsia="Times New Roman" w:hAnsi="Arial" w:cs="Arial"/>
                            <w:color w:val="000000"/>
                            <w:sz w:val="21"/>
                            <w:szCs w:val="21"/>
                            <w:lang w:eastAsia="fr-FR"/>
                          </w:rPr>
                          <w:t xml:space="preserve">, </w:t>
                        </w:r>
                        <w:proofErr w:type="spellStart"/>
                        <w:r w:rsidRPr="00A258B8">
                          <w:rPr>
                            <w:rFonts w:ascii="Arial" w:eastAsia="Times New Roman" w:hAnsi="Arial" w:cs="Arial"/>
                            <w:color w:val="000000"/>
                            <w:sz w:val="21"/>
                            <w:szCs w:val="21"/>
                            <w:lang w:eastAsia="fr-FR"/>
                          </w:rPr>
                          <w:t>Medadom</w:t>
                        </w:r>
                        <w:proofErr w:type="spellEnd"/>
                        <w:r w:rsidRPr="00A258B8">
                          <w:rPr>
                            <w:rFonts w:ascii="Arial" w:eastAsia="Times New Roman" w:hAnsi="Arial" w:cs="Arial"/>
                            <w:color w:val="000000"/>
                            <w:sz w:val="21"/>
                            <w:szCs w:val="21"/>
                            <w:lang w:eastAsia="fr-FR"/>
                          </w:rPr>
                          <w:t xml:space="preserve">, </w:t>
                        </w:r>
                        <w:proofErr w:type="spellStart"/>
                        <w:r w:rsidRPr="00A258B8">
                          <w:rPr>
                            <w:rFonts w:ascii="Arial" w:eastAsia="Times New Roman" w:hAnsi="Arial" w:cs="Arial"/>
                            <w:color w:val="000000"/>
                            <w:sz w:val="21"/>
                            <w:szCs w:val="21"/>
                            <w:lang w:eastAsia="fr-FR"/>
                          </w:rPr>
                          <w:t>Livi</w:t>
                        </w:r>
                        <w:proofErr w:type="spellEnd"/>
                        <w:r w:rsidRPr="00A258B8">
                          <w:rPr>
                            <w:rFonts w:ascii="Arial" w:eastAsia="Times New Roman" w:hAnsi="Arial" w:cs="Arial"/>
                            <w:color w:val="000000"/>
                            <w:sz w:val="21"/>
                            <w:szCs w:val="21"/>
                            <w:lang w:eastAsia="fr-FR"/>
                          </w:rPr>
                          <w:t xml:space="preserve"> et </w:t>
                        </w:r>
                        <w:proofErr w:type="spellStart"/>
                        <w:r w:rsidRPr="00A258B8">
                          <w:rPr>
                            <w:rFonts w:ascii="Arial" w:eastAsia="Times New Roman" w:hAnsi="Arial" w:cs="Arial"/>
                            <w:color w:val="000000"/>
                            <w:sz w:val="21"/>
                            <w:szCs w:val="21"/>
                            <w:lang w:eastAsia="fr-FR"/>
                          </w:rPr>
                          <w:t>Tessan</w:t>
                        </w:r>
                        <w:proofErr w:type="spellEnd"/>
                        <w:r w:rsidRPr="00A258B8">
                          <w:rPr>
                            <w:rFonts w:ascii="Arial" w:eastAsia="Times New Roman" w:hAnsi="Arial" w:cs="Arial"/>
                            <w:color w:val="000000"/>
                            <w:sz w:val="21"/>
                            <w:szCs w:val="21"/>
                            <w:lang w:eastAsia="fr-FR"/>
                          </w:rPr>
                          <w:t xml:space="preserve"> ont connu une croissance </w:t>
                        </w:r>
                        <w:r w:rsidRPr="00A258B8">
                          <w:rPr>
                            <w:rFonts w:ascii="Arial" w:eastAsia="Times New Roman" w:hAnsi="Arial" w:cs="Arial"/>
                            <w:color w:val="000000"/>
                            <w:sz w:val="21"/>
                            <w:szCs w:val="21"/>
                            <w:lang w:eastAsia="fr-FR"/>
                          </w:rPr>
                          <w:lastRenderedPageBreak/>
                          <w:t>notable, principalement en réponse aux défis posés par la pandémie et l'inaccessibilité médicale dans certaines régions. Toutefois, en l'absence d'un cadre réglementaire approprié, ces entreprises ont souvent collaboré avec des centres de santé, introduisant ainsi des incertitudes opérationnelles.</w:t>
                        </w:r>
                      </w:p>
                      <w:p w14:paraId="734E8E39" w14:textId="77777777" w:rsidR="00A258B8" w:rsidRPr="00A258B8" w:rsidRDefault="00A258B8" w:rsidP="00A258B8">
                        <w:pPr>
                          <w:rPr>
                            <w:rFonts w:ascii="Arial" w:eastAsia="Times New Roman" w:hAnsi="Arial" w:cs="Arial"/>
                            <w:color w:val="000000"/>
                            <w:sz w:val="21"/>
                            <w:szCs w:val="21"/>
                            <w:lang w:eastAsia="fr-FR"/>
                          </w:rPr>
                        </w:pPr>
                      </w:p>
                      <w:p w14:paraId="27B32089"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Avant la fin de cette année, les entreprises opérant dans ce domaine devront obtenir un agrément pour garantir le remboursement des patients par l'Assurance maladie. Cette exigence réglementaire constitue une étape décisive pour ce secteur relativement récent, encore en quête de positionnement au sein du système de santé français. L'idée d'une tarification différenciée entre cabinet du médecin (mieux rémunéré) ou télécabines n'est pas contestée par les professionnels de la téléconsultation, à condition qu'elle reste limitée pour garantir la pérennité financière de leurs installations.</w:t>
                        </w:r>
                      </w:p>
                      <w:p w14:paraId="1DF3FD1E" w14:textId="77777777" w:rsidR="00A258B8" w:rsidRPr="00A258B8" w:rsidRDefault="00A258B8" w:rsidP="00A258B8">
                        <w:pPr>
                          <w:rPr>
                            <w:rFonts w:ascii="Arial" w:eastAsia="Times New Roman" w:hAnsi="Arial" w:cs="Arial"/>
                            <w:color w:val="000000"/>
                            <w:sz w:val="21"/>
                            <w:szCs w:val="21"/>
                            <w:lang w:eastAsia="fr-FR"/>
                          </w:rPr>
                        </w:pPr>
                      </w:p>
                      <w:p w14:paraId="3442171B"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Des préoccupations ont été soulevées concernant les emplacements inappropriés des bornes de téléconsultation, comme dans les supermarchés ou les gares, suggérant que de tels endroits ne conviendraient pas à la prestation de soins médicaux. L'Ordre des médecins et le syndicat MG France ont par ailleurs exprimé des inquiétudes quant à l'impact potentiel sur la disponibilité des professionnels de santé dans les régions les plus vulnérables.</w:t>
                        </w:r>
                      </w:p>
                      <w:p w14:paraId="667D2AEB"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 </w:t>
                        </w:r>
                      </w:p>
                      <w:p w14:paraId="6AE4577B"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&gt; </w:t>
                        </w:r>
                        <w:hyperlink r:id="rId15" w:tgtFrame="_blank" w:history="1">
                          <w:r w:rsidRPr="00A258B8">
                            <w:rPr>
                              <w:rFonts w:ascii="Arial" w:eastAsia="Times New Roman" w:hAnsi="Arial" w:cs="Arial"/>
                              <w:color w:val="760049"/>
                              <w:sz w:val="21"/>
                              <w:szCs w:val="21"/>
                              <w:u w:val="single"/>
                              <w:lang w:eastAsia="fr-FR"/>
                            </w:rPr>
                            <w:t>Début de remise en ordre dans la téléconsultation médicale</w:t>
                          </w:r>
                        </w:hyperlink>
                        <w:r w:rsidRPr="00A258B8">
                          <w:rPr>
                            <w:rFonts w:ascii="Arial" w:eastAsia="Times New Roman" w:hAnsi="Arial" w:cs="Arial"/>
                            <w:color w:val="000000"/>
                            <w:sz w:val="21"/>
                            <w:szCs w:val="21"/>
                            <w:lang w:eastAsia="fr-FR"/>
                          </w:rPr>
                          <w:t xml:space="preserve"> - Les Echos, 8 janvier 2024, Solenn </w:t>
                        </w:r>
                        <w:proofErr w:type="spellStart"/>
                        <w:r w:rsidRPr="00A258B8">
                          <w:rPr>
                            <w:rFonts w:ascii="Arial" w:eastAsia="Times New Roman" w:hAnsi="Arial" w:cs="Arial"/>
                            <w:color w:val="000000"/>
                            <w:sz w:val="21"/>
                            <w:szCs w:val="21"/>
                            <w:lang w:eastAsia="fr-FR"/>
                          </w:rPr>
                          <w:t>Poullennec</w:t>
                        </w:r>
                        <w:proofErr w:type="spellEnd"/>
                      </w:p>
                      <w:p w14:paraId="54FCE8EB"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&gt; </w:t>
                        </w:r>
                        <w:hyperlink r:id="rId16" w:tgtFrame="_blank" w:history="1">
                          <w:r w:rsidRPr="00A258B8">
                            <w:rPr>
                              <w:rFonts w:ascii="Arial" w:eastAsia="Times New Roman" w:hAnsi="Arial" w:cs="Arial"/>
                              <w:color w:val="760049"/>
                              <w:sz w:val="21"/>
                              <w:szCs w:val="21"/>
                              <w:u w:val="single"/>
                              <w:lang w:eastAsia="fr-FR"/>
                            </w:rPr>
                            <w:t>Les entreprises de télémédecine s'inquiètent du tarif des consultations à distance</w:t>
                          </w:r>
                        </w:hyperlink>
                        <w:r w:rsidRPr="00A258B8">
                          <w:rPr>
                            <w:rFonts w:ascii="Arial" w:eastAsia="Times New Roman" w:hAnsi="Arial" w:cs="Arial"/>
                            <w:color w:val="000000"/>
                            <w:sz w:val="21"/>
                            <w:szCs w:val="21"/>
                            <w:lang w:eastAsia="fr-FR"/>
                          </w:rPr>
                          <w:t xml:space="preserve"> - Les Echos, 8 janvier 2024, Solenn </w:t>
                        </w:r>
                        <w:proofErr w:type="spellStart"/>
                        <w:r w:rsidRPr="00A258B8">
                          <w:rPr>
                            <w:rFonts w:ascii="Arial" w:eastAsia="Times New Roman" w:hAnsi="Arial" w:cs="Arial"/>
                            <w:color w:val="000000"/>
                            <w:sz w:val="21"/>
                            <w:szCs w:val="21"/>
                            <w:lang w:eastAsia="fr-FR"/>
                          </w:rPr>
                          <w:t>Poullennec</w:t>
                        </w:r>
                        <w:proofErr w:type="spellEnd"/>
                      </w:p>
                      <w:p w14:paraId="0580541E"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&gt; </w:t>
                        </w:r>
                        <w:hyperlink r:id="rId17" w:tgtFrame="_blank" w:history="1">
                          <w:r w:rsidRPr="00A258B8">
                            <w:rPr>
                              <w:rFonts w:ascii="Arial" w:eastAsia="Times New Roman" w:hAnsi="Arial" w:cs="Arial"/>
                              <w:color w:val="760049"/>
                              <w:sz w:val="21"/>
                              <w:szCs w:val="21"/>
                              <w:u w:val="single"/>
                              <w:lang w:eastAsia="fr-FR"/>
                            </w:rPr>
                            <w:t>Patients insuffisants cardiaques et diabétiques : les forfaits opérateurs de télésurveillance modulés à 56 et 70 euros</w:t>
                          </w:r>
                        </w:hyperlink>
                        <w:r w:rsidRPr="00A258B8">
                          <w:rPr>
                            <w:rFonts w:ascii="Arial" w:eastAsia="Times New Roman" w:hAnsi="Arial" w:cs="Arial"/>
                            <w:color w:val="000000"/>
                            <w:sz w:val="21"/>
                            <w:szCs w:val="21"/>
                            <w:lang w:eastAsia="fr-FR"/>
                          </w:rPr>
                          <w:t> - Le Quotidien du médecin, 8 janvier 2024, Arnaud Janin</w:t>
                        </w:r>
                      </w:p>
                      <w:p w14:paraId="2727C716" w14:textId="77777777" w:rsidR="00A258B8" w:rsidRPr="00A258B8" w:rsidRDefault="00A258B8" w:rsidP="00A258B8">
                        <w:pPr>
                          <w:rPr>
                            <w:rFonts w:ascii="Arial" w:eastAsia="Times New Roman" w:hAnsi="Arial" w:cs="Arial"/>
                            <w:color w:val="000000"/>
                            <w:sz w:val="21"/>
                            <w:szCs w:val="21"/>
                            <w:lang w:eastAsia="fr-FR"/>
                          </w:rPr>
                        </w:pPr>
                        <w:r w:rsidRPr="00A258B8">
                          <w:rPr>
                            <w:rFonts w:ascii="Arial" w:eastAsia="Times New Roman" w:hAnsi="Arial" w:cs="Arial"/>
                            <w:color w:val="000000"/>
                            <w:sz w:val="21"/>
                            <w:szCs w:val="21"/>
                            <w:lang w:eastAsia="fr-FR"/>
                          </w:rPr>
                          <w:t>&gt; </w:t>
                        </w:r>
                        <w:hyperlink r:id="rId18" w:tgtFrame="_blank" w:history="1">
                          <w:r w:rsidRPr="00A258B8">
                            <w:rPr>
                              <w:rFonts w:ascii="Arial" w:eastAsia="Times New Roman" w:hAnsi="Arial" w:cs="Arial"/>
                              <w:color w:val="760049"/>
                              <w:sz w:val="21"/>
                              <w:szCs w:val="21"/>
                              <w:u w:val="single"/>
                              <w:lang w:eastAsia="fr-FR"/>
                            </w:rPr>
                            <w:t>Comment l'implantation des cabines de téléconsultation médicale pourrait être encadrée</w:t>
                          </w:r>
                        </w:hyperlink>
                        <w:r w:rsidRPr="00A258B8">
                          <w:rPr>
                            <w:rFonts w:ascii="Arial" w:eastAsia="Times New Roman" w:hAnsi="Arial" w:cs="Arial"/>
                            <w:color w:val="000000"/>
                            <w:sz w:val="21"/>
                            <w:szCs w:val="21"/>
                            <w:lang w:eastAsia="fr-FR"/>
                          </w:rPr>
                          <w:t xml:space="preserve"> - Les Echos, 11 janvier 2024, Solenn </w:t>
                        </w:r>
                        <w:proofErr w:type="spellStart"/>
                        <w:r w:rsidRPr="00A258B8">
                          <w:rPr>
                            <w:rFonts w:ascii="Arial" w:eastAsia="Times New Roman" w:hAnsi="Arial" w:cs="Arial"/>
                            <w:color w:val="000000"/>
                            <w:sz w:val="21"/>
                            <w:szCs w:val="21"/>
                            <w:lang w:eastAsia="fr-FR"/>
                          </w:rPr>
                          <w:t>Poullennec</w:t>
                        </w:r>
                        <w:proofErr w:type="spellEnd"/>
                      </w:p>
                    </w:tc>
                  </w:tr>
                </w:tbl>
                <w:p w14:paraId="15EF0837" w14:textId="77777777" w:rsidR="00A258B8" w:rsidRPr="00A258B8" w:rsidRDefault="00A258B8" w:rsidP="00A258B8">
                  <w:pPr>
                    <w:rPr>
                      <w:rFonts w:ascii="Arial" w:eastAsia="Times New Roman" w:hAnsi="Arial" w:cs="Arial"/>
                      <w:color w:val="000000"/>
                      <w:sz w:val="21"/>
                      <w:szCs w:val="21"/>
                      <w:lang w:eastAsia="fr-FR"/>
                    </w:rPr>
                  </w:pPr>
                </w:p>
                <w:p w14:paraId="25D54853" w14:textId="4FB3C205" w:rsidR="00A258B8" w:rsidRPr="00A258B8" w:rsidRDefault="00A258B8" w:rsidP="00A258B8">
                  <w:pPr>
                    <w:rPr>
                      <w:rFonts w:ascii="Arial" w:eastAsia="Times New Roman" w:hAnsi="Arial" w:cs="Arial"/>
                      <w:color w:val="000000"/>
                      <w:sz w:val="21"/>
                      <w:szCs w:val="21"/>
                      <w:lang w:eastAsia="fr-FR"/>
                    </w:rPr>
                  </w:pPr>
                </w:p>
              </w:tc>
            </w:tr>
          </w:tbl>
          <w:p w14:paraId="132CD91C" w14:textId="77777777" w:rsidR="00A258B8" w:rsidRPr="00A258B8" w:rsidRDefault="00A258B8" w:rsidP="00A258B8">
            <w:pPr>
              <w:rPr>
                <w:rFonts w:ascii="Arial" w:eastAsia="Times New Roman" w:hAnsi="Arial" w:cs="Arial"/>
                <w:color w:val="000000"/>
                <w:sz w:val="21"/>
                <w:szCs w:val="21"/>
                <w:lang w:eastAsia="fr-FR"/>
              </w:rPr>
            </w:pPr>
          </w:p>
        </w:tc>
      </w:tr>
      <w:tr w:rsidR="00796898" w:rsidRPr="00796898" w14:paraId="1BBF2DC6" w14:textId="77777777" w:rsidTr="00796898">
        <w:tblPrEx>
          <w:shd w:val="clear" w:color="auto" w:fill="auto"/>
        </w:tblPrEx>
        <w:trPr>
          <w:gridAfter w:val="2"/>
          <w:wAfter w:w="692" w:type="dxa"/>
          <w:jc w:val="center"/>
        </w:trPr>
        <w:tc>
          <w:tcPr>
            <w:tcW w:w="8940" w:type="dxa"/>
            <w:gridSpan w:val="2"/>
            <w:hideMark/>
          </w:tcPr>
          <w:p w14:paraId="78F2F573" w14:textId="4652F1FB" w:rsidR="00796898" w:rsidRPr="00B90135" w:rsidRDefault="00796898" w:rsidP="00B90135">
            <w:pPr>
              <w:pStyle w:val="Paragraphedeliste"/>
              <w:numPr>
                <w:ilvl w:val="0"/>
                <w:numId w:val="34"/>
              </w:numPr>
              <w:rPr>
                <w:rFonts w:ascii="Arial" w:hAnsi="Arial" w:cs="Arial"/>
                <w:color w:val="000000"/>
                <w:sz w:val="21"/>
                <w:szCs w:val="21"/>
              </w:rPr>
            </w:pPr>
            <w:r w:rsidRPr="00B90135">
              <w:rPr>
                <w:rFonts w:ascii="Arial" w:hAnsi="Arial" w:cs="Arial"/>
                <w:b/>
                <w:bCs/>
                <w:color w:val="8D0029" w:themeColor="accent1" w:themeShade="BF"/>
              </w:rPr>
              <w:lastRenderedPageBreak/>
              <w:t>La Cour des Comptes publie un rapport sur les Unions régionales des professionnels de santé (URPS)</w:t>
            </w:r>
          </w:p>
        </w:tc>
      </w:tr>
      <w:tr w:rsidR="00796898" w:rsidRPr="00796898" w14:paraId="436FC525" w14:textId="77777777" w:rsidTr="00796898">
        <w:tblPrEx>
          <w:shd w:val="clear" w:color="auto" w:fill="auto"/>
        </w:tblPrEx>
        <w:trPr>
          <w:gridAfter w:val="2"/>
          <w:wAfter w:w="692" w:type="dxa"/>
          <w:trHeight w:val="150"/>
          <w:jc w:val="center"/>
        </w:trPr>
        <w:tc>
          <w:tcPr>
            <w:tcW w:w="0" w:type="auto"/>
            <w:gridSpan w:val="2"/>
            <w:vAlign w:val="center"/>
            <w:hideMark/>
          </w:tcPr>
          <w:p w14:paraId="104BB51D" w14:textId="77777777" w:rsidR="00796898" w:rsidRPr="00796898" w:rsidRDefault="00796898" w:rsidP="00796898">
            <w:pPr>
              <w:spacing w:line="15" w:lineRule="atLeast"/>
              <w:rPr>
                <w:rFonts w:ascii="Arial" w:eastAsia="Times New Roman" w:hAnsi="Arial" w:cs="Arial"/>
                <w:sz w:val="2"/>
                <w:szCs w:val="2"/>
                <w:lang w:eastAsia="fr-FR"/>
              </w:rPr>
            </w:pPr>
            <w:r w:rsidRPr="00796898">
              <w:rPr>
                <w:rFonts w:ascii="Arial" w:eastAsia="Times New Roman" w:hAnsi="Arial" w:cs="Arial"/>
                <w:sz w:val="2"/>
                <w:szCs w:val="2"/>
                <w:lang w:eastAsia="fr-FR"/>
              </w:rPr>
              <w:t> </w:t>
            </w:r>
          </w:p>
        </w:tc>
      </w:tr>
      <w:tr w:rsidR="00796898" w:rsidRPr="00796898" w14:paraId="04A9593A" w14:textId="77777777" w:rsidTr="00796898">
        <w:tblPrEx>
          <w:shd w:val="clear" w:color="auto" w:fill="auto"/>
        </w:tblPrEx>
        <w:trPr>
          <w:gridAfter w:val="2"/>
          <w:wAfter w:w="692" w:type="dxa"/>
          <w:jc w:val="center"/>
        </w:trPr>
        <w:tc>
          <w:tcPr>
            <w:tcW w:w="8940" w:type="dxa"/>
            <w:gridSpan w:val="2"/>
            <w:hideMark/>
          </w:tcPr>
          <w:p w14:paraId="31EAEB58"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08/02/2024- La Cour des comptes a contrôlé les URPS pour la première fois depuis leur création en 2009. Ces associations représentent les praticiens libéraux de chacune des dix professions de santé. Elles font l’objet d’un conventionnement avec l’Assurance maladie et ont pour mission de participer à l’organisation des soins et de contribuer à l’offre de santé sur leur territoire. Dans son rapport, la Cour met notamment en exergue leur situation financière "plus que confortable". En 2022, le montant total du financement alloué aux 168 URPS était de 54 M€. Ce budget était principalement composé de la contribution obligatoire versée annuellement par chaque professionnel libéral (41,8 M€) et, dans une moindre mesure, des crédits versés par les Agences régionales de santé (ARS) pour 12,2 M€, au titre du Fonds d'intervention régional (FIR).</w:t>
            </w:r>
          </w:p>
          <w:p w14:paraId="1C534CB6" w14:textId="77777777" w:rsidR="00796898" w:rsidRPr="00796898" w:rsidRDefault="00796898" w:rsidP="00796898">
            <w:pPr>
              <w:rPr>
                <w:rFonts w:ascii="Arial" w:eastAsia="Times New Roman" w:hAnsi="Arial" w:cs="Arial"/>
                <w:color w:val="000000"/>
                <w:sz w:val="21"/>
                <w:szCs w:val="21"/>
                <w:lang w:eastAsia="fr-FR"/>
              </w:rPr>
            </w:pPr>
          </w:p>
          <w:p w14:paraId="42B2AF5E"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 xml:space="preserve">La Haute juridiction a également relevé une contribution "très inégale" des URPS au système de soins. Parmi celles qui exercent globalement le mieux la diversité de leurs missions, figurent notamment celles des médecins, infirmiers et pharmaciens. Les URPS médecins, plus anciennes et disposant de budgets plus importants, participent à la permanence des soins, jouent un rôle significatif dans le développement de l'exercice coordonné sur les territoires et mettent en place des dispositifs d'aide à l'installation. La Cour a également rappelé le rôle majeur des URPS médecins et infirmiers durant la crise sanitaire. À l’inverse, certaines d'entre elles n'apporteraient pas "de plus-value" au système de soins. C'est le cas de la majorité des URPS biologistes, orthoptistes et pédicures-podologues qui, selon la Cour, pourraient être supprimées. De plus, si les magistrats admettent que les URPS </w:t>
            </w:r>
            <w:proofErr w:type="spellStart"/>
            <w:r w:rsidRPr="00796898">
              <w:rPr>
                <w:rFonts w:ascii="Arial" w:eastAsia="Times New Roman" w:hAnsi="Arial" w:cs="Arial"/>
                <w:color w:val="000000"/>
                <w:sz w:val="21"/>
                <w:szCs w:val="21"/>
                <w:lang w:eastAsia="fr-FR"/>
              </w:rPr>
              <w:t>sages-femmes</w:t>
            </w:r>
            <w:proofErr w:type="spellEnd"/>
            <w:r w:rsidRPr="00796898">
              <w:rPr>
                <w:rFonts w:ascii="Arial" w:eastAsia="Times New Roman" w:hAnsi="Arial" w:cs="Arial"/>
                <w:color w:val="000000"/>
                <w:sz w:val="21"/>
                <w:szCs w:val="21"/>
                <w:lang w:eastAsia="fr-FR"/>
              </w:rPr>
              <w:t xml:space="preserve"> manquent de financement, cela ne semble pas être le cas des URPS chirurgiens-dentistes, pourtant peu </w:t>
            </w:r>
            <w:r w:rsidRPr="00796898">
              <w:rPr>
                <w:rFonts w:ascii="Arial" w:eastAsia="Times New Roman" w:hAnsi="Arial" w:cs="Arial"/>
                <w:color w:val="000000"/>
                <w:sz w:val="21"/>
                <w:szCs w:val="21"/>
                <w:lang w:eastAsia="fr-FR"/>
              </w:rPr>
              <w:lastRenderedPageBreak/>
              <w:t>actives. Ils préconisent ainsi d’accroître la contribution versée par chaque maïeuticien et de diminuer celle des chirurgiens-dentistes. </w:t>
            </w:r>
          </w:p>
          <w:p w14:paraId="5BFE8D67" w14:textId="77777777" w:rsidR="00796898" w:rsidRPr="00796898" w:rsidRDefault="00796898" w:rsidP="00796898">
            <w:pPr>
              <w:rPr>
                <w:rFonts w:ascii="Arial" w:eastAsia="Times New Roman" w:hAnsi="Arial" w:cs="Arial"/>
                <w:color w:val="000000"/>
                <w:sz w:val="21"/>
                <w:szCs w:val="21"/>
                <w:lang w:eastAsia="fr-FR"/>
              </w:rPr>
            </w:pPr>
          </w:p>
          <w:p w14:paraId="4F83839B"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La Cour préconise une meilleure supervision des ARS sur l'activité et la situation financière des URPS avant de leur accorder des financements. Elle recommande également une représentation nationale des URPS par profession et l'ouverture aux non syndiqués. En effet, la Cour des Comptes déplore notamment leur trop grande proximité avec les syndicats.</w:t>
            </w:r>
          </w:p>
          <w:p w14:paraId="035CAD53" w14:textId="77777777" w:rsidR="00796898" w:rsidRPr="00796898" w:rsidRDefault="00796898" w:rsidP="00796898">
            <w:pPr>
              <w:rPr>
                <w:rFonts w:ascii="Arial" w:eastAsia="Times New Roman" w:hAnsi="Arial" w:cs="Arial"/>
                <w:color w:val="000000"/>
                <w:sz w:val="21"/>
                <w:szCs w:val="21"/>
                <w:lang w:eastAsia="fr-FR"/>
              </w:rPr>
            </w:pPr>
          </w:p>
          <w:p w14:paraId="1571FEBB"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&gt; </w:t>
            </w:r>
            <w:hyperlink r:id="rId19" w:tgtFrame="_blank" w:history="1">
              <w:r w:rsidRPr="00796898">
                <w:rPr>
                  <w:rFonts w:ascii="Arial" w:eastAsia="Times New Roman" w:hAnsi="Arial" w:cs="Arial"/>
                  <w:color w:val="760049"/>
                  <w:sz w:val="21"/>
                  <w:szCs w:val="21"/>
                  <w:u w:val="single"/>
                  <w:lang w:eastAsia="fr-FR"/>
                </w:rPr>
                <w:t>Les unions régionales des professionnels de santé (URPS)</w:t>
              </w:r>
            </w:hyperlink>
            <w:r w:rsidRPr="00796898">
              <w:rPr>
                <w:rFonts w:ascii="Arial" w:eastAsia="Times New Roman" w:hAnsi="Arial" w:cs="Arial"/>
                <w:color w:val="000000"/>
                <w:sz w:val="21"/>
                <w:szCs w:val="21"/>
                <w:lang w:eastAsia="fr-FR"/>
              </w:rPr>
              <w:t> - Cour des comptes, 5 février 2024</w:t>
            </w:r>
          </w:p>
          <w:p w14:paraId="5145FA8A"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&gt; </w:t>
            </w:r>
            <w:hyperlink r:id="rId20" w:tgtFrame="_blank" w:history="1">
              <w:r w:rsidRPr="00796898">
                <w:rPr>
                  <w:rFonts w:ascii="Arial" w:eastAsia="Times New Roman" w:hAnsi="Arial" w:cs="Arial"/>
                  <w:color w:val="760049"/>
                  <w:sz w:val="21"/>
                  <w:szCs w:val="21"/>
                  <w:u w:val="single"/>
                  <w:lang w:eastAsia="fr-FR"/>
                </w:rPr>
                <w:t>Indemnités trop généreuses, proximité avec les syndicats… Ce que révèle le rapport de la Cour des comptes sur les URPS </w:t>
              </w:r>
            </w:hyperlink>
            <w:r w:rsidRPr="00796898">
              <w:rPr>
                <w:rFonts w:ascii="Arial" w:eastAsia="Times New Roman" w:hAnsi="Arial" w:cs="Arial"/>
                <w:color w:val="000000"/>
                <w:sz w:val="21"/>
                <w:szCs w:val="21"/>
                <w:lang w:eastAsia="fr-FR"/>
              </w:rPr>
              <w:t xml:space="preserve">- </w:t>
            </w:r>
            <w:proofErr w:type="spellStart"/>
            <w:r w:rsidRPr="00796898">
              <w:rPr>
                <w:rFonts w:ascii="Arial" w:eastAsia="Times New Roman" w:hAnsi="Arial" w:cs="Arial"/>
                <w:color w:val="000000"/>
                <w:sz w:val="21"/>
                <w:szCs w:val="21"/>
                <w:lang w:eastAsia="fr-FR"/>
              </w:rPr>
              <w:t>Egora</w:t>
            </w:r>
            <w:proofErr w:type="spellEnd"/>
            <w:r w:rsidRPr="00796898">
              <w:rPr>
                <w:rFonts w:ascii="Arial" w:eastAsia="Times New Roman" w:hAnsi="Arial" w:cs="Arial"/>
                <w:color w:val="000000"/>
                <w:sz w:val="21"/>
                <w:szCs w:val="21"/>
                <w:lang w:eastAsia="fr-FR"/>
              </w:rPr>
              <w:t>, 6 février 2024, Aveline Marques</w:t>
            </w:r>
          </w:p>
        </w:tc>
      </w:tr>
    </w:tbl>
    <w:p w14:paraId="1CA932FA" w14:textId="77777777" w:rsidR="00A258B8" w:rsidRDefault="00A258B8" w:rsidP="00DF33A9">
      <w:pPr>
        <w:pStyle w:val="Paragraphe"/>
      </w:pPr>
    </w:p>
    <w:tbl>
      <w:tblPr>
        <w:tblW w:w="8940" w:type="dxa"/>
        <w:jc w:val="center"/>
        <w:tblCellMar>
          <w:left w:w="0" w:type="dxa"/>
          <w:right w:w="0" w:type="dxa"/>
        </w:tblCellMar>
        <w:tblLook w:val="04A0" w:firstRow="1" w:lastRow="0" w:firstColumn="1" w:lastColumn="0" w:noHBand="0" w:noVBand="1"/>
      </w:tblPr>
      <w:tblGrid>
        <w:gridCol w:w="8940"/>
      </w:tblGrid>
      <w:tr w:rsidR="00796898" w:rsidRPr="00796898" w14:paraId="73F8C410" w14:textId="77777777" w:rsidTr="00796898">
        <w:trPr>
          <w:jc w:val="center"/>
        </w:trPr>
        <w:tc>
          <w:tcPr>
            <w:tcW w:w="8940" w:type="dxa"/>
            <w:hideMark/>
          </w:tcPr>
          <w:p w14:paraId="5B840D22" w14:textId="33437427" w:rsidR="00796898" w:rsidRPr="00B90135" w:rsidRDefault="00796898" w:rsidP="00B90135">
            <w:pPr>
              <w:pStyle w:val="Paragraphedeliste"/>
              <w:numPr>
                <w:ilvl w:val="0"/>
                <w:numId w:val="34"/>
              </w:numPr>
              <w:rPr>
                <w:rFonts w:ascii="Arial" w:hAnsi="Arial" w:cs="Arial"/>
                <w:color w:val="000000"/>
                <w:sz w:val="21"/>
                <w:szCs w:val="21"/>
              </w:rPr>
            </w:pPr>
            <w:r w:rsidRPr="00B90135">
              <w:rPr>
                <w:rFonts w:ascii="Arial" w:hAnsi="Arial" w:cs="Arial"/>
                <w:b/>
                <w:bCs/>
                <w:color w:val="760049"/>
              </w:rPr>
              <w:t>Vers un tarif de la consultation des médecins généralistes à 30 € ?</w:t>
            </w:r>
          </w:p>
        </w:tc>
      </w:tr>
      <w:tr w:rsidR="00796898" w:rsidRPr="00796898" w14:paraId="2C567733" w14:textId="77777777" w:rsidTr="00796898">
        <w:trPr>
          <w:trHeight w:val="150"/>
          <w:jc w:val="center"/>
        </w:trPr>
        <w:tc>
          <w:tcPr>
            <w:tcW w:w="0" w:type="auto"/>
            <w:vAlign w:val="center"/>
            <w:hideMark/>
          </w:tcPr>
          <w:p w14:paraId="29869D8A" w14:textId="77777777" w:rsidR="00796898" w:rsidRPr="00796898" w:rsidRDefault="00796898" w:rsidP="00796898">
            <w:pPr>
              <w:spacing w:line="15" w:lineRule="atLeast"/>
              <w:rPr>
                <w:rFonts w:ascii="Arial" w:eastAsia="Times New Roman" w:hAnsi="Arial" w:cs="Arial"/>
                <w:sz w:val="2"/>
                <w:szCs w:val="2"/>
                <w:lang w:eastAsia="fr-FR"/>
              </w:rPr>
            </w:pPr>
            <w:r w:rsidRPr="00796898">
              <w:rPr>
                <w:rFonts w:ascii="Arial" w:eastAsia="Times New Roman" w:hAnsi="Arial" w:cs="Arial"/>
                <w:sz w:val="2"/>
                <w:szCs w:val="2"/>
                <w:lang w:eastAsia="fr-FR"/>
              </w:rPr>
              <w:t> </w:t>
            </w:r>
          </w:p>
        </w:tc>
      </w:tr>
      <w:tr w:rsidR="00796898" w:rsidRPr="00796898" w14:paraId="572B5494" w14:textId="77777777" w:rsidTr="00796898">
        <w:trPr>
          <w:jc w:val="center"/>
        </w:trPr>
        <w:tc>
          <w:tcPr>
            <w:tcW w:w="8940" w:type="dxa"/>
            <w:hideMark/>
          </w:tcPr>
          <w:p w14:paraId="0C279E9F"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15/02/2024- Au regard des enjeux de l'accès aux soins et de l’attractivité de la médecine libérale, les partenaires conventionnels ont souhaité reprendre les négociations dès novembre 2023, même si le règlement arbitral est susceptible de s'appliquer jusqu’en 2028.</w:t>
            </w:r>
            <w:r w:rsidRPr="00796898">
              <w:rPr>
                <w:rFonts w:ascii="Arial" w:eastAsia="Times New Roman" w:hAnsi="Arial" w:cs="Arial"/>
                <w:b/>
                <w:bCs/>
                <w:color w:val="000000"/>
                <w:sz w:val="21"/>
                <w:szCs w:val="21"/>
                <w:lang w:eastAsia="fr-FR"/>
              </w:rPr>
              <w:t> </w:t>
            </w:r>
            <w:r w:rsidRPr="00796898">
              <w:rPr>
                <w:rFonts w:ascii="Arial" w:eastAsia="Times New Roman" w:hAnsi="Arial" w:cs="Arial"/>
                <w:color w:val="000000"/>
                <w:sz w:val="21"/>
                <w:szCs w:val="21"/>
                <w:lang w:eastAsia="fr-FR"/>
              </w:rPr>
              <w:t>Lors de la troisième séance "multilatérale" du 8 février, la Caisse nationale de l'Assurance maladie (Cnam) s'est montrée prête à financer des revalorisations importantes en portant le tarif de consultation chez le médecin généraliste de 26,50 € à 30 €. Elle a également exprimé son souhait de revaloriser certaines spécialités comme la pédiatrie et la psychiatrie.</w:t>
            </w:r>
          </w:p>
          <w:p w14:paraId="66FCEAFD" w14:textId="77777777" w:rsidR="00796898" w:rsidRPr="00796898" w:rsidRDefault="00796898" w:rsidP="00796898">
            <w:pPr>
              <w:rPr>
                <w:rFonts w:ascii="Arial" w:eastAsia="Times New Roman" w:hAnsi="Arial" w:cs="Arial"/>
                <w:color w:val="000000"/>
                <w:sz w:val="21"/>
                <w:szCs w:val="21"/>
                <w:lang w:eastAsia="fr-FR"/>
              </w:rPr>
            </w:pPr>
          </w:p>
          <w:p w14:paraId="0FCFD2B7"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 xml:space="preserve">Thomas </w:t>
            </w:r>
            <w:proofErr w:type="spellStart"/>
            <w:r w:rsidRPr="00796898">
              <w:rPr>
                <w:rFonts w:ascii="Arial" w:eastAsia="Times New Roman" w:hAnsi="Arial" w:cs="Arial"/>
                <w:color w:val="000000"/>
                <w:sz w:val="21"/>
                <w:szCs w:val="21"/>
                <w:lang w:eastAsia="fr-FR"/>
              </w:rPr>
              <w:t>Fatôme</w:t>
            </w:r>
            <w:proofErr w:type="spellEnd"/>
            <w:r w:rsidRPr="00796898">
              <w:rPr>
                <w:rFonts w:ascii="Arial" w:eastAsia="Times New Roman" w:hAnsi="Arial" w:cs="Arial"/>
                <w:color w:val="000000"/>
                <w:sz w:val="21"/>
                <w:szCs w:val="21"/>
                <w:lang w:eastAsia="fr-FR"/>
              </w:rPr>
              <w:t>, directeur général de la Cnam, a souligné la nécessité "d'adresser un signal d'attractivité aux jeunes médecins" afin que ces derniers</w:t>
            </w:r>
            <w:r w:rsidRPr="00796898">
              <w:rPr>
                <w:rFonts w:ascii="Arial" w:eastAsia="Times New Roman" w:hAnsi="Arial" w:cs="Arial"/>
                <w:i/>
                <w:iCs/>
                <w:color w:val="000000"/>
                <w:sz w:val="21"/>
                <w:szCs w:val="21"/>
                <w:lang w:eastAsia="fr-FR"/>
              </w:rPr>
              <w:t> "</w:t>
            </w:r>
            <w:r w:rsidRPr="00796898">
              <w:rPr>
                <w:rFonts w:ascii="Arial" w:eastAsia="Times New Roman" w:hAnsi="Arial" w:cs="Arial"/>
                <w:color w:val="000000"/>
                <w:sz w:val="21"/>
                <w:szCs w:val="21"/>
                <w:lang w:eastAsia="fr-FR"/>
              </w:rPr>
              <w:t>s'installent et assument les fonctions de médecin traitant".</w:t>
            </w:r>
            <w:r w:rsidRPr="00796898">
              <w:rPr>
                <w:rFonts w:ascii="Arial" w:eastAsia="Times New Roman" w:hAnsi="Arial" w:cs="Arial"/>
                <w:b/>
                <w:bCs/>
                <w:color w:val="000000"/>
                <w:sz w:val="21"/>
                <w:szCs w:val="21"/>
                <w:lang w:eastAsia="fr-FR"/>
              </w:rPr>
              <w:t> </w:t>
            </w:r>
            <w:r w:rsidRPr="00796898">
              <w:rPr>
                <w:rFonts w:ascii="Arial" w:eastAsia="Times New Roman" w:hAnsi="Arial" w:cs="Arial"/>
                <w:color w:val="000000"/>
                <w:sz w:val="21"/>
                <w:szCs w:val="21"/>
                <w:lang w:eastAsia="fr-FR"/>
              </w:rPr>
              <w:t>Ces évolutions tarifaires ne se feront toutefois pas sans contreparties et devront s’accompagner d’autres évolutions en faveur de l’amélioration de la santé de la population. La proposition de la Cnam comprend :</w:t>
            </w:r>
          </w:p>
          <w:p w14:paraId="32D3720D" w14:textId="77777777" w:rsidR="00796898" w:rsidRPr="00796898" w:rsidRDefault="00796898" w:rsidP="00796898">
            <w:pPr>
              <w:numPr>
                <w:ilvl w:val="0"/>
                <w:numId w:val="33"/>
              </w:numPr>
              <w:spacing w:before="100" w:beforeAutospacing="1" w:after="100" w:afterAutospacing="1"/>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Une refonte des rémunérations forfaitaires, pour renforcer le rôle du médecin traitant (</w:t>
            </w:r>
            <w:r w:rsidRPr="00796898">
              <w:rPr>
                <w:rFonts w:ascii="Arial" w:eastAsia="Times New Roman" w:hAnsi="Arial" w:cs="Arial"/>
                <w:i/>
                <w:iCs/>
                <w:color w:val="000000"/>
                <w:sz w:val="21"/>
                <w:szCs w:val="21"/>
                <w:lang w:eastAsia="fr-FR"/>
              </w:rPr>
              <w:t>via</w:t>
            </w:r>
            <w:r w:rsidRPr="00796898">
              <w:rPr>
                <w:rFonts w:ascii="Arial" w:eastAsia="Times New Roman" w:hAnsi="Arial" w:cs="Arial"/>
                <w:color w:val="000000"/>
                <w:sz w:val="21"/>
                <w:szCs w:val="21"/>
                <w:lang w:eastAsia="fr-FR"/>
              </w:rPr>
              <w:t> notamment la mise en œuvre d’un nouveau forfait médecin traitant),</w:t>
            </w:r>
          </w:p>
          <w:p w14:paraId="74CB1FB5" w14:textId="77777777" w:rsidR="00796898" w:rsidRPr="00796898" w:rsidRDefault="00796898" w:rsidP="00796898">
            <w:pPr>
              <w:numPr>
                <w:ilvl w:val="0"/>
                <w:numId w:val="33"/>
              </w:numPr>
              <w:spacing w:before="100" w:beforeAutospacing="1" w:after="100" w:afterAutospacing="1"/>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Des améliorations en matière d’accès aux soins (par exemple, faciliter l’accès à un médecin traitant),</w:t>
            </w:r>
          </w:p>
          <w:p w14:paraId="2F8C4B6E" w14:textId="77777777" w:rsidR="00796898" w:rsidRPr="00796898" w:rsidRDefault="00796898" w:rsidP="00796898">
            <w:pPr>
              <w:numPr>
                <w:ilvl w:val="0"/>
                <w:numId w:val="33"/>
              </w:numPr>
              <w:spacing w:before="100" w:beforeAutospacing="1" w:after="100" w:afterAutospacing="1"/>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Des actions visant à améliorer la qualité et la pertinence des soins qui mobilisera conjointement l’Assurance maladie et les médecins libéraux.</w:t>
            </w:r>
          </w:p>
          <w:p w14:paraId="34368B5C"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 xml:space="preserve">Thomas </w:t>
            </w:r>
            <w:proofErr w:type="spellStart"/>
            <w:r w:rsidRPr="00796898">
              <w:rPr>
                <w:rFonts w:ascii="Arial" w:eastAsia="Times New Roman" w:hAnsi="Arial" w:cs="Arial"/>
                <w:color w:val="000000"/>
                <w:sz w:val="21"/>
                <w:szCs w:val="21"/>
                <w:lang w:eastAsia="fr-FR"/>
              </w:rPr>
              <w:t>Fatôme</w:t>
            </w:r>
            <w:proofErr w:type="spellEnd"/>
            <w:r w:rsidRPr="00796898">
              <w:rPr>
                <w:rFonts w:ascii="Arial" w:eastAsia="Times New Roman" w:hAnsi="Arial" w:cs="Arial"/>
                <w:color w:val="000000"/>
                <w:sz w:val="21"/>
                <w:szCs w:val="21"/>
                <w:lang w:eastAsia="fr-FR"/>
              </w:rPr>
              <w:t xml:space="preserve"> a, par ailleurs, mis en exergue le déficit important que connaît la branche Maladie (plus de 9 Md€</w:t>
            </w:r>
            <w:r w:rsidRPr="00796898">
              <w:rPr>
                <w:rFonts w:ascii="Arial" w:eastAsia="Times New Roman" w:hAnsi="Arial" w:cs="Arial"/>
                <w:i/>
                <w:iCs/>
                <w:color w:val="000000"/>
                <w:sz w:val="21"/>
                <w:szCs w:val="21"/>
                <w:lang w:eastAsia="fr-FR"/>
              </w:rPr>
              <w:t>), </w:t>
            </w:r>
            <w:r w:rsidRPr="00796898">
              <w:rPr>
                <w:rFonts w:ascii="Arial" w:eastAsia="Times New Roman" w:hAnsi="Arial" w:cs="Arial"/>
                <w:color w:val="000000"/>
                <w:sz w:val="21"/>
                <w:szCs w:val="21"/>
                <w:lang w:eastAsia="fr-FR"/>
              </w:rPr>
              <w:t>éléments à prendre en considération dans les discussions conventionnelles</w:t>
            </w:r>
            <w:r w:rsidRPr="00796898">
              <w:rPr>
                <w:rFonts w:ascii="Arial" w:eastAsia="Times New Roman" w:hAnsi="Arial" w:cs="Arial"/>
                <w:i/>
                <w:iCs/>
                <w:color w:val="000000"/>
                <w:sz w:val="21"/>
                <w:szCs w:val="21"/>
                <w:lang w:eastAsia="fr-FR"/>
              </w:rPr>
              <w:t>.</w:t>
            </w:r>
            <w:r w:rsidRPr="00796898">
              <w:rPr>
                <w:rFonts w:ascii="Arial" w:eastAsia="Times New Roman" w:hAnsi="Arial" w:cs="Arial"/>
                <w:color w:val="000000"/>
                <w:sz w:val="21"/>
                <w:szCs w:val="21"/>
                <w:lang w:eastAsia="fr-FR"/>
              </w:rPr>
              <w:t> Afin d’établir un premier bilan de l'incidence de la convention en faveur des patients et du système de santé, l’Assurance maladie propose la programmation d’un rendez-vous conventionnel fin 2025.</w:t>
            </w:r>
          </w:p>
          <w:p w14:paraId="2B8D1E71" w14:textId="77777777" w:rsidR="00796898" w:rsidRPr="00796898" w:rsidRDefault="00796898" w:rsidP="00796898">
            <w:pPr>
              <w:rPr>
                <w:rFonts w:ascii="Arial" w:eastAsia="Times New Roman" w:hAnsi="Arial" w:cs="Arial"/>
                <w:color w:val="000000"/>
                <w:sz w:val="21"/>
                <w:szCs w:val="21"/>
                <w:lang w:eastAsia="fr-FR"/>
              </w:rPr>
            </w:pPr>
          </w:p>
          <w:p w14:paraId="5FD59C9B"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&gt; </w:t>
            </w:r>
            <w:hyperlink r:id="rId21" w:tgtFrame="_blank" w:history="1">
              <w:r w:rsidRPr="00796898">
                <w:rPr>
                  <w:rFonts w:ascii="Arial" w:eastAsia="Times New Roman" w:hAnsi="Arial" w:cs="Arial"/>
                  <w:color w:val="760049"/>
                  <w:sz w:val="21"/>
                  <w:szCs w:val="21"/>
                  <w:u w:val="single"/>
                  <w:lang w:eastAsia="fr-FR"/>
                </w:rPr>
                <w:t>Ouverture de la 3e séance plénière de négociations conventionnelles avec les médecins libéraux</w:t>
              </w:r>
            </w:hyperlink>
            <w:r w:rsidRPr="00796898">
              <w:rPr>
                <w:rFonts w:ascii="Arial" w:eastAsia="Times New Roman" w:hAnsi="Arial" w:cs="Arial"/>
                <w:color w:val="000000"/>
                <w:sz w:val="21"/>
                <w:szCs w:val="21"/>
                <w:lang w:eastAsia="fr-FR"/>
              </w:rPr>
              <w:t> - Communiqué de presse de l'Assurance maladie, 8 février 2024</w:t>
            </w:r>
          </w:p>
          <w:p w14:paraId="20E5D20F"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&gt; </w:t>
            </w:r>
            <w:hyperlink r:id="rId22" w:anchor="xtor=EPR-3-3[News_Alerte]-20240208-[_1]" w:tgtFrame="_blank" w:history="1">
              <w:r w:rsidRPr="00796898">
                <w:rPr>
                  <w:rFonts w:ascii="Arial" w:eastAsia="Times New Roman" w:hAnsi="Arial" w:cs="Arial"/>
                  <w:color w:val="760049"/>
                  <w:sz w:val="21"/>
                  <w:szCs w:val="21"/>
                  <w:u w:val="single"/>
                  <w:lang w:eastAsia="fr-FR"/>
                </w:rPr>
                <w:t>La Cnam accepte de revaloriser le tarif de la consultation des médecins à 30 euros... mais quand ?</w:t>
              </w:r>
            </w:hyperlink>
            <w:r w:rsidRPr="00796898">
              <w:rPr>
                <w:rFonts w:ascii="Arial" w:eastAsia="Times New Roman" w:hAnsi="Arial" w:cs="Arial"/>
                <w:color w:val="000000"/>
                <w:sz w:val="21"/>
                <w:szCs w:val="21"/>
                <w:lang w:eastAsia="fr-FR"/>
              </w:rPr>
              <w:t xml:space="preserve"> - </w:t>
            </w:r>
            <w:proofErr w:type="spellStart"/>
            <w:r w:rsidRPr="00796898">
              <w:rPr>
                <w:rFonts w:ascii="Arial" w:eastAsia="Times New Roman" w:hAnsi="Arial" w:cs="Arial"/>
                <w:color w:val="000000"/>
                <w:sz w:val="21"/>
                <w:szCs w:val="21"/>
                <w:lang w:eastAsia="fr-FR"/>
              </w:rPr>
              <w:t>Egora</w:t>
            </w:r>
            <w:proofErr w:type="spellEnd"/>
            <w:r w:rsidRPr="00796898">
              <w:rPr>
                <w:rFonts w:ascii="Arial" w:eastAsia="Times New Roman" w:hAnsi="Arial" w:cs="Arial"/>
                <w:color w:val="000000"/>
                <w:sz w:val="21"/>
                <w:szCs w:val="21"/>
                <w:lang w:eastAsia="fr-FR"/>
              </w:rPr>
              <w:t xml:space="preserve">, 8 février 2024, Louise </w:t>
            </w:r>
            <w:proofErr w:type="spellStart"/>
            <w:r w:rsidRPr="00796898">
              <w:rPr>
                <w:rFonts w:ascii="Arial" w:eastAsia="Times New Roman" w:hAnsi="Arial" w:cs="Arial"/>
                <w:color w:val="000000"/>
                <w:sz w:val="21"/>
                <w:szCs w:val="21"/>
                <w:lang w:eastAsia="fr-FR"/>
              </w:rPr>
              <w:t>Claereboudt</w:t>
            </w:r>
            <w:proofErr w:type="spellEnd"/>
          </w:p>
          <w:p w14:paraId="2BB84492"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&gt; </w:t>
            </w:r>
            <w:hyperlink r:id="rId23" w:tgtFrame="_blank" w:history="1">
              <w:r w:rsidRPr="00796898">
                <w:rPr>
                  <w:rFonts w:ascii="Arial" w:eastAsia="Times New Roman" w:hAnsi="Arial" w:cs="Arial"/>
                  <w:color w:val="760049"/>
                  <w:sz w:val="21"/>
                  <w:szCs w:val="21"/>
                  <w:u w:val="single"/>
                  <w:lang w:eastAsia="fr-FR"/>
                </w:rPr>
                <w:t>Consultation des médecins généralistes à 30 euros : "on a besoin d'adresser un signal d'attractivité" aux jeunes médecins, justifie la Cnam</w:t>
              </w:r>
            </w:hyperlink>
            <w:r w:rsidRPr="00796898">
              <w:rPr>
                <w:rFonts w:ascii="Arial" w:eastAsia="Times New Roman" w:hAnsi="Arial" w:cs="Arial"/>
                <w:color w:val="000000"/>
                <w:sz w:val="21"/>
                <w:szCs w:val="21"/>
                <w:lang w:eastAsia="fr-FR"/>
              </w:rPr>
              <w:t> - France info, 9 février 2024, France info</w:t>
            </w:r>
          </w:p>
        </w:tc>
      </w:tr>
    </w:tbl>
    <w:p w14:paraId="75B2753F" w14:textId="77777777" w:rsidR="00796898" w:rsidRDefault="00796898" w:rsidP="00DF33A9">
      <w:pPr>
        <w:pStyle w:val="Paragraphe"/>
      </w:pPr>
    </w:p>
    <w:p w14:paraId="45E44941" w14:textId="77777777" w:rsidR="00796898" w:rsidRDefault="00796898" w:rsidP="00DF33A9">
      <w:pPr>
        <w:pStyle w:val="Paragraphe"/>
      </w:pPr>
    </w:p>
    <w:tbl>
      <w:tblPr>
        <w:tblW w:w="5000" w:type="pct"/>
        <w:jc w:val="center"/>
        <w:shd w:val="clear" w:color="auto" w:fill="FFFFFF"/>
        <w:tblCellMar>
          <w:left w:w="0" w:type="dxa"/>
          <w:right w:w="0" w:type="dxa"/>
        </w:tblCellMar>
        <w:tblLook w:val="04A0" w:firstRow="1" w:lastRow="0" w:firstColumn="1" w:lastColumn="0" w:noHBand="0" w:noVBand="1"/>
      </w:tblPr>
      <w:tblGrid>
        <w:gridCol w:w="343"/>
        <w:gridCol w:w="9289"/>
      </w:tblGrid>
      <w:tr w:rsidR="00796898" w:rsidRPr="00796898" w14:paraId="07E73E46" w14:textId="77777777" w:rsidTr="00796898">
        <w:trPr>
          <w:jc w:val="center"/>
        </w:trPr>
        <w:tc>
          <w:tcPr>
            <w:tcW w:w="330" w:type="dxa"/>
            <w:shd w:val="clear" w:color="auto" w:fill="FFFFFF"/>
            <w:vAlign w:val="center"/>
            <w:hideMark/>
          </w:tcPr>
          <w:p w14:paraId="4485C480" w14:textId="77777777" w:rsidR="00796898" w:rsidRPr="00796898" w:rsidRDefault="00796898" w:rsidP="00796898">
            <w:pPr>
              <w:spacing w:line="15" w:lineRule="atLeast"/>
              <w:rPr>
                <w:rFonts w:ascii="Arial" w:eastAsia="Times New Roman" w:hAnsi="Arial" w:cs="Arial"/>
                <w:color w:val="000000"/>
                <w:sz w:val="2"/>
                <w:szCs w:val="2"/>
                <w:lang w:eastAsia="fr-FR"/>
              </w:rPr>
            </w:pPr>
            <w:r w:rsidRPr="00796898">
              <w:rPr>
                <w:rFonts w:ascii="Arial" w:eastAsia="Times New Roman" w:hAnsi="Arial" w:cs="Arial"/>
                <w:color w:val="000000"/>
                <w:sz w:val="2"/>
                <w:szCs w:val="2"/>
                <w:lang w:eastAsia="fr-FR"/>
              </w:rPr>
              <w:lastRenderedPageBreak/>
              <w:br/>
              <w:t> </w:t>
            </w:r>
          </w:p>
        </w:tc>
        <w:tc>
          <w:tcPr>
            <w:tcW w:w="8940" w:type="dxa"/>
            <w:shd w:val="clear" w:color="auto" w:fill="FFFFFF"/>
            <w:hideMark/>
          </w:tcPr>
          <w:tbl>
            <w:tblPr>
              <w:tblW w:w="8940" w:type="dxa"/>
              <w:jc w:val="center"/>
              <w:tblCellMar>
                <w:left w:w="0" w:type="dxa"/>
                <w:right w:w="0" w:type="dxa"/>
              </w:tblCellMar>
              <w:tblLook w:val="04A0" w:firstRow="1" w:lastRow="0" w:firstColumn="1" w:lastColumn="0" w:noHBand="0" w:noVBand="1"/>
            </w:tblPr>
            <w:tblGrid>
              <w:gridCol w:w="8940"/>
            </w:tblGrid>
            <w:tr w:rsidR="00796898" w:rsidRPr="00796898" w14:paraId="0273BE19" w14:textId="77777777" w:rsidTr="00796898">
              <w:trPr>
                <w:jc w:val="center"/>
              </w:trPr>
              <w:tc>
                <w:tcPr>
                  <w:tcW w:w="8940" w:type="dxa"/>
                  <w:hideMark/>
                </w:tcPr>
                <w:p w14:paraId="5AD041A8" w14:textId="16529927" w:rsidR="00796898" w:rsidRPr="00B90135" w:rsidRDefault="00796898" w:rsidP="00B90135">
                  <w:pPr>
                    <w:pStyle w:val="Paragraphedeliste"/>
                    <w:numPr>
                      <w:ilvl w:val="0"/>
                      <w:numId w:val="34"/>
                    </w:numPr>
                    <w:rPr>
                      <w:rFonts w:ascii="Arial" w:hAnsi="Arial" w:cs="Arial"/>
                      <w:color w:val="000000"/>
                      <w:sz w:val="21"/>
                      <w:szCs w:val="21"/>
                    </w:rPr>
                  </w:pPr>
                  <w:r w:rsidRPr="00B90135">
                    <w:rPr>
                      <w:rFonts w:ascii="Arial" w:hAnsi="Arial" w:cs="Arial"/>
                      <w:b/>
                      <w:bCs/>
                      <w:color w:val="760049"/>
                    </w:rPr>
                    <w:t>Le CNLE rend son avis concernant le rapport annuel sur la complémentaire santé solidaire (C2S)</w:t>
                  </w:r>
                </w:p>
              </w:tc>
            </w:tr>
            <w:tr w:rsidR="00796898" w:rsidRPr="00796898" w14:paraId="05419FB4" w14:textId="77777777">
              <w:trPr>
                <w:trHeight w:val="150"/>
                <w:jc w:val="center"/>
              </w:trPr>
              <w:tc>
                <w:tcPr>
                  <w:tcW w:w="0" w:type="auto"/>
                  <w:vAlign w:val="center"/>
                  <w:hideMark/>
                </w:tcPr>
                <w:p w14:paraId="2D50866C" w14:textId="77777777" w:rsidR="00796898" w:rsidRPr="00796898" w:rsidRDefault="00796898" w:rsidP="00796898">
                  <w:pPr>
                    <w:spacing w:line="15" w:lineRule="atLeast"/>
                    <w:rPr>
                      <w:rFonts w:ascii="Arial" w:eastAsia="Times New Roman" w:hAnsi="Arial" w:cs="Arial"/>
                      <w:sz w:val="2"/>
                      <w:szCs w:val="2"/>
                      <w:lang w:eastAsia="fr-FR"/>
                    </w:rPr>
                  </w:pPr>
                  <w:r w:rsidRPr="00796898">
                    <w:rPr>
                      <w:rFonts w:ascii="Arial" w:eastAsia="Times New Roman" w:hAnsi="Arial" w:cs="Arial"/>
                      <w:sz w:val="2"/>
                      <w:szCs w:val="2"/>
                      <w:lang w:eastAsia="fr-FR"/>
                    </w:rPr>
                    <w:t> </w:t>
                  </w:r>
                </w:p>
              </w:tc>
            </w:tr>
            <w:tr w:rsidR="00796898" w:rsidRPr="00796898" w14:paraId="20121AA7" w14:textId="77777777">
              <w:trPr>
                <w:jc w:val="center"/>
              </w:trPr>
              <w:tc>
                <w:tcPr>
                  <w:tcW w:w="8940" w:type="dxa"/>
                  <w:hideMark/>
                </w:tcPr>
                <w:p w14:paraId="419864ED"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07/03/2024- La Direction de la Sécurité sociale (DSS) réalise, chaque année, un rapport portant sur la complémentaire santé solidaire (C2S). Le dernier révèle, qu’en juin 2023, le nombre de bénéficiaires de la C2S était de 7,4 millions, dont 5,9 millions pour la C2S gratuite (C2SG) et 1,5 million pour la C2S avec participation financière (C2SP). Les dépenses totales nettes ont atteint près de 3 Md€ en 2023, en augmentation de 1,8% par rapport à 2021. Conformément à la loi, le Conseil national des politiques de lutte contre la pauvreté et l’exclusion sociale (CNLE) est saisi par le Gouvernement afin de rendre un avis sur ce rapport annuel.</w:t>
                  </w:r>
                </w:p>
                <w:p w14:paraId="0E64BC35" w14:textId="77777777" w:rsidR="00796898" w:rsidRPr="00796898" w:rsidRDefault="00796898" w:rsidP="00796898">
                  <w:pPr>
                    <w:rPr>
                      <w:rFonts w:ascii="Arial" w:eastAsia="Times New Roman" w:hAnsi="Arial" w:cs="Arial"/>
                      <w:color w:val="000000"/>
                      <w:sz w:val="21"/>
                      <w:szCs w:val="21"/>
                      <w:lang w:eastAsia="fr-FR"/>
                    </w:rPr>
                  </w:pPr>
                </w:p>
                <w:p w14:paraId="4994E424"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Le CNLE s'est réjoui de l’extension de la C2S à Mayotte qui a permis à 20 000 personnes supplémentaires d’en bénéficier depuis le 1er janvier 2024. Il a également mis en avant les mesures de simplification pour améliorer l’accès au dispositif. Malgré ces avancées significatives, des inégalités d’accès aux soins et de prise en charge subsistent pour les assurés, en fonction notamment de leur statut d’affiliés : aide médicale de l’État (AME), protection universelle maladie (</w:t>
                  </w:r>
                  <w:proofErr w:type="spellStart"/>
                  <w:r w:rsidRPr="00796898">
                    <w:rPr>
                      <w:rFonts w:ascii="Arial" w:eastAsia="Times New Roman" w:hAnsi="Arial" w:cs="Arial"/>
                      <w:color w:val="000000"/>
                      <w:sz w:val="21"/>
                      <w:szCs w:val="21"/>
                      <w:lang w:eastAsia="fr-FR"/>
                    </w:rPr>
                    <w:t>PUMa</w:t>
                  </w:r>
                  <w:proofErr w:type="spellEnd"/>
                  <w:r w:rsidRPr="00796898">
                    <w:rPr>
                      <w:rFonts w:ascii="Arial" w:eastAsia="Times New Roman" w:hAnsi="Arial" w:cs="Arial"/>
                      <w:color w:val="000000"/>
                      <w:sz w:val="21"/>
                      <w:szCs w:val="21"/>
                      <w:lang w:eastAsia="fr-FR"/>
                    </w:rPr>
                    <w:t>) ou C2S. Le CNLE a ainsi rappelé l’urgence de répondre favorablement à la proposition de fusionner ces trois dispositifs. Le phénomène du non-recours figure également comme une préoccupation importante du Conseil. Le renoncement aux soins a augmenté de 14 points entre 2021 et 2022 pour des consultations généralistes, selon le rapport de la DSS. Dans ce contexte, le CNLE demande au Gouvernement d'accéder à la demande de mise en place "d'un régime unique d’Assurance maladie pour l’ensemble des personnes résidant sur le territoire, quel que soit leur statut, avec une prise en charge à 100%, d'un panier de soins à la hauteur des besoins de chacun". Le Conseil préconise également de généraliser le tiers payant. </w:t>
                  </w:r>
                </w:p>
                <w:p w14:paraId="70011D54" w14:textId="77777777" w:rsidR="00796898" w:rsidRPr="00796898" w:rsidRDefault="00796898" w:rsidP="00796898">
                  <w:pPr>
                    <w:rPr>
                      <w:rFonts w:ascii="Arial" w:eastAsia="Times New Roman" w:hAnsi="Arial" w:cs="Arial"/>
                      <w:color w:val="000000"/>
                      <w:sz w:val="21"/>
                      <w:szCs w:val="21"/>
                      <w:lang w:eastAsia="fr-FR"/>
                    </w:rPr>
                  </w:pPr>
                </w:p>
                <w:p w14:paraId="75CF2110"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De plus, le CNLE propose de renforcer le dispositif "d’aller-vers" en mobilisant activement les professionnels du premier recours. Avec les négociations conventionnelles en cours, il invite la Caisse nationale de l’Assurance maladie (Cnam) à valoriser la patientèle concernée auprès des médecins libéraux et des pharmaciens de ville </w:t>
                  </w:r>
                  <w:r w:rsidRPr="00796898">
                    <w:rPr>
                      <w:rFonts w:ascii="Arial" w:eastAsia="Times New Roman" w:hAnsi="Arial" w:cs="Arial"/>
                      <w:i/>
                      <w:iCs/>
                      <w:color w:val="000000"/>
                      <w:sz w:val="21"/>
                      <w:szCs w:val="21"/>
                      <w:lang w:eastAsia="fr-FR"/>
                    </w:rPr>
                    <w:t>via</w:t>
                  </w:r>
                  <w:r w:rsidRPr="00796898">
                    <w:rPr>
                      <w:rFonts w:ascii="Arial" w:eastAsia="Times New Roman" w:hAnsi="Arial" w:cs="Arial"/>
                      <w:color w:val="000000"/>
                      <w:sz w:val="21"/>
                      <w:szCs w:val="21"/>
                      <w:lang w:eastAsia="fr-FR"/>
                    </w:rPr>
                    <w:t> des incitations forfaitaires.</w:t>
                  </w:r>
                </w:p>
                <w:p w14:paraId="26346544" w14:textId="77777777" w:rsidR="00796898" w:rsidRPr="00796898" w:rsidRDefault="00796898" w:rsidP="00796898">
                  <w:pPr>
                    <w:rPr>
                      <w:rFonts w:ascii="Arial" w:eastAsia="Times New Roman" w:hAnsi="Arial" w:cs="Arial"/>
                      <w:color w:val="000000"/>
                      <w:sz w:val="21"/>
                      <w:szCs w:val="21"/>
                      <w:lang w:eastAsia="fr-FR"/>
                    </w:rPr>
                  </w:pPr>
                </w:p>
                <w:p w14:paraId="431D9E52"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 &gt; </w:t>
                  </w:r>
                  <w:hyperlink r:id="rId24" w:tgtFrame="_blank" w:history="1">
                    <w:r w:rsidRPr="00796898">
                      <w:rPr>
                        <w:rFonts w:ascii="Arial" w:eastAsia="Times New Roman" w:hAnsi="Arial" w:cs="Arial"/>
                        <w:color w:val="760049"/>
                        <w:sz w:val="21"/>
                        <w:szCs w:val="21"/>
                        <w:u w:val="single"/>
                        <w:lang w:eastAsia="fr-FR"/>
                      </w:rPr>
                      <w:t>Avis sur le rapport annuel de la complémentaire santé solidaire (C2S) 2023</w:t>
                    </w:r>
                  </w:hyperlink>
                  <w:r w:rsidRPr="00796898">
                    <w:rPr>
                      <w:rFonts w:ascii="Arial" w:eastAsia="Times New Roman" w:hAnsi="Arial" w:cs="Arial"/>
                      <w:color w:val="000000"/>
                      <w:sz w:val="21"/>
                      <w:szCs w:val="21"/>
                      <w:lang w:eastAsia="fr-FR"/>
                    </w:rPr>
                    <w:t> - Conseil national des politiques de lutte contre la pauvreté et l’exclusion sociale (CNLE), 26 février 2024</w:t>
                  </w:r>
                </w:p>
                <w:p w14:paraId="624F879A"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&gt; </w:t>
                  </w:r>
                  <w:hyperlink r:id="rId25" w:tgtFrame="_blank" w:history="1">
                    <w:r w:rsidRPr="00796898">
                      <w:rPr>
                        <w:rFonts w:ascii="Arial" w:eastAsia="Times New Roman" w:hAnsi="Arial" w:cs="Arial"/>
                        <w:color w:val="760049"/>
                        <w:sz w:val="21"/>
                        <w:szCs w:val="21"/>
                        <w:u w:val="single"/>
                        <w:lang w:eastAsia="fr-FR"/>
                      </w:rPr>
                      <w:t>Rapport annuel de la complémentaire santé solidaire 2023</w:t>
                    </w:r>
                  </w:hyperlink>
                  <w:r w:rsidRPr="00796898">
                    <w:rPr>
                      <w:rFonts w:ascii="Arial" w:eastAsia="Times New Roman" w:hAnsi="Arial" w:cs="Arial"/>
                      <w:color w:val="000000"/>
                      <w:sz w:val="21"/>
                      <w:szCs w:val="21"/>
                      <w:lang w:eastAsia="fr-FR"/>
                    </w:rPr>
                    <w:t> - Direction de la Sécurité sociale (DSS), 5 mars 2024</w:t>
                  </w:r>
                </w:p>
              </w:tc>
            </w:tr>
          </w:tbl>
          <w:p w14:paraId="71954E3C" w14:textId="77777777" w:rsidR="00796898" w:rsidRPr="00796898" w:rsidRDefault="00796898" w:rsidP="00796898">
            <w:pPr>
              <w:rPr>
                <w:rFonts w:ascii="Arial" w:eastAsia="Times New Roman" w:hAnsi="Arial" w:cs="Arial"/>
                <w:color w:val="000000"/>
                <w:sz w:val="21"/>
                <w:szCs w:val="21"/>
                <w:lang w:eastAsia="fr-FR"/>
              </w:rPr>
            </w:pPr>
          </w:p>
        </w:tc>
      </w:tr>
    </w:tbl>
    <w:p w14:paraId="2FCDC992" w14:textId="77777777" w:rsidR="00796898" w:rsidRDefault="00796898" w:rsidP="00DF33A9">
      <w:pPr>
        <w:pStyle w:val="Paragraphe"/>
      </w:pPr>
    </w:p>
    <w:tbl>
      <w:tblPr>
        <w:tblW w:w="8940" w:type="dxa"/>
        <w:jc w:val="center"/>
        <w:tblCellMar>
          <w:left w:w="0" w:type="dxa"/>
          <w:right w:w="0" w:type="dxa"/>
        </w:tblCellMar>
        <w:tblLook w:val="04A0" w:firstRow="1" w:lastRow="0" w:firstColumn="1" w:lastColumn="0" w:noHBand="0" w:noVBand="1"/>
      </w:tblPr>
      <w:tblGrid>
        <w:gridCol w:w="8940"/>
      </w:tblGrid>
      <w:tr w:rsidR="00796898" w:rsidRPr="00796898" w14:paraId="4434223F" w14:textId="77777777" w:rsidTr="00796898">
        <w:trPr>
          <w:jc w:val="center"/>
        </w:trPr>
        <w:tc>
          <w:tcPr>
            <w:tcW w:w="8940" w:type="dxa"/>
            <w:hideMark/>
          </w:tcPr>
          <w:p w14:paraId="1DBF051E" w14:textId="2E694970" w:rsidR="00796898" w:rsidRPr="00B90135" w:rsidRDefault="00796898" w:rsidP="00B90135">
            <w:pPr>
              <w:pStyle w:val="Paragraphedeliste"/>
              <w:numPr>
                <w:ilvl w:val="0"/>
                <w:numId w:val="34"/>
              </w:numPr>
              <w:rPr>
                <w:rFonts w:ascii="Arial" w:hAnsi="Arial" w:cs="Arial"/>
                <w:color w:val="000000"/>
                <w:sz w:val="21"/>
                <w:szCs w:val="21"/>
              </w:rPr>
            </w:pPr>
            <w:r w:rsidRPr="00B90135">
              <w:rPr>
                <w:rFonts w:ascii="Arial" w:hAnsi="Arial" w:cs="Arial"/>
                <w:b/>
                <w:bCs/>
                <w:color w:val="760049"/>
              </w:rPr>
              <w:t>En quête d’économies, les pouvoirs publics ouvrent une discussion sur les affections de longue durée (ALD)</w:t>
            </w:r>
          </w:p>
        </w:tc>
      </w:tr>
      <w:tr w:rsidR="00796898" w:rsidRPr="00796898" w14:paraId="271B7E34" w14:textId="77777777" w:rsidTr="00796898">
        <w:trPr>
          <w:trHeight w:val="150"/>
          <w:jc w:val="center"/>
        </w:trPr>
        <w:tc>
          <w:tcPr>
            <w:tcW w:w="0" w:type="auto"/>
            <w:vAlign w:val="center"/>
            <w:hideMark/>
          </w:tcPr>
          <w:p w14:paraId="1F129644" w14:textId="77777777" w:rsidR="00796898" w:rsidRPr="00796898" w:rsidRDefault="00796898" w:rsidP="00796898">
            <w:pPr>
              <w:spacing w:line="15" w:lineRule="atLeast"/>
              <w:rPr>
                <w:rFonts w:ascii="Arial" w:eastAsia="Times New Roman" w:hAnsi="Arial" w:cs="Arial"/>
                <w:sz w:val="2"/>
                <w:szCs w:val="2"/>
                <w:lang w:eastAsia="fr-FR"/>
              </w:rPr>
            </w:pPr>
            <w:r w:rsidRPr="00796898">
              <w:rPr>
                <w:rFonts w:ascii="Arial" w:eastAsia="Times New Roman" w:hAnsi="Arial" w:cs="Arial"/>
                <w:sz w:val="2"/>
                <w:szCs w:val="2"/>
                <w:lang w:eastAsia="fr-FR"/>
              </w:rPr>
              <w:t> </w:t>
            </w:r>
          </w:p>
        </w:tc>
      </w:tr>
      <w:tr w:rsidR="00796898" w:rsidRPr="00796898" w14:paraId="30A755A6" w14:textId="77777777" w:rsidTr="00796898">
        <w:trPr>
          <w:jc w:val="center"/>
        </w:trPr>
        <w:tc>
          <w:tcPr>
            <w:tcW w:w="8940" w:type="dxa"/>
            <w:hideMark/>
          </w:tcPr>
          <w:p w14:paraId="63D14255" w14:textId="45396724"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 xml:space="preserve">14/03/2024- Dans le domaine de la santé, le gouvernement va engager une réflexion sur la pertinence de l'actuel dispositif de prise en charge des ALD. Ce dernier concerne 20% des Français et représente deux tiers des remboursements de l'Assurance maladie. Frédéric </w:t>
            </w:r>
            <w:proofErr w:type="spellStart"/>
            <w:r w:rsidRPr="00796898">
              <w:rPr>
                <w:rFonts w:ascii="Arial" w:eastAsia="Times New Roman" w:hAnsi="Arial" w:cs="Arial"/>
                <w:color w:val="000000"/>
                <w:sz w:val="21"/>
                <w:szCs w:val="21"/>
                <w:lang w:eastAsia="fr-FR"/>
              </w:rPr>
              <w:t>Valletoux</w:t>
            </w:r>
            <w:proofErr w:type="spellEnd"/>
            <w:r w:rsidRPr="00796898">
              <w:rPr>
                <w:rFonts w:ascii="Arial" w:eastAsia="Times New Roman" w:hAnsi="Arial" w:cs="Arial"/>
                <w:color w:val="000000"/>
                <w:sz w:val="21"/>
                <w:szCs w:val="21"/>
                <w:lang w:eastAsia="fr-FR"/>
              </w:rPr>
              <w:t>, le ministre délégué chargé de la Santé et de la Prévention, entend "ouvrir une discussion avec les associations de patients et les médecins" sur la liste des ALD. Cette dernière compte une trentaine de pathologies et n'a évolué qu'une seule fois depuis sa création en 1986.</w:t>
            </w:r>
          </w:p>
          <w:p w14:paraId="6DEA9C42" w14:textId="77777777" w:rsidR="00796898" w:rsidRPr="00796898" w:rsidRDefault="00796898" w:rsidP="00796898">
            <w:pPr>
              <w:rPr>
                <w:rFonts w:ascii="Arial" w:eastAsia="Times New Roman" w:hAnsi="Arial" w:cs="Arial"/>
                <w:color w:val="000000"/>
                <w:sz w:val="21"/>
                <w:szCs w:val="21"/>
                <w:lang w:eastAsia="fr-FR"/>
              </w:rPr>
            </w:pPr>
          </w:p>
          <w:p w14:paraId="5C79779A"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Après ces annonces, 25 associations de malades chroniques (cancer, diabète...) ont fait part de leurs inquiétudes. Le ministre a tenu à les rassurer en précisant que l'exécutif ne chercherait pas à modifier cette liste, mais plutôt à maîtriser les dépenses de soins non liés à la pathologie éligible à l'ALD. L'utilisation des ordonnances "bizone" devra être renforcée.</w:t>
            </w:r>
          </w:p>
          <w:p w14:paraId="3AEE30E1" w14:textId="77777777" w:rsidR="00796898" w:rsidRPr="00796898" w:rsidRDefault="00796898" w:rsidP="00796898">
            <w:pPr>
              <w:rPr>
                <w:rFonts w:ascii="Arial" w:eastAsia="Times New Roman" w:hAnsi="Arial" w:cs="Arial"/>
                <w:color w:val="000000"/>
                <w:sz w:val="21"/>
                <w:szCs w:val="21"/>
                <w:lang w:eastAsia="fr-FR"/>
              </w:rPr>
            </w:pPr>
          </w:p>
          <w:p w14:paraId="5ED5EAB9"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lastRenderedPageBreak/>
              <w:t>&gt; </w:t>
            </w:r>
            <w:hyperlink r:id="rId26" w:tgtFrame="_blank" w:history="1">
              <w:r w:rsidRPr="00796898">
                <w:rPr>
                  <w:rFonts w:ascii="Arial" w:eastAsia="Times New Roman" w:hAnsi="Arial" w:cs="Arial"/>
                  <w:color w:val="760049"/>
                  <w:sz w:val="21"/>
                  <w:szCs w:val="21"/>
                  <w:u w:val="single"/>
                  <w:lang w:eastAsia="fr-FR"/>
                </w:rPr>
                <w:t>Budgets de l'État et de la Sécurité sociale : les économies devront atteindre "au moins 20 milliards d'euros" en 2025</w:t>
              </w:r>
            </w:hyperlink>
            <w:r w:rsidRPr="00796898">
              <w:rPr>
                <w:rFonts w:ascii="Arial" w:eastAsia="Times New Roman" w:hAnsi="Arial" w:cs="Arial"/>
                <w:color w:val="000000"/>
                <w:sz w:val="21"/>
                <w:szCs w:val="21"/>
                <w:lang w:eastAsia="fr-FR"/>
              </w:rPr>
              <w:t> - La Tribune, 6 mars 2024, La tribune avec AFP</w:t>
            </w:r>
          </w:p>
          <w:p w14:paraId="7A8DE56C" w14:textId="77777777" w:rsidR="00796898" w:rsidRPr="00796898" w:rsidRDefault="00796898" w:rsidP="00796898">
            <w:pPr>
              <w:rPr>
                <w:rFonts w:ascii="Arial" w:eastAsia="Times New Roman" w:hAnsi="Arial" w:cs="Arial"/>
                <w:color w:val="000000"/>
                <w:sz w:val="21"/>
                <w:szCs w:val="21"/>
                <w:lang w:eastAsia="fr-FR"/>
              </w:rPr>
            </w:pPr>
            <w:r w:rsidRPr="00796898">
              <w:rPr>
                <w:rFonts w:ascii="Arial" w:eastAsia="Times New Roman" w:hAnsi="Arial" w:cs="Arial"/>
                <w:color w:val="000000"/>
                <w:sz w:val="21"/>
                <w:szCs w:val="21"/>
                <w:lang w:eastAsia="fr-FR"/>
              </w:rPr>
              <w:t>&gt; </w:t>
            </w:r>
            <w:hyperlink r:id="rId27" w:tgtFrame="_blank" w:history="1">
              <w:r w:rsidRPr="00796898">
                <w:rPr>
                  <w:rFonts w:ascii="Arial" w:eastAsia="Times New Roman" w:hAnsi="Arial" w:cs="Arial"/>
                  <w:color w:val="760049"/>
                  <w:sz w:val="21"/>
                  <w:szCs w:val="21"/>
                  <w:u w:val="single"/>
                  <w:lang w:eastAsia="fr-FR"/>
                </w:rPr>
                <w:t xml:space="preserve">Santé : le ministre Frédéric </w:t>
              </w:r>
              <w:proofErr w:type="spellStart"/>
              <w:r w:rsidRPr="00796898">
                <w:rPr>
                  <w:rFonts w:ascii="Arial" w:eastAsia="Times New Roman" w:hAnsi="Arial" w:cs="Arial"/>
                  <w:color w:val="760049"/>
                  <w:sz w:val="21"/>
                  <w:szCs w:val="21"/>
                  <w:u w:val="single"/>
                  <w:lang w:eastAsia="fr-FR"/>
                </w:rPr>
                <w:t>Valletoux</w:t>
              </w:r>
              <w:proofErr w:type="spellEnd"/>
              <w:r w:rsidRPr="00796898">
                <w:rPr>
                  <w:rFonts w:ascii="Arial" w:eastAsia="Times New Roman" w:hAnsi="Arial" w:cs="Arial"/>
                  <w:color w:val="760049"/>
                  <w:sz w:val="21"/>
                  <w:szCs w:val="21"/>
                  <w:u w:val="single"/>
                  <w:lang w:eastAsia="fr-FR"/>
                </w:rPr>
                <w:t xml:space="preserve"> souhaite ouvrir une discussion sur la liste des affections longue durée, qui "date des années 1980"</w:t>
              </w:r>
            </w:hyperlink>
            <w:r w:rsidRPr="00796898">
              <w:rPr>
                <w:rFonts w:ascii="Arial" w:eastAsia="Times New Roman" w:hAnsi="Arial" w:cs="Arial"/>
                <w:color w:val="000000"/>
                <w:sz w:val="21"/>
                <w:szCs w:val="21"/>
                <w:lang w:eastAsia="fr-FR"/>
              </w:rPr>
              <w:t> - France info, 8 mars 2024, France info</w:t>
            </w:r>
          </w:p>
        </w:tc>
      </w:tr>
    </w:tbl>
    <w:p w14:paraId="00978BEA" w14:textId="77777777" w:rsidR="00796898" w:rsidRDefault="00796898" w:rsidP="00DF33A9">
      <w:pPr>
        <w:pStyle w:val="Paragraphe"/>
      </w:pPr>
    </w:p>
    <w:p w14:paraId="3A9237D6" w14:textId="16ECD46D" w:rsidR="00B90135" w:rsidRPr="00B90135" w:rsidRDefault="00B90135" w:rsidP="00B90135">
      <w:pPr>
        <w:pStyle w:val="Titre2"/>
        <w:rPr>
          <w:color w:val="C00000"/>
        </w:rPr>
      </w:pPr>
      <w:r w:rsidRPr="00B90135">
        <w:rPr>
          <w:color w:val="C00000"/>
        </w:rPr>
        <w:t xml:space="preserve">Actualités </w:t>
      </w:r>
    </w:p>
    <w:tbl>
      <w:tblPr>
        <w:tblW w:w="8940" w:type="dxa"/>
        <w:jc w:val="center"/>
        <w:tblCellMar>
          <w:left w:w="0" w:type="dxa"/>
          <w:right w:w="0" w:type="dxa"/>
        </w:tblCellMar>
        <w:tblLook w:val="04A0" w:firstRow="1" w:lastRow="0" w:firstColumn="1" w:lastColumn="0" w:noHBand="0" w:noVBand="1"/>
      </w:tblPr>
      <w:tblGrid>
        <w:gridCol w:w="8940"/>
      </w:tblGrid>
      <w:tr w:rsidR="00B90135" w:rsidRPr="00D83AA1" w14:paraId="3FC9E090" w14:textId="77777777" w:rsidTr="00324850">
        <w:trPr>
          <w:jc w:val="center"/>
        </w:trPr>
        <w:tc>
          <w:tcPr>
            <w:tcW w:w="8940" w:type="dxa"/>
            <w:hideMark/>
          </w:tcPr>
          <w:p w14:paraId="54CC619E" w14:textId="01FFF3CA" w:rsidR="00B90135" w:rsidRPr="00B90135" w:rsidRDefault="00B90135" w:rsidP="00B90135">
            <w:pPr>
              <w:pStyle w:val="Paragraphedeliste"/>
              <w:numPr>
                <w:ilvl w:val="0"/>
                <w:numId w:val="35"/>
              </w:numPr>
              <w:rPr>
                <w:rFonts w:ascii="Arial" w:hAnsi="Arial" w:cs="Arial"/>
                <w:color w:val="8D0029" w:themeColor="accent1" w:themeShade="BF"/>
                <w:sz w:val="21"/>
                <w:szCs w:val="21"/>
              </w:rPr>
            </w:pPr>
            <w:r w:rsidRPr="00B90135">
              <w:rPr>
                <w:rFonts w:ascii="Arial" w:hAnsi="Arial" w:cs="Arial"/>
                <w:b/>
                <w:bCs/>
                <w:color w:val="6B0923" w:themeColor="accent2" w:themeShade="BF"/>
              </w:rPr>
              <w:t>Le soin d’accompagnement, pierre angulaire du projet de loi sur la fin de vie</w:t>
            </w:r>
          </w:p>
        </w:tc>
      </w:tr>
      <w:tr w:rsidR="00B90135" w:rsidRPr="00D83AA1" w14:paraId="4F9C0470" w14:textId="77777777" w:rsidTr="00324850">
        <w:trPr>
          <w:trHeight w:val="150"/>
          <w:jc w:val="center"/>
        </w:trPr>
        <w:tc>
          <w:tcPr>
            <w:tcW w:w="0" w:type="auto"/>
            <w:vAlign w:val="center"/>
            <w:hideMark/>
          </w:tcPr>
          <w:p w14:paraId="3EB8B8F2" w14:textId="77777777" w:rsidR="00B90135" w:rsidRPr="00D83AA1" w:rsidRDefault="00B90135" w:rsidP="00324850">
            <w:pPr>
              <w:spacing w:line="15" w:lineRule="atLeast"/>
              <w:rPr>
                <w:rFonts w:ascii="Arial" w:eastAsia="Times New Roman" w:hAnsi="Arial" w:cs="Arial"/>
                <w:sz w:val="2"/>
                <w:szCs w:val="2"/>
                <w:lang w:eastAsia="fr-FR"/>
              </w:rPr>
            </w:pPr>
            <w:r w:rsidRPr="00D83AA1">
              <w:rPr>
                <w:rFonts w:ascii="Arial" w:eastAsia="Times New Roman" w:hAnsi="Arial" w:cs="Arial"/>
                <w:sz w:val="2"/>
                <w:szCs w:val="2"/>
                <w:lang w:eastAsia="fr-FR"/>
              </w:rPr>
              <w:t> </w:t>
            </w:r>
          </w:p>
        </w:tc>
      </w:tr>
      <w:tr w:rsidR="00B90135" w:rsidRPr="00D83AA1" w14:paraId="74837917" w14:textId="77777777" w:rsidTr="00324850">
        <w:trPr>
          <w:jc w:val="center"/>
        </w:trPr>
        <w:tc>
          <w:tcPr>
            <w:tcW w:w="8940" w:type="dxa"/>
            <w:hideMark/>
          </w:tcPr>
          <w:p w14:paraId="2F632570" w14:textId="77777777" w:rsidR="00B90135" w:rsidRPr="00D83AA1" w:rsidRDefault="00B90135" w:rsidP="00324850">
            <w:pPr>
              <w:rPr>
                <w:rFonts w:ascii="Arial" w:eastAsia="Times New Roman" w:hAnsi="Arial" w:cs="Arial"/>
                <w:color w:val="000000"/>
                <w:sz w:val="21"/>
                <w:szCs w:val="21"/>
                <w:lang w:eastAsia="fr-FR"/>
              </w:rPr>
            </w:pPr>
            <w:r w:rsidRPr="00D83AA1">
              <w:rPr>
                <w:rFonts w:ascii="Arial" w:eastAsia="Times New Roman" w:hAnsi="Arial" w:cs="Arial"/>
                <w:color w:val="000000"/>
                <w:sz w:val="21"/>
                <w:szCs w:val="21"/>
                <w:lang w:eastAsia="fr-FR"/>
              </w:rPr>
              <w:t>14/12/2023- À la suite de la remise du rapport de la Convention citoyenne sur la fin de vie en avril 2023, le président de la République a annoncé la création d'une stratégie décennale sur les soins palliatifs et un projet de loi sur la fin de vie. Ce dernier devrait notamment prévoir la possibilité, pour les malades incurables, de s’administrer un produit létal prescrit par un médecin ou - s’ils ne peuvent physiquement accomplir le geste - obtenir l’assistance d’un soignant, voire d’un proche. </w:t>
            </w:r>
          </w:p>
          <w:p w14:paraId="09A010FC" w14:textId="77777777" w:rsidR="00B90135" w:rsidRPr="00D83AA1" w:rsidRDefault="00B90135" w:rsidP="00324850">
            <w:pPr>
              <w:rPr>
                <w:rFonts w:ascii="Arial" w:eastAsia="Times New Roman" w:hAnsi="Arial" w:cs="Arial"/>
                <w:color w:val="000000"/>
                <w:sz w:val="21"/>
                <w:szCs w:val="21"/>
                <w:lang w:eastAsia="fr-FR"/>
              </w:rPr>
            </w:pPr>
          </w:p>
          <w:p w14:paraId="5CB8381C" w14:textId="77777777" w:rsidR="00B90135" w:rsidRPr="00D83AA1" w:rsidRDefault="00B90135" w:rsidP="00324850">
            <w:pPr>
              <w:rPr>
                <w:rFonts w:ascii="Arial" w:eastAsia="Times New Roman" w:hAnsi="Arial" w:cs="Arial"/>
                <w:color w:val="000000"/>
                <w:sz w:val="21"/>
                <w:szCs w:val="21"/>
                <w:lang w:eastAsia="fr-FR"/>
              </w:rPr>
            </w:pPr>
            <w:r w:rsidRPr="00D83AA1">
              <w:rPr>
                <w:rFonts w:ascii="Arial" w:eastAsia="Times New Roman" w:hAnsi="Arial" w:cs="Arial"/>
                <w:color w:val="000000"/>
                <w:sz w:val="21"/>
                <w:szCs w:val="21"/>
                <w:lang w:eastAsia="fr-FR"/>
              </w:rPr>
              <w:t>Le modèle français de la fin de vie prend donc forme avec une "petite révolution" dans les soins palliatifs. La ministre déléguée chargée de l'Organisation territoriale et des Professions de santé, Agnès Firmin Le Bodo, souhaite répondre aux besoins sociaux et psychologiques des patients en créant des "soins d'accompagnement". </w:t>
            </w:r>
          </w:p>
          <w:p w14:paraId="224D7C97" w14:textId="77777777" w:rsidR="00B90135" w:rsidRPr="00D83AA1" w:rsidRDefault="00B90135" w:rsidP="00324850">
            <w:pPr>
              <w:rPr>
                <w:rFonts w:ascii="Arial" w:eastAsia="Times New Roman" w:hAnsi="Arial" w:cs="Arial"/>
                <w:color w:val="000000"/>
                <w:sz w:val="21"/>
                <w:szCs w:val="21"/>
                <w:lang w:eastAsia="fr-FR"/>
              </w:rPr>
            </w:pPr>
          </w:p>
          <w:p w14:paraId="11B16E59" w14:textId="77777777" w:rsidR="00B90135" w:rsidRPr="00D83AA1" w:rsidRDefault="00B90135" w:rsidP="00324850">
            <w:pPr>
              <w:rPr>
                <w:rFonts w:ascii="Arial" w:eastAsia="Times New Roman" w:hAnsi="Arial" w:cs="Arial"/>
                <w:color w:val="000000"/>
                <w:sz w:val="21"/>
                <w:szCs w:val="21"/>
                <w:lang w:eastAsia="fr-FR"/>
              </w:rPr>
            </w:pPr>
            <w:r w:rsidRPr="00D83AA1">
              <w:rPr>
                <w:rFonts w:ascii="Arial" w:eastAsia="Times New Roman" w:hAnsi="Arial" w:cs="Arial"/>
                <w:color w:val="000000"/>
                <w:sz w:val="21"/>
                <w:szCs w:val="21"/>
                <w:lang w:eastAsia="fr-FR"/>
              </w:rPr>
              <w:t>Le rapport d'expertise, rendu public après six mois de travaux, identifie cinq axes prioritaires, dont l'accès équitable aux soins d'accompagnement et la mobilisation des territoires. Un plan décennal, dévoilé en janvier, proposerait 15 mesures, dont la formation massive en soins d'accompagnement et l'installation de 100 "maisons d'accompagnement" offrant des soins avec un faible degré de médicalisation. Le rapport préconise également une mobilisation de la société en faveur des personnes en fin de vie et suggère des expérimentations de collectifs d'entraide.</w:t>
            </w:r>
          </w:p>
          <w:p w14:paraId="5EE2F65E" w14:textId="77777777" w:rsidR="00B90135" w:rsidRPr="00D83AA1" w:rsidRDefault="00B90135" w:rsidP="00324850">
            <w:pPr>
              <w:rPr>
                <w:rFonts w:ascii="Arial" w:eastAsia="Times New Roman" w:hAnsi="Arial" w:cs="Arial"/>
                <w:color w:val="000000"/>
                <w:sz w:val="21"/>
                <w:szCs w:val="21"/>
                <w:lang w:eastAsia="fr-FR"/>
              </w:rPr>
            </w:pPr>
          </w:p>
          <w:p w14:paraId="44124A2B" w14:textId="77777777" w:rsidR="00B90135" w:rsidRPr="00D83AA1" w:rsidRDefault="00B90135" w:rsidP="00324850">
            <w:pPr>
              <w:rPr>
                <w:rFonts w:ascii="Arial" w:eastAsia="Times New Roman" w:hAnsi="Arial" w:cs="Arial"/>
                <w:color w:val="000000"/>
                <w:sz w:val="21"/>
                <w:szCs w:val="21"/>
                <w:lang w:eastAsia="fr-FR"/>
              </w:rPr>
            </w:pPr>
            <w:r w:rsidRPr="00D83AA1">
              <w:rPr>
                <w:rFonts w:ascii="Arial" w:eastAsia="Times New Roman" w:hAnsi="Arial" w:cs="Arial"/>
                <w:color w:val="000000"/>
                <w:sz w:val="21"/>
                <w:szCs w:val="21"/>
                <w:lang w:eastAsia="fr-FR"/>
              </w:rPr>
              <w:t>&gt; </w:t>
            </w:r>
            <w:hyperlink r:id="rId28" w:tgtFrame="_blank" w:history="1">
              <w:r w:rsidRPr="00D83AA1">
                <w:rPr>
                  <w:rFonts w:ascii="Arial" w:eastAsia="Times New Roman" w:hAnsi="Arial" w:cs="Arial"/>
                  <w:color w:val="760049"/>
                  <w:sz w:val="21"/>
                  <w:szCs w:val="21"/>
                  <w:u w:val="single"/>
                  <w:lang w:eastAsia="fr-FR"/>
                </w:rPr>
                <w:t>Remise du rapport "vers un modèle français des soins d’accompagnement"</w:t>
              </w:r>
            </w:hyperlink>
            <w:r w:rsidRPr="00D83AA1">
              <w:rPr>
                <w:rFonts w:ascii="Arial" w:eastAsia="Times New Roman" w:hAnsi="Arial" w:cs="Arial"/>
                <w:color w:val="000000"/>
                <w:sz w:val="21"/>
                <w:szCs w:val="21"/>
                <w:lang w:eastAsia="fr-FR"/>
              </w:rPr>
              <w:t> - Communiqué de presse d’Agnès Firmin Le Bodo, Ministère de la santé, 11 décembre 2023 </w:t>
            </w:r>
          </w:p>
          <w:p w14:paraId="0CB41B2E" w14:textId="77777777" w:rsidR="00B90135" w:rsidRPr="00D83AA1" w:rsidRDefault="00B90135" w:rsidP="00324850">
            <w:pPr>
              <w:rPr>
                <w:rFonts w:ascii="Arial" w:eastAsia="Times New Roman" w:hAnsi="Arial" w:cs="Arial"/>
                <w:color w:val="000000"/>
                <w:sz w:val="21"/>
                <w:szCs w:val="21"/>
                <w:lang w:eastAsia="fr-FR"/>
              </w:rPr>
            </w:pPr>
            <w:r w:rsidRPr="00D83AA1">
              <w:rPr>
                <w:rFonts w:ascii="Arial" w:eastAsia="Times New Roman" w:hAnsi="Arial" w:cs="Arial"/>
                <w:color w:val="000000"/>
                <w:sz w:val="21"/>
                <w:szCs w:val="21"/>
                <w:lang w:eastAsia="fr-FR"/>
              </w:rPr>
              <w:t>&gt; </w:t>
            </w:r>
            <w:hyperlink r:id="rId29" w:tgtFrame="_blank" w:history="1">
              <w:r w:rsidRPr="00D83AA1">
                <w:rPr>
                  <w:rFonts w:ascii="Arial" w:eastAsia="Times New Roman" w:hAnsi="Arial" w:cs="Arial"/>
                  <w:color w:val="760049"/>
                  <w:sz w:val="21"/>
                  <w:szCs w:val="21"/>
                  <w:u w:val="single"/>
                  <w:lang w:eastAsia="fr-FR"/>
                </w:rPr>
                <w:t>Fin de vie : le gouvernement promet une "petite révolution" dans la prise en charge des malades</w:t>
              </w:r>
            </w:hyperlink>
            <w:r w:rsidRPr="00D83AA1">
              <w:rPr>
                <w:rFonts w:ascii="Arial" w:eastAsia="Times New Roman" w:hAnsi="Arial" w:cs="Arial"/>
                <w:color w:val="000000"/>
                <w:sz w:val="21"/>
                <w:szCs w:val="21"/>
                <w:lang w:eastAsia="fr-FR"/>
              </w:rPr>
              <w:t> - France info, 8 décembre 2023, Yann Thompson </w:t>
            </w:r>
          </w:p>
        </w:tc>
      </w:tr>
    </w:tbl>
    <w:p w14:paraId="72C96F33" w14:textId="77777777" w:rsidR="00B90135" w:rsidRDefault="00B90135" w:rsidP="00B90135">
      <w:pPr>
        <w:pStyle w:val="Paragraphe"/>
      </w:pPr>
    </w:p>
    <w:p w14:paraId="34BBDD81" w14:textId="77777777" w:rsidR="00B90135" w:rsidRDefault="00B90135" w:rsidP="00B90135">
      <w:pPr>
        <w:pStyle w:val="Paragraphe"/>
      </w:pPr>
    </w:p>
    <w:p w14:paraId="1754CAB7" w14:textId="77777777" w:rsidR="00B90135" w:rsidRPr="00DF33A9" w:rsidRDefault="00B90135" w:rsidP="00DF33A9">
      <w:pPr>
        <w:pStyle w:val="Paragraphe"/>
      </w:pPr>
    </w:p>
    <w:sectPr w:rsidR="00B90135" w:rsidRPr="00DF33A9" w:rsidSect="00DF33A9">
      <w:headerReference w:type="even" r:id="rId30"/>
      <w:headerReference w:type="default" r:id="rId31"/>
      <w:footerReference w:type="default" r:id="rId32"/>
      <w:headerReference w:type="first" r:id="rId33"/>
      <w:footerReference w:type="first" r:id="rId34"/>
      <w:pgSz w:w="11900" w:h="16840"/>
      <w:pgMar w:top="2268" w:right="1134" w:bottom="1418" w:left="1134" w:header="851" w:footer="26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105002" w14:textId="77777777" w:rsidR="00DF33A9" w:rsidRDefault="00DF33A9" w:rsidP="00CD787D">
      <w:r>
        <w:separator/>
      </w:r>
    </w:p>
  </w:endnote>
  <w:endnote w:type="continuationSeparator" w:id="0">
    <w:p w14:paraId="57446EB0" w14:textId="77777777" w:rsidR="00DF33A9" w:rsidRDefault="00DF33A9" w:rsidP="00CD7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078261" w14:textId="77777777" w:rsidR="007561E0" w:rsidRPr="00453924" w:rsidRDefault="007561E0" w:rsidP="006E16AC">
    <w:pPr>
      <w:framePr w:w="713" w:wrap="none" w:vAnchor="text" w:hAnchor="page" w:x="10681" w:y="226"/>
      <w:jc w:val="right"/>
      <w:rPr>
        <w:rStyle w:val="Numrodepage"/>
        <w:sz w:val="18"/>
        <w:szCs w:val="18"/>
      </w:rPr>
    </w:pPr>
    <w:r>
      <w:rPr>
        <w:rStyle w:val="Numrodepage"/>
        <w:sz w:val="18"/>
        <w:szCs w:val="18"/>
      </w:rPr>
      <w:t xml:space="preserve">Page </w:t>
    </w:r>
    <w:sdt>
      <w:sdtPr>
        <w:rPr>
          <w:rStyle w:val="Numrodepage"/>
          <w:sz w:val="18"/>
          <w:szCs w:val="18"/>
        </w:rPr>
        <w:id w:val="57756630"/>
        <w:docPartObj>
          <w:docPartGallery w:val="Page Numbers (Top of Page)"/>
          <w:docPartUnique/>
        </w:docPartObj>
      </w:sdtPr>
      <w:sdtEndPr>
        <w:rPr>
          <w:rStyle w:val="Numrodepage"/>
        </w:rPr>
      </w:sdtEndPr>
      <w:sdtContent>
        <w:r w:rsidRPr="00453924">
          <w:rPr>
            <w:rStyle w:val="Numrodepage"/>
            <w:sz w:val="18"/>
            <w:szCs w:val="18"/>
          </w:rPr>
          <w:fldChar w:fldCharType="begin"/>
        </w:r>
        <w:r w:rsidRPr="00453924">
          <w:rPr>
            <w:rStyle w:val="Numrodepage"/>
            <w:sz w:val="18"/>
            <w:szCs w:val="18"/>
          </w:rPr>
          <w:instrText xml:space="preserve"> PAGE </w:instrText>
        </w:r>
        <w:r w:rsidRPr="00453924">
          <w:rPr>
            <w:rStyle w:val="Numrodepage"/>
            <w:sz w:val="18"/>
            <w:szCs w:val="18"/>
          </w:rPr>
          <w:fldChar w:fldCharType="separate"/>
        </w:r>
        <w:r w:rsidR="006E16AC">
          <w:rPr>
            <w:rStyle w:val="Numrodepage"/>
            <w:noProof/>
            <w:sz w:val="18"/>
            <w:szCs w:val="18"/>
          </w:rPr>
          <w:t>2</w:t>
        </w:r>
        <w:r w:rsidRPr="00453924">
          <w:rPr>
            <w:rStyle w:val="Numrodepage"/>
            <w:sz w:val="18"/>
            <w:szCs w:val="18"/>
          </w:rPr>
          <w:fldChar w:fldCharType="end"/>
        </w:r>
      </w:sdtContent>
    </w:sdt>
  </w:p>
  <w:p w14:paraId="0521B3A2" w14:textId="77777777" w:rsidR="00D15B59" w:rsidRPr="007561E0" w:rsidRDefault="007561E0" w:rsidP="007561E0">
    <w:pPr>
      <w:pStyle w:val="Styleinformations"/>
      <w:rPr>
        <w:rFonts w:ascii="Arial" w:hAnsi="Arial" w:cs="Arial"/>
        <w:sz w:val="20"/>
        <w:szCs w:val="20"/>
      </w:rPr>
    </w:pPr>
    <w:r>
      <w:rPr>
        <w:noProof/>
        <w:lang w:eastAsia="fr-FR"/>
      </w:rPr>
      <w:t xml:space="preserve"> </w:t>
    </w:r>
    <w:r w:rsidR="00D15B59">
      <w:rPr>
        <w:noProof/>
        <w:lang w:eastAsia="fr-FR"/>
      </w:rPr>
      <w:drawing>
        <wp:anchor distT="0" distB="0" distL="114300" distR="114300" simplePos="0" relativeHeight="251660288" behindDoc="0" locked="0" layoutInCell="1" allowOverlap="1" wp14:anchorId="05B6230B" wp14:editId="376B09E1">
          <wp:simplePos x="0" y="0"/>
          <wp:positionH relativeFrom="margin">
            <wp:align>left</wp:align>
          </wp:positionH>
          <wp:positionV relativeFrom="paragraph">
            <wp:posOffset>-76835</wp:posOffset>
          </wp:positionV>
          <wp:extent cx="533400" cy="419100"/>
          <wp:effectExtent l="0" t="0" r="0" b="0"/>
          <wp:wrapThrough wrapText="bothSides">
            <wp:wrapPolygon edited="0">
              <wp:start x="0" y="0"/>
              <wp:lineTo x="0" y="20618"/>
              <wp:lineTo x="20829" y="20618"/>
              <wp:lineTo x="20829" y="0"/>
              <wp:lineTo x="0" y="0"/>
            </wp:wrapPolygon>
          </wp:wrapThrough>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ed-de-page.jpg"/>
                  <pic:cNvPicPr/>
                </pic:nvPicPr>
                <pic:blipFill rotWithShape="1">
                  <a:blip r:embed="rId1" cstate="print">
                    <a:extLst>
                      <a:ext uri="{28A0092B-C50C-407E-A947-70E740481C1C}">
                        <a14:useLocalDpi xmlns:a14="http://schemas.microsoft.com/office/drawing/2010/main" val="0"/>
                      </a:ext>
                    </a:extLst>
                  </a:blip>
                  <a:srcRect t="-1" r="91250" b="-9999"/>
                  <a:stretch/>
                </pic:blipFill>
                <pic:spPr bwMode="auto">
                  <a:xfrm>
                    <a:off x="0" y="0"/>
                    <a:ext cx="533400" cy="419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sz w:val="22"/>
        <w:szCs w:val="22"/>
      </w:rPr>
      <w:t xml:space="preserve"> </w:t>
    </w:r>
    <w:r w:rsidR="00D15B59" w:rsidRPr="007561E0">
      <w:rPr>
        <w:rFonts w:ascii="Arial" w:hAnsi="Arial" w:cs="Arial"/>
        <w:sz w:val="20"/>
        <w:szCs w:val="20"/>
      </w:rPr>
      <w:t>Référence :</w:t>
    </w:r>
  </w:p>
  <w:p w14:paraId="78F51302" w14:textId="77777777" w:rsidR="00CD787D" w:rsidRPr="00D15B59" w:rsidRDefault="00CD787D" w:rsidP="00D15B59">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6777DC" w14:textId="77777777" w:rsidR="00D15B59" w:rsidRPr="007561E0" w:rsidRDefault="0004690F" w:rsidP="009972F6">
    <w:pPr>
      <w:pStyle w:val="Styleinformations"/>
      <w:spacing w:before="240"/>
      <w:rPr>
        <w:rFonts w:ascii="Arial" w:hAnsi="Arial" w:cs="Arial"/>
        <w:sz w:val="20"/>
        <w:szCs w:val="20"/>
      </w:rPr>
    </w:pPr>
    <w:r>
      <w:rPr>
        <w:noProof/>
        <w:lang w:eastAsia="fr-FR"/>
      </w:rPr>
      <w:drawing>
        <wp:anchor distT="0" distB="0" distL="114300" distR="114300" simplePos="0" relativeHeight="251658240" behindDoc="0" locked="0" layoutInCell="1" allowOverlap="1" wp14:anchorId="2DA2841F" wp14:editId="4EB36803">
          <wp:simplePos x="0" y="0"/>
          <wp:positionH relativeFrom="margin">
            <wp:posOffset>0</wp:posOffset>
          </wp:positionH>
          <wp:positionV relativeFrom="paragraph">
            <wp:posOffset>-635</wp:posOffset>
          </wp:positionV>
          <wp:extent cx="533400" cy="419100"/>
          <wp:effectExtent l="0" t="0" r="0" b="0"/>
          <wp:wrapThrough wrapText="bothSides">
            <wp:wrapPolygon edited="0">
              <wp:start x="0" y="0"/>
              <wp:lineTo x="0" y="20618"/>
              <wp:lineTo x="20829" y="20618"/>
              <wp:lineTo x="20829" y="0"/>
              <wp:lineTo x="0" y="0"/>
            </wp:wrapPolygon>
          </wp:wrapThrough>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ed-de-page.jpg"/>
                  <pic:cNvPicPr/>
                </pic:nvPicPr>
                <pic:blipFill rotWithShape="1">
                  <a:blip r:embed="rId1" cstate="print">
                    <a:extLst>
                      <a:ext uri="{28A0092B-C50C-407E-A947-70E740481C1C}">
                        <a14:useLocalDpi xmlns:a14="http://schemas.microsoft.com/office/drawing/2010/main" val="0"/>
                      </a:ext>
                    </a:extLst>
                  </a:blip>
                  <a:srcRect t="-1" r="91250" b="-9999"/>
                  <a:stretch/>
                </pic:blipFill>
                <pic:spPr bwMode="auto">
                  <a:xfrm>
                    <a:off x="0" y="0"/>
                    <a:ext cx="533400" cy="4191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561E0">
      <w:rPr>
        <w:rFonts w:ascii="Arial" w:hAnsi="Arial" w:cs="Arial"/>
        <w:sz w:val="22"/>
        <w:szCs w:val="22"/>
      </w:rPr>
      <w:t xml:space="preserve"> </w:t>
    </w:r>
    <w:r w:rsidR="00D15B59" w:rsidRPr="007561E0">
      <w:rPr>
        <w:rFonts w:ascii="Arial" w:hAnsi="Arial" w:cs="Arial"/>
        <w:sz w:val="20"/>
        <w:szCs w:val="20"/>
      </w:rPr>
      <w:t>Référence :</w:t>
    </w:r>
  </w:p>
  <w:p w14:paraId="236DF6BC" w14:textId="77777777" w:rsidR="0004690F" w:rsidRDefault="0004690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F8AEF6" w14:textId="77777777" w:rsidR="00DF33A9" w:rsidRDefault="00DF33A9" w:rsidP="00CD787D">
      <w:r>
        <w:separator/>
      </w:r>
    </w:p>
  </w:footnote>
  <w:footnote w:type="continuationSeparator" w:id="0">
    <w:p w14:paraId="7C96F2DF" w14:textId="77777777" w:rsidR="00DF33A9" w:rsidRDefault="00DF33A9" w:rsidP="00CD78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rodepage"/>
      </w:rPr>
      <w:id w:val="430554361"/>
      <w:docPartObj>
        <w:docPartGallery w:val="Page Numbers (Top of Page)"/>
        <w:docPartUnique/>
      </w:docPartObj>
    </w:sdtPr>
    <w:sdtEndPr>
      <w:rPr>
        <w:rStyle w:val="Numrodepage"/>
      </w:rPr>
    </w:sdtEndPr>
    <w:sdtContent>
      <w:p w14:paraId="67D36B53" w14:textId="77777777" w:rsidR="00453924" w:rsidRDefault="00453924" w:rsidP="00C13E74">
        <w:pPr>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sdt>
    <w:sdtPr>
      <w:rPr>
        <w:rStyle w:val="Numrodepage"/>
      </w:rPr>
      <w:id w:val="-282574808"/>
      <w:docPartObj>
        <w:docPartGallery w:val="Page Numbers (Top of Page)"/>
        <w:docPartUnique/>
      </w:docPartObj>
    </w:sdtPr>
    <w:sdtEndPr>
      <w:rPr>
        <w:rStyle w:val="Numrodepage"/>
      </w:rPr>
    </w:sdtEndPr>
    <w:sdtContent>
      <w:p w14:paraId="34C93548" w14:textId="77777777" w:rsidR="00453924" w:rsidRDefault="00453924" w:rsidP="00453924">
        <w:pPr>
          <w:framePr w:wrap="none" w:vAnchor="text" w:hAnchor="margin" w:xAlign="right" w:y="1"/>
          <w:ind w:right="360"/>
          <w:rPr>
            <w:rStyle w:val="Numrodepage"/>
          </w:rPr>
        </w:pPr>
        <w:r>
          <w:rPr>
            <w:rStyle w:val="Numrodepage"/>
          </w:rPr>
          <w:fldChar w:fldCharType="begin"/>
        </w:r>
        <w:r>
          <w:rPr>
            <w:rStyle w:val="Numrodepage"/>
          </w:rPr>
          <w:instrText xml:space="preserve"> PAGE </w:instrText>
        </w:r>
        <w:r>
          <w:rPr>
            <w:rStyle w:val="Numrodepage"/>
          </w:rPr>
          <w:fldChar w:fldCharType="end"/>
        </w:r>
      </w:p>
    </w:sdtContent>
  </w:sdt>
  <w:sdt>
    <w:sdtPr>
      <w:rPr>
        <w:rStyle w:val="Numrodepage"/>
      </w:rPr>
      <w:id w:val="-1906438398"/>
      <w:docPartObj>
        <w:docPartGallery w:val="Page Numbers (Top of Page)"/>
        <w:docPartUnique/>
      </w:docPartObj>
    </w:sdtPr>
    <w:sdtEndPr>
      <w:rPr>
        <w:rStyle w:val="Numrodepage"/>
      </w:rPr>
    </w:sdtEndPr>
    <w:sdtContent>
      <w:p w14:paraId="260DD4BD" w14:textId="77777777" w:rsidR="00BF647F" w:rsidRDefault="00BF647F" w:rsidP="00453924">
        <w:pPr>
          <w:framePr w:wrap="none" w:vAnchor="text" w:hAnchor="margin" w:xAlign="right" w:y="1"/>
          <w:ind w:right="360"/>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7BA7185E" w14:textId="77777777" w:rsidR="00BF647F" w:rsidRDefault="00BF647F" w:rsidP="00BF647F">
    <w:pP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D6F094" w14:textId="77777777" w:rsidR="00CD787D" w:rsidRDefault="00CD787D" w:rsidP="00BF647F">
    <w:pPr>
      <w:ind w:right="360"/>
    </w:pPr>
    <w:r>
      <w:rPr>
        <w:noProof/>
        <w:lang w:eastAsia="fr-FR"/>
      </w:rPr>
      <w:drawing>
        <wp:inline distT="0" distB="0" distL="0" distR="0" wp14:anchorId="6060B7CB" wp14:editId="7977D869">
          <wp:extent cx="1204857" cy="585017"/>
          <wp:effectExtent l="0" t="0" r="1905" b="0"/>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en3s-accroche-rvb.jpg"/>
                  <pic:cNvPicPr/>
                </pic:nvPicPr>
                <pic:blipFill>
                  <a:blip r:embed="rId1">
                    <a:extLst>
                      <a:ext uri="{28A0092B-C50C-407E-A947-70E740481C1C}">
                        <a14:useLocalDpi xmlns:a14="http://schemas.microsoft.com/office/drawing/2010/main" val="0"/>
                      </a:ext>
                    </a:extLst>
                  </a:blip>
                  <a:stretch>
                    <a:fillRect/>
                  </a:stretch>
                </pic:blipFill>
                <pic:spPr>
                  <a:xfrm>
                    <a:off x="0" y="0"/>
                    <a:ext cx="1219470" cy="592112"/>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C33A2C" w14:textId="77777777" w:rsidR="0004690F" w:rsidRDefault="0004690F" w:rsidP="00A16222">
    <w:pPr>
      <w:ind w:right="360"/>
    </w:pPr>
    <w:r>
      <w:rPr>
        <w:noProof/>
        <w:lang w:eastAsia="fr-FR"/>
      </w:rPr>
      <w:drawing>
        <wp:inline distT="0" distB="0" distL="0" distR="0" wp14:anchorId="2066CF03" wp14:editId="23206A80">
          <wp:extent cx="2197100" cy="1066800"/>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en3s-accroche-rvb.jpg"/>
                  <pic:cNvPicPr/>
                </pic:nvPicPr>
                <pic:blipFill>
                  <a:blip r:embed="rId1">
                    <a:extLst>
                      <a:ext uri="{28A0092B-C50C-407E-A947-70E740481C1C}">
                        <a14:useLocalDpi xmlns:a14="http://schemas.microsoft.com/office/drawing/2010/main" val="0"/>
                      </a:ext>
                    </a:extLst>
                  </a:blip>
                  <a:stretch>
                    <a:fillRect/>
                  </a:stretch>
                </pic:blipFill>
                <pic:spPr>
                  <a:xfrm>
                    <a:off x="0" y="0"/>
                    <a:ext cx="2197100" cy="1066800"/>
                  </a:xfrm>
                  <a:prstGeom prst="rect">
                    <a:avLst/>
                  </a:prstGeom>
                </pic:spPr>
              </pic:pic>
            </a:graphicData>
          </a:graphic>
        </wp:inline>
      </w:drawing>
    </w:r>
  </w:p>
  <w:p w14:paraId="2E9B91E9" w14:textId="77777777" w:rsidR="0004690F" w:rsidRDefault="0004690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4.25pt;height:14.25pt" o:bullet="t">
        <v:imagedata r:id="rId1" o:title="puce_sous_titre"/>
      </v:shape>
    </w:pict>
  </w:numPicBullet>
  <w:numPicBullet w:numPicBulletId="1">
    <w:pict>
      <v:shape id="_x0000_i1029" type="#_x0000_t75" style="width:33.75pt;height:33.75pt" o:bullet="t">
        <v:imagedata r:id="rId2" o:title="puce"/>
      </v:shape>
    </w:pict>
  </w:numPicBullet>
  <w:abstractNum w:abstractNumId="0" w15:restartNumberingAfterBreak="0">
    <w:nsid w:val="09C50980"/>
    <w:multiLevelType w:val="hybridMultilevel"/>
    <w:tmpl w:val="5FC6CA24"/>
    <w:lvl w:ilvl="0" w:tplc="78528760">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A1631A5"/>
    <w:multiLevelType w:val="hybridMultilevel"/>
    <w:tmpl w:val="2B0CF7E4"/>
    <w:lvl w:ilvl="0" w:tplc="A92CAFB0">
      <w:start w:val="1"/>
      <w:numFmt w:val="bullet"/>
      <w:pStyle w:val="Titre2"/>
      <w:lvlText w:val=""/>
      <w:lvlPicBulletId w:val="0"/>
      <w:lvlJc w:val="left"/>
      <w:pPr>
        <w:ind w:left="927" w:hanging="360"/>
      </w:pPr>
      <w:rPr>
        <w:rFonts w:ascii="Symbol" w:hAnsi="Symbol" w:hint="default"/>
        <w:color w:val="auto"/>
      </w:rPr>
    </w:lvl>
    <w:lvl w:ilvl="1" w:tplc="040C0003" w:tentative="1">
      <w:start w:val="1"/>
      <w:numFmt w:val="bullet"/>
      <w:lvlText w:val="o"/>
      <w:lvlJc w:val="left"/>
      <w:pPr>
        <w:ind w:left="1648" w:hanging="360"/>
      </w:pPr>
      <w:rPr>
        <w:rFonts w:ascii="Courier New" w:hAnsi="Courier New" w:cs="Courier New" w:hint="default"/>
      </w:rPr>
    </w:lvl>
    <w:lvl w:ilvl="2" w:tplc="040C0005" w:tentative="1">
      <w:start w:val="1"/>
      <w:numFmt w:val="bullet"/>
      <w:lvlText w:val=""/>
      <w:lvlJc w:val="left"/>
      <w:pPr>
        <w:ind w:left="2368" w:hanging="360"/>
      </w:pPr>
      <w:rPr>
        <w:rFonts w:ascii="Wingdings" w:hAnsi="Wingdings" w:hint="default"/>
      </w:rPr>
    </w:lvl>
    <w:lvl w:ilvl="3" w:tplc="040C0001" w:tentative="1">
      <w:start w:val="1"/>
      <w:numFmt w:val="bullet"/>
      <w:lvlText w:val=""/>
      <w:lvlJc w:val="left"/>
      <w:pPr>
        <w:ind w:left="3088" w:hanging="360"/>
      </w:pPr>
      <w:rPr>
        <w:rFonts w:ascii="Symbol" w:hAnsi="Symbol" w:hint="default"/>
      </w:rPr>
    </w:lvl>
    <w:lvl w:ilvl="4" w:tplc="040C0003" w:tentative="1">
      <w:start w:val="1"/>
      <w:numFmt w:val="bullet"/>
      <w:lvlText w:val="o"/>
      <w:lvlJc w:val="left"/>
      <w:pPr>
        <w:ind w:left="3808" w:hanging="360"/>
      </w:pPr>
      <w:rPr>
        <w:rFonts w:ascii="Courier New" w:hAnsi="Courier New" w:cs="Courier New" w:hint="default"/>
      </w:rPr>
    </w:lvl>
    <w:lvl w:ilvl="5" w:tplc="040C0005" w:tentative="1">
      <w:start w:val="1"/>
      <w:numFmt w:val="bullet"/>
      <w:lvlText w:val=""/>
      <w:lvlJc w:val="left"/>
      <w:pPr>
        <w:ind w:left="4528" w:hanging="360"/>
      </w:pPr>
      <w:rPr>
        <w:rFonts w:ascii="Wingdings" w:hAnsi="Wingdings" w:hint="default"/>
      </w:rPr>
    </w:lvl>
    <w:lvl w:ilvl="6" w:tplc="040C0001" w:tentative="1">
      <w:start w:val="1"/>
      <w:numFmt w:val="bullet"/>
      <w:lvlText w:val=""/>
      <w:lvlJc w:val="left"/>
      <w:pPr>
        <w:ind w:left="5248" w:hanging="360"/>
      </w:pPr>
      <w:rPr>
        <w:rFonts w:ascii="Symbol" w:hAnsi="Symbol" w:hint="default"/>
      </w:rPr>
    </w:lvl>
    <w:lvl w:ilvl="7" w:tplc="040C0003" w:tentative="1">
      <w:start w:val="1"/>
      <w:numFmt w:val="bullet"/>
      <w:lvlText w:val="o"/>
      <w:lvlJc w:val="left"/>
      <w:pPr>
        <w:ind w:left="5968" w:hanging="360"/>
      </w:pPr>
      <w:rPr>
        <w:rFonts w:ascii="Courier New" w:hAnsi="Courier New" w:cs="Courier New" w:hint="default"/>
      </w:rPr>
    </w:lvl>
    <w:lvl w:ilvl="8" w:tplc="040C0005" w:tentative="1">
      <w:start w:val="1"/>
      <w:numFmt w:val="bullet"/>
      <w:lvlText w:val=""/>
      <w:lvlJc w:val="left"/>
      <w:pPr>
        <w:ind w:left="6688" w:hanging="360"/>
      </w:pPr>
      <w:rPr>
        <w:rFonts w:ascii="Wingdings" w:hAnsi="Wingdings" w:hint="default"/>
      </w:rPr>
    </w:lvl>
  </w:abstractNum>
  <w:abstractNum w:abstractNumId="2" w15:restartNumberingAfterBreak="0">
    <w:nsid w:val="0D551519"/>
    <w:multiLevelType w:val="hybridMultilevel"/>
    <w:tmpl w:val="47783920"/>
    <w:lvl w:ilvl="0" w:tplc="78528760">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749100C"/>
    <w:multiLevelType w:val="hybridMultilevel"/>
    <w:tmpl w:val="C4EADF6E"/>
    <w:lvl w:ilvl="0" w:tplc="3C481DF8">
      <w:start w:val="1"/>
      <w:numFmt w:val="bullet"/>
      <w:lvlText w:val=""/>
      <w:lvlJc w:val="left"/>
      <w:pPr>
        <w:tabs>
          <w:tab w:val="num" w:pos="720"/>
        </w:tabs>
        <w:ind w:left="720" w:hanging="360"/>
      </w:pPr>
      <w:rPr>
        <w:rFonts w:ascii="Symbol" w:hAnsi="Symbol" w:hint="default"/>
      </w:rPr>
    </w:lvl>
    <w:lvl w:ilvl="1" w:tplc="2C32D088" w:tentative="1">
      <w:start w:val="1"/>
      <w:numFmt w:val="bullet"/>
      <w:lvlText w:val=""/>
      <w:lvlJc w:val="left"/>
      <w:pPr>
        <w:tabs>
          <w:tab w:val="num" w:pos="1440"/>
        </w:tabs>
        <w:ind w:left="1440" w:hanging="360"/>
      </w:pPr>
      <w:rPr>
        <w:rFonts w:ascii="Symbol" w:hAnsi="Symbol" w:hint="default"/>
      </w:rPr>
    </w:lvl>
    <w:lvl w:ilvl="2" w:tplc="6AB896E8" w:tentative="1">
      <w:start w:val="1"/>
      <w:numFmt w:val="bullet"/>
      <w:lvlText w:val=""/>
      <w:lvlJc w:val="left"/>
      <w:pPr>
        <w:tabs>
          <w:tab w:val="num" w:pos="2160"/>
        </w:tabs>
        <w:ind w:left="2160" w:hanging="360"/>
      </w:pPr>
      <w:rPr>
        <w:rFonts w:ascii="Symbol" w:hAnsi="Symbol" w:hint="default"/>
      </w:rPr>
    </w:lvl>
    <w:lvl w:ilvl="3" w:tplc="C84458B4" w:tentative="1">
      <w:start w:val="1"/>
      <w:numFmt w:val="bullet"/>
      <w:lvlText w:val=""/>
      <w:lvlJc w:val="left"/>
      <w:pPr>
        <w:tabs>
          <w:tab w:val="num" w:pos="2880"/>
        </w:tabs>
        <w:ind w:left="2880" w:hanging="360"/>
      </w:pPr>
      <w:rPr>
        <w:rFonts w:ascii="Symbol" w:hAnsi="Symbol" w:hint="default"/>
      </w:rPr>
    </w:lvl>
    <w:lvl w:ilvl="4" w:tplc="892CDDF0" w:tentative="1">
      <w:start w:val="1"/>
      <w:numFmt w:val="bullet"/>
      <w:lvlText w:val=""/>
      <w:lvlJc w:val="left"/>
      <w:pPr>
        <w:tabs>
          <w:tab w:val="num" w:pos="3600"/>
        </w:tabs>
        <w:ind w:left="3600" w:hanging="360"/>
      </w:pPr>
      <w:rPr>
        <w:rFonts w:ascii="Symbol" w:hAnsi="Symbol" w:hint="default"/>
      </w:rPr>
    </w:lvl>
    <w:lvl w:ilvl="5" w:tplc="D12885F0" w:tentative="1">
      <w:start w:val="1"/>
      <w:numFmt w:val="bullet"/>
      <w:lvlText w:val=""/>
      <w:lvlJc w:val="left"/>
      <w:pPr>
        <w:tabs>
          <w:tab w:val="num" w:pos="4320"/>
        </w:tabs>
        <w:ind w:left="4320" w:hanging="360"/>
      </w:pPr>
      <w:rPr>
        <w:rFonts w:ascii="Symbol" w:hAnsi="Symbol" w:hint="default"/>
      </w:rPr>
    </w:lvl>
    <w:lvl w:ilvl="6" w:tplc="EC062BEE" w:tentative="1">
      <w:start w:val="1"/>
      <w:numFmt w:val="bullet"/>
      <w:lvlText w:val=""/>
      <w:lvlJc w:val="left"/>
      <w:pPr>
        <w:tabs>
          <w:tab w:val="num" w:pos="5040"/>
        </w:tabs>
        <w:ind w:left="5040" w:hanging="360"/>
      </w:pPr>
      <w:rPr>
        <w:rFonts w:ascii="Symbol" w:hAnsi="Symbol" w:hint="default"/>
      </w:rPr>
    </w:lvl>
    <w:lvl w:ilvl="7" w:tplc="CE42587C" w:tentative="1">
      <w:start w:val="1"/>
      <w:numFmt w:val="bullet"/>
      <w:lvlText w:val=""/>
      <w:lvlJc w:val="left"/>
      <w:pPr>
        <w:tabs>
          <w:tab w:val="num" w:pos="5760"/>
        </w:tabs>
        <w:ind w:left="5760" w:hanging="360"/>
      </w:pPr>
      <w:rPr>
        <w:rFonts w:ascii="Symbol" w:hAnsi="Symbol" w:hint="default"/>
      </w:rPr>
    </w:lvl>
    <w:lvl w:ilvl="8" w:tplc="EE5CDA5A"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A782F2D"/>
    <w:multiLevelType w:val="hybridMultilevel"/>
    <w:tmpl w:val="1AC44A80"/>
    <w:lvl w:ilvl="0" w:tplc="6D54AE06">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EA0296C"/>
    <w:multiLevelType w:val="hybridMultilevel"/>
    <w:tmpl w:val="D194A5EA"/>
    <w:lvl w:ilvl="0" w:tplc="78528760">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0D00CF3"/>
    <w:multiLevelType w:val="hybridMultilevel"/>
    <w:tmpl w:val="BD42FE00"/>
    <w:lvl w:ilvl="0" w:tplc="0B7CD802">
      <w:start w:val="1"/>
      <w:numFmt w:val="decimal"/>
      <w:lvlText w:val="%1."/>
      <w:lvlJc w:val="left"/>
      <w:pPr>
        <w:ind w:left="720" w:hanging="360"/>
      </w:pPr>
      <w:rPr>
        <w:rFonts w:hint="default"/>
        <w:b/>
        <w:color w:val="6B0923" w:themeColor="accent2" w:themeShade="BF"/>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4A62456"/>
    <w:multiLevelType w:val="hybridMultilevel"/>
    <w:tmpl w:val="D9E83760"/>
    <w:lvl w:ilvl="0" w:tplc="66AC6436">
      <w:start w:val="2"/>
      <w:numFmt w:val="decimal"/>
      <w:lvlText w:val="%1."/>
      <w:lvlJc w:val="left"/>
      <w:pPr>
        <w:ind w:left="1080" w:hanging="360"/>
      </w:pPr>
      <w:rPr>
        <w:rFonts w:hint="default"/>
        <w:b/>
        <w:color w:val="760049"/>
        <w:sz w:val="24"/>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8" w15:restartNumberingAfterBreak="0">
    <w:nsid w:val="24EA5385"/>
    <w:multiLevelType w:val="hybridMultilevel"/>
    <w:tmpl w:val="D762501C"/>
    <w:lvl w:ilvl="0" w:tplc="040C0001">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2AF0689C"/>
    <w:multiLevelType w:val="hybridMultilevel"/>
    <w:tmpl w:val="FC6204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EAF2E99"/>
    <w:multiLevelType w:val="hybridMultilevel"/>
    <w:tmpl w:val="A1C6B37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05E357A"/>
    <w:multiLevelType w:val="hybridMultilevel"/>
    <w:tmpl w:val="7BE69B9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5326CDE"/>
    <w:multiLevelType w:val="hybridMultilevel"/>
    <w:tmpl w:val="91CEF7BE"/>
    <w:lvl w:ilvl="0" w:tplc="040C0001">
      <w:start w:val="1"/>
      <w:numFmt w:val="bullet"/>
      <w:lvlText w:val=""/>
      <w:lvlJc w:val="left"/>
      <w:pPr>
        <w:ind w:left="720" w:hanging="360"/>
      </w:pPr>
      <w:rPr>
        <w:rFonts w:ascii="Symbol" w:hAnsi="Symbol" w:hint="default"/>
      </w:rPr>
    </w:lvl>
    <w:lvl w:ilvl="1" w:tplc="78887FF0">
      <w:start w:val="225"/>
      <w:numFmt w:val="bullet"/>
      <w:lvlText w:val=""/>
      <w:lvlJc w:val="left"/>
      <w:pPr>
        <w:tabs>
          <w:tab w:val="num" w:pos="1440"/>
        </w:tabs>
        <w:ind w:left="1440" w:hanging="360"/>
      </w:pPr>
      <w:rPr>
        <w:rFonts w:ascii="Symbol" w:hAnsi="Symbol" w:hint="default"/>
      </w:rPr>
    </w:lvl>
    <w:lvl w:ilvl="2" w:tplc="7B782554" w:tentative="1">
      <w:start w:val="1"/>
      <w:numFmt w:val="bullet"/>
      <w:lvlText w:val=""/>
      <w:lvlJc w:val="left"/>
      <w:pPr>
        <w:tabs>
          <w:tab w:val="num" w:pos="2160"/>
        </w:tabs>
        <w:ind w:left="2160" w:hanging="360"/>
      </w:pPr>
      <w:rPr>
        <w:rFonts w:ascii="Symbol" w:hAnsi="Symbol" w:hint="default"/>
      </w:rPr>
    </w:lvl>
    <w:lvl w:ilvl="3" w:tplc="89C6FFB0" w:tentative="1">
      <w:start w:val="1"/>
      <w:numFmt w:val="bullet"/>
      <w:lvlText w:val=""/>
      <w:lvlJc w:val="left"/>
      <w:pPr>
        <w:tabs>
          <w:tab w:val="num" w:pos="2880"/>
        </w:tabs>
        <w:ind w:left="2880" w:hanging="360"/>
      </w:pPr>
      <w:rPr>
        <w:rFonts w:ascii="Symbol" w:hAnsi="Symbol" w:hint="default"/>
      </w:rPr>
    </w:lvl>
    <w:lvl w:ilvl="4" w:tplc="C8308FDC" w:tentative="1">
      <w:start w:val="1"/>
      <w:numFmt w:val="bullet"/>
      <w:lvlText w:val=""/>
      <w:lvlJc w:val="left"/>
      <w:pPr>
        <w:tabs>
          <w:tab w:val="num" w:pos="3600"/>
        </w:tabs>
        <w:ind w:left="3600" w:hanging="360"/>
      </w:pPr>
      <w:rPr>
        <w:rFonts w:ascii="Symbol" w:hAnsi="Symbol" w:hint="default"/>
      </w:rPr>
    </w:lvl>
    <w:lvl w:ilvl="5" w:tplc="85D84ECE" w:tentative="1">
      <w:start w:val="1"/>
      <w:numFmt w:val="bullet"/>
      <w:lvlText w:val=""/>
      <w:lvlJc w:val="left"/>
      <w:pPr>
        <w:tabs>
          <w:tab w:val="num" w:pos="4320"/>
        </w:tabs>
        <w:ind w:left="4320" w:hanging="360"/>
      </w:pPr>
      <w:rPr>
        <w:rFonts w:ascii="Symbol" w:hAnsi="Symbol" w:hint="default"/>
      </w:rPr>
    </w:lvl>
    <w:lvl w:ilvl="6" w:tplc="89B2F58C" w:tentative="1">
      <w:start w:val="1"/>
      <w:numFmt w:val="bullet"/>
      <w:lvlText w:val=""/>
      <w:lvlJc w:val="left"/>
      <w:pPr>
        <w:tabs>
          <w:tab w:val="num" w:pos="5040"/>
        </w:tabs>
        <w:ind w:left="5040" w:hanging="360"/>
      </w:pPr>
      <w:rPr>
        <w:rFonts w:ascii="Symbol" w:hAnsi="Symbol" w:hint="default"/>
      </w:rPr>
    </w:lvl>
    <w:lvl w:ilvl="7" w:tplc="A49C795C" w:tentative="1">
      <w:start w:val="1"/>
      <w:numFmt w:val="bullet"/>
      <w:lvlText w:val=""/>
      <w:lvlJc w:val="left"/>
      <w:pPr>
        <w:tabs>
          <w:tab w:val="num" w:pos="5760"/>
        </w:tabs>
        <w:ind w:left="5760" w:hanging="360"/>
      </w:pPr>
      <w:rPr>
        <w:rFonts w:ascii="Symbol" w:hAnsi="Symbol" w:hint="default"/>
      </w:rPr>
    </w:lvl>
    <w:lvl w:ilvl="8" w:tplc="1A1032DA"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92B737B"/>
    <w:multiLevelType w:val="hybridMultilevel"/>
    <w:tmpl w:val="D7160B90"/>
    <w:lvl w:ilvl="0" w:tplc="18003C78">
      <w:start w:val="1"/>
      <w:numFmt w:val="bullet"/>
      <w:lvlText w:val="•"/>
      <w:lvlJc w:val="left"/>
      <w:pPr>
        <w:tabs>
          <w:tab w:val="num" w:pos="720"/>
        </w:tabs>
        <w:ind w:left="720" w:hanging="360"/>
      </w:pPr>
      <w:rPr>
        <w:rFonts w:ascii="Times New Roman" w:hAnsi="Times New Roman" w:hint="default"/>
      </w:rPr>
    </w:lvl>
    <w:lvl w:ilvl="1" w:tplc="15B642B2">
      <w:numFmt w:val="none"/>
      <w:lvlText w:val=""/>
      <w:lvlJc w:val="left"/>
      <w:pPr>
        <w:tabs>
          <w:tab w:val="num" w:pos="360"/>
        </w:tabs>
      </w:pPr>
    </w:lvl>
    <w:lvl w:ilvl="2" w:tplc="2E18C2DC" w:tentative="1">
      <w:start w:val="1"/>
      <w:numFmt w:val="bullet"/>
      <w:lvlText w:val="•"/>
      <w:lvlJc w:val="left"/>
      <w:pPr>
        <w:tabs>
          <w:tab w:val="num" w:pos="2160"/>
        </w:tabs>
        <w:ind w:left="2160" w:hanging="360"/>
      </w:pPr>
      <w:rPr>
        <w:rFonts w:ascii="Times New Roman" w:hAnsi="Times New Roman" w:hint="default"/>
      </w:rPr>
    </w:lvl>
    <w:lvl w:ilvl="3" w:tplc="100CFA44" w:tentative="1">
      <w:start w:val="1"/>
      <w:numFmt w:val="bullet"/>
      <w:lvlText w:val="•"/>
      <w:lvlJc w:val="left"/>
      <w:pPr>
        <w:tabs>
          <w:tab w:val="num" w:pos="2880"/>
        </w:tabs>
        <w:ind w:left="2880" w:hanging="360"/>
      </w:pPr>
      <w:rPr>
        <w:rFonts w:ascii="Times New Roman" w:hAnsi="Times New Roman" w:hint="default"/>
      </w:rPr>
    </w:lvl>
    <w:lvl w:ilvl="4" w:tplc="B2C24300" w:tentative="1">
      <w:start w:val="1"/>
      <w:numFmt w:val="bullet"/>
      <w:lvlText w:val="•"/>
      <w:lvlJc w:val="left"/>
      <w:pPr>
        <w:tabs>
          <w:tab w:val="num" w:pos="3600"/>
        </w:tabs>
        <w:ind w:left="3600" w:hanging="360"/>
      </w:pPr>
      <w:rPr>
        <w:rFonts w:ascii="Times New Roman" w:hAnsi="Times New Roman" w:hint="default"/>
      </w:rPr>
    </w:lvl>
    <w:lvl w:ilvl="5" w:tplc="A196A124" w:tentative="1">
      <w:start w:val="1"/>
      <w:numFmt w:val="bullet"/>
      <w:lvlText w:val="•"/>
      <w:lvlJc w:val="left"/>
      <w:pPr>
        <w:tabs>
          <w:tab w:val="num" w:pos="4320"/>
        </w:tabs>
        <w:ind w:left="4320" w:hanging="360"/>
      </w:pPr>
      <w:rPr>
        <w:rFonts w:ascii="Times New Roman" w:hAnsi="Times New Roman" w:hint="default"/>
      </w:rPr>
    </w:lvl>
    <w:lvl w:ilvl="6" w:tplc="57C2408C" w:tentative="1">
      <w:start w:val="1"/>
      <w:numFmt w:val="bullet"/>
      <w:lvlText w:val="•"/>
      <w:lvlJc w:val="left"/>
      <w:pPr>
        <w:tabs>
          <w:tab w:val="num" w:pos="5040"/>
        </w:tabs>
        <w:ind w:left="5040" w:hanging="360"/>
      </w:pPr>
      <w:rPr>
        <w:rFonts w:ascii="Times New Roman" w:hAnsi="Times New Roman" w:hint="default"/>
      </w:rPr>
    </w:lvl>
    <w:lvl w:ilvl="7" w:tplc="970E5CF2" w:tentative="1">
      <w:start w:val="1"/>
      <w:numFmt w:val="bullet"/>
      <w:lvlText w:val="•"/>
      <w:lvlJc w:val="left"/>
      <w:pPr>
        <w:tabs>
          <w:tab w:val="num" w:pos="5760"/>
        </w:tabs>
        <w:ind w:left="5760" w:hanging="360"/>
      </w:pPr>
      <w:rPr>
        <w:rFonts w:ascii="Times New Roman" w:hAnsi="Times New Roman" w:hint="default"/>
      </w:rPr>
    </w:lvl>
    <w:lvl w:ilvl="8" w:tplc="0428B39E"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39965D56"/>
    <w:multiLevelType w:val="hybridMultilevel"/>
    <w:tmpl w:val="E076B89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A3D02F2"/>
    <w:multiLevelType w:val="hybridMultilevel"/>
    <w:tmpl w:val="8018AD56"/>
    <w:lvl w:ilvl="0" w:tplc="78528760">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FBE300F"/>
    <w:multiLevelType w:val="hybridMultilevel"/>
    <w:tmpl w:val="F19C775E"/>
    <w:lvl w:ilvl="0" w:tplc="C122CE22">
      <w:start w:val="1"/>
      <w:numFmt w:val="decimal"/>
      <w:pStyle w:val="Soustitre1note"/>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41DC6584"/>
    <w:multiLevelType w:val="hybridMultilevel"/>
    <w:tmpl w:val="A69A0EB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3350C40"/>
    <w:multiLevelType w:val="hybridMultilevel"/>
    <w:tmpl w:val="2C84202E"/>
    <w:lvl w:ilvl="0" w:tplc="C686A1AA">
      <w:start w:val="1"/>
      <w:numFmt w:val="bullet"/>
      <w:lvlText w:val=""/>
      <w:lvlJc w:val="left"/>
      <w:pPr>
        <w:tabs>
          <w:tab w:val="num" w:pos="720"/>
        </w:tabs>
        <w:ind w:left="720" w:hanging="360"/>
      </w:pPr>
      <w:rPr>
        <w:rFonts w:ascii="Symbol" w:hAnsi="Symbol" w:hint="default"/>
      </w:rPr>
    </w:lvl>
    <w:lvl w:ilvl="1" w:tplc="78887FF0">
      <w:start w:val="225"/>
      <w:numFmt w:val="bullet"/>
      <w:lvlText w:val=""/>
      <w:lvlJc w:val="left"/>
      <w:pPr>
        <w:tabs>
          <w:tab w:val="num" w:pos="1440"/>
        </w:tabs>
        <w:ind w:left="1440" w:hanging="360"/>
      </w:pPr>
      <w:rPr>
        <w:rFonts w:ascii="Symbol" w:hAnsi="Symbol" w:hint="default"/>
      </w:rPr>
    </w:lvl>
    <w:lvl w:ilvl="2" w:tplc="7B782554" w:tentative="1">
      <w:start w:val="1"/>
      <w:numFmt w:val="bullet"/>
      <w:lvlText w:val=""/>
      <w:lvlJc w:val="left"/>
      <w:pPr>
        <w:tabs>
          <w:tab w:val="num" w:pos="2160"/>
        </w:tabs>
        <w:ind w:left="2160" w:hanging="360"/>
      </w:pPr>
      <w:rPr>
        <w:rFonts w:ascii="Symbol" w:hAnsi="Symbol" w:hint="default"/>
      </w:rPr>
    </w:lvl>
    <w:lvl w:ilvl="3" w:tplc="89C6FFB0" w:tentative="1">
      <w:start w:val="1"/>
      <w:numFmt w:val="bullet"/>
      <w:lvlText w:val=""/>
      <w:lvlJc w:val="left"/>
      <w:pPr>
        <w:tabs>
          <w:tab w:val="num" w:pos="2880"/>
        </w:tabs>
        <w:ind w:left="2880" w:hanging="360"/>
      </w:pPr>
      <w:rPr>
        <w:rFonts w:ascii="Symbol" w:hAnsi="Symbol" w:hint="default"/>
      </w:rPr>
    </w:lvl>
    <w:lvl w:ilvl="4" w:tplc="C8308FDC" w:tentative="1">
      <w:start w:val="1"/>
      <w:numFmt w:val="bullet"/>
      <w:lvlText w:val=""/>
      <w:lvlJc w:val="left"/>
      <w:pPr>
        <w:tabs>
          <w:tab w:val="num" w:pos="3600"/>
        </w:tabs>
        <w:ind w:left="3600" w:hanging="360"/>
      </w:pPr>
      <w:rPr>
        <w:rFonts w:ascii="Symbol" w:hAnsi="Symbol" w:hint="default"/>
      </w:rPr>
    </w:lvl>
    <w:lvl w:ilvl="5" w:tplc="85D84ECE" w:tentative="1">
      <w:start w:val="1"/>
      <w:numFmt w:val="bullet"/>
      <w:lvlText w:val=""/>
      <w:lvlJc w:val="left"/>
      <w:pPr>
        <w:tabs>
          <w:tab w:val="num" w:pos="4320"/>
        </w:tabs>
        <w:ind w:left="4320" w:hanging="360"/>
      </w:pPr>
      <w:rPr>
        <w:rFonts w:ascii="Symbol" w:hAnsi="Symbol" w:hint="default"/>
      </w:rPr>
    </w:lvl>
    <w:lvl w:ilvl="6" w:tplc="89B2F58C" w:tentative="1">
      <w:start w:val="1"/>
      <w:numFmt w:val="bullet"/>
      <w:lvlText w:val=""/>
      <w:lvlJc w:val="left"/>
      <w:pPr>
        <w:tabs>
          <w:tab w:val="num" w:pos="5040"/>
        </w:tabs>
        <w:ind w:left="5040" w:hanging="360"/>
      </w:pPr>
      <w:rPr>
        <w:rFonts w:ascii="Symbol" w:hAnsi="Symbol" w:hint="default"/>
      </w:rPr>
    </w:lvl>
    <w:lvl w:ilvl="7" w:tplc="A49C795C" w:tentative="1">
      <w:start w:val="1"/>
      <w:numFmt w:val="bullet"/>
      <w:lvlText w:val=""/>
      <w:lvlJc w:val="left"/>
      <w:pPr>
        <w:tabs>
          <w:tab w:val="num" w:pos="5760"/>
        </w:tabs>
        <w:ind w:left="5760" w:hanging="360"/>
      </w:pPr>
      <w:rPr>
        <w:rFonts w:ascii="Symbol" w:hAnsi="Symbol" w:hint="default"/>
      </w:rPr>
    </w:lvl>
    <w:lvl w:ilvl="8" w:tplc="1A1032DA"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BF37E91"/>
    <w:multiLevelType w:val="hybridMultilevel"/>
    <w:tmpl w:val="B4885668"/>
    <w:lvl w:ilvl="0" w:tplc="040C0005">
      <w:start w:val="1"/>
      <w:numFmt w:val="bullet"/>
      <w:lvlText w:val=""/>
      <w:lvlJc w:val="left"/>
      <w:pPr>
        <w:ind w:left="720" w:hanging="360"/>
      </w:pPr>
      <w:rPr>
        <w:rFonts w:ascii="Wingdings" w:hAnsi="Wingdings" w:hint="default"/>
      </w:rPr>
    </w:lvl>
    <w:lvl w:ilvl="1" w:tplc="78887FF0">
      <w:start w:val="225"/>
      <w:numFmt w:val="bullet"/>
      <w:lvlText w:val=""/>
      <w:lvlJc w:val="left"/>
      <w:pPr>
        <w:tabs>
          <w:tab w:val="num" w:pos="1440"/>
        </w:tabs>
        <w:ind w:left="1440" w:hanging="360"/>
      </w:pPr>
      <w:rPr>
        <w:rFonts w:ascii="Symbol" w:hAnsi="Symbol" w:hint="default"/>
      </w:rPr>
    </w:lvl>
    <w:lvl w:ilvl="2" w:tplc="7B782554" w:tentative="1">
      <w:start w:val="1"/>
      <w:numFmt w:val="bullet"/>
      <w:lvlText w:val=""/>
      <w:lvlJc w:val="left"/>
      <w:pPr>
        <w:tabs>
          <w:tab w:val="num" w:pos="2160"/>
        </w:tabs>
        <w:ind w:left="2160" w:hanging="360"/>
      </w:pPr>
      <w:rPr>
        <w:rFonts w:ascii="Symbol" w:hAnsi="Symbol" w:hint="default"/>
      </w:rPr>
    </w:lvl>
    <w:lvl w:ilvl="3" w:tplc="89C6FFB0" w:tentative="1">
      <w:start w:val="1"/>
      <w:numFmt w:val="bullet"/>
      <w:lvlText w:val=""/>
      <w:lvlJc w:val="left"/>
      <w:pPr>
        <w:tabs>
          <w:tab w:val="num" w:pos="2880"/>
        </w:tabs>
        <w:ind w:left="2880" w:hanging="360"/>
      </w:pPr>
      <w:rPr>
        <w:rFonts w:ascii="Symbol" w:hAnsi="Symbol" w:hint="default"/>
      </w:rPr>
    </w:lvl>
    <w:lvl w:ilvl="4" w:tplc="C8308FDC" w:tentative="1">
      <w:start w:val="1"/>
      <w:numFmt w:val="bullet"/>
      <w:lvlText w:val=""/>
      <w:lvlJc w:val="left"/>
      <w:pPr>
        <w:tabs>
          <w:tab w:val="num" w:pos="3600"/>
        </w:tabs>
        <w:ind w:left="3600" w:hanging="360"/>
      </w:pPr>
      <w:rPr>
        <w:rFonts w:ascii="Symbol" w:hAnsi="Symbol" w:hint="default"/>
      </w:rPr>
    </w:lvl>
    <w:lvl w:ilvl="5" w:tplc="85D84ECE" w:tentative="1">
      <w:start w:val="1"/>
      <w:numFmt w:val="bullet"/>
      <w:lvlText w:val=""/>
      <w:lvlJc w:val="left"/>
      <w:pPr>
        <w:tabs>
          <w:tab w:val="num" w:pos="4320"/>
        </w:tabs>
        <w:ind w:left="4320" w:hanging="360"/>
      </w:pPr>
      <w:rPr>
        <w:rFonts w:ascii="Symbol" w:hAnsi="Symbol" w:hint="default"/>
      </w:rPr>
    </w:lvl>
    <w:lvl w:ilvl="6" w:tplc="89B2F58C" w:tentative="1">
      <w:start w:val="1"/>
      <w:numFmt w:val="bullet"/>
      <w:lvlText w:val=""/>
      <w:lvlJc w:val="left"/>
      <w:pPr>
        <w:tabs>
          <w:tab w:val="num" w:pos="5040"/>
        </w:tabs>
        <w:ind w:left="5040" w:hanging="360"/>
      </w:pPr>
      <w:rPr>
        <w:rFonts w:ascii="Symbol" w:hAnsi="Symbol" w:hint="default"/>
      </w:rPr>
    </w:lvl>
    <w:lvl w:ilvl="7" w:tplc="A49C795C" w:tentative="1">
      <w:start w:val="1"/>
      <w:numFmt w:val="bullet"/>
      <w:lvlText w:val=""/>
      <w:lvlJc w:val="left"/>
      <w:pPr>
        <w:tabs>
          <w:tab w:val="num" w:pos="5760"/>
        </w:tabs>
        <w:ind w:left="5760" w:hanging="360"/>
      </w:pPr>
      <w:rPr>
        <w:rFonts w:ascii="Symbol" w:hAnsi="Symbol" w:hint="default"/>
      </w:rPr>
    </w:lvl>
    <w:lvl w:ilvl="8" w:tplc="1A1032DA"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E4D3114"/>
    <w:multiLevelType w:val="hybridMultilevel"/>
    <w:tmpl w:val="2DD25F7C"/>
    <w:lvl w:ilvl="0" w:tplc="78528760">
      <w:start w:val="1"/>
      <w:numFmt w:val="bullet"/>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0FD37AE"/>
    <w:multiLevelType w:val="hybridMultilevel"/>
    <w:tmpl w:val="0A32663A"/>
    <w:lvl w:ilvl="0" w:tplc="9486686A">
      <w:start w:val="1"/>
      <w:numFmt w:val="decimal"/>
      <w:lvlText w:val="%1."/>
      <w:lvlJc w:val="left"/>
      <w:pPr>
        <w:ind w:left="720" w:hanging="360"/>
      </w:pPr>
      <w:rPr>
        <w:rFonts w:hint="default"/>
        <w:b/>
        <w:color w:val="760049"/>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52F0777F"/>
    <w:multiLevelType w:val="hybridMultilevel"/>
    <w:tmpl w:val="3E2A28FC"/>
    <w:lvl w:ilvl="0" w:tplc="040C0001">
      <w:start w:val="1"/>
      <w:numFmt w:val="bullet"/>
      <w:lvlText w:val=""/>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3DF4F97"/>
    <w:multiLevelType w:val="hybridMultilevel"/>
    <w:tmpl w:val="F3409D78"/>
    <w:lvl w:ilvl="0" w:tplc="B5CCCE42">
      <w:start w:val="1"/>
      <w:numFmt w:val="bullet"/>
      <w:pStyle w:val="Enumration"/>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4A92B21"/>
    <w:multiLevelType w:val="hybridMultilevel"/>
    <w:tmpl w:val="ACD8736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4C84130"/>
    <w:multiLevelType w:val="hybridMultilevel"/>
    <w:tmpl w:val="1548ACEA"/>
    <w:lvl w:ilvl="0" w:tplc="2904C886">
      <w:start w:val="1"/>
      <w:numFmt w:val="bullet"/>
      <w:lvlText w:val="•"/>
      <w:lvlJc w:val="left"/>
      <w:pPr>
        <w:tabs>
          <w:tab w:val="num" w:pos="720"/>
        </w:tabs>
        <w:ind w:left="720" w:hanging="360"/>
      </w:pPr>
      <w:rPr>
        <w:rFonts w:ascii="Times New Roman" w:hAnsi="Times New Roman" w:hint="default"/>
      </w:rPr>
    </w:lvl>
    <w:lvl w:ilvl="1" w:tplc="6834253A" w:tentative="1">
      <w:start w:val="1"/>
      <w:numFmt w:val="bullet"/>
      <w:lvlText w:val="•"/>
      <w:lvlJc w:val="left"/>
      <w:pPr>
        <w:tabs>
          <w:tab w:val="num" w:pos="1440"/>
        </w:tabs>
        <w:ind w:left="1440" w:hanging="360"/>
      </w:pPr>
      <w:rPr>
        <w:rFonts w:ascii="Times New Roman" w:hAnsi="Times New Roman" w:hint="default"/>
      </w:rPr>
    </w:lvl>
    <w:lvl w:ilvl="2" w:tplc="97B8DA3A" w:tentative="1">
      <w:start w:val="1"/>
      <w:numFmt w:val="bullet"/>
      <w:lvlText w:val="•"/>
      <w:lvlJc w:val="left"/>
      <w:pPr>
        <w:tabs>
          <w:tab w:val="num" w:pos="2160"/>
        </w:tabs>
        <w:ind w:left="2160" w:hanging="360"/>
      </w:pPr>
      <w:rPr>
        <w:rFonts w:ascii="Times New Roman" w:hAnsi="Times New Roman" w:hint="default"/>
      </w:rPr>
    </w:lvl>
    <w:lvl w:ilvl="3" w:tplc="5DE48804" w:tentative="1">
      <w:start w:val="1"/>
      <w:numFmt w:val="bullet"/>
      <w:lvlText w:val="•"/>
      <w:lvlJc w:val="left"/>
      <w:pPr>
        <w:tabs>
          <w:tab w:val="num" w:pos="2880"/>
        </w:tabs>
        <w:ind w:left="2880" w:hanging="360"/>
      </w:pPr>
      <w:rPr>
        <w:rFonts w:ascii="Times New Roman" w:hAnsi="Times New Roman" w:hint="default"/>
      </w:rPr>
    </w:lvl>
    <w:lvl w:ilvl="4" w:tplc="8F24FFC8" w:tentative="1">
      <w:start w:val="1"/>
      <w:numFmt w:val="bullet"/>
      <w:lvlText w:val="•"/>
      <w:lvlJc w:val="left"/>
      <w:pPr>
        <w:tabs>
          <w:tab w:val="num" w:pos="3600"/>
        </w:tabs>
        <w:ind w:left="3600" w:hanging="360"/>
      </w:pPr>
      <w:rPr>
        <w:rFonts w:ascii="Times New Roman" w:hAnsi="Times New Roman" w:hint="default"/>
      </w:rPr>
    </w:lvl>
    <w:lvl w:ilvl="5" w:tplc="48928B40" w:tentative="1">
      <w:start w:val="1"/>
      <w:numFmt w:val="bullet"/>
      <w:lvlText w:val="•"/>
      <w:lvlJc w:val="left"/>
      <w:pPr>
        <w:tabs>
          <w:tab w:val="num" w:pos="4320"/>
        </w:tabs>
        <w:ind w:left="4320" w:hanging="360"/>
      </w:pPr>
      <w:rPr>
        <w:rFonts w:ascii="Times New Roman" w:hAnsi="Times New Roman" w:hint="default"/>
      </w:rPr>
    </w:lvl>
    <w:lvl w:ilvl="6" w:tplc="B310FB96" w:tentative="1">
      <w:start w:val="1"/>
      <w:numFmt w:val="bullet"/>
      <w:lvlText w:val="•"/>
      <w:lvlJc w:val="left"/>
      <w:pPr>
        <w:tabs>
          <w:tab w:val="num" w:pos="5040"/>
        </w:tabs>
        <w:ind w:left="5040" w:hanging="360"/>
      </w:pPr>
      <w:rPr>
        <w:rFonts w:ascii="Times New Roman" w:hAnsi="Times New Roman" w:hint="default"/>
      </w:rPr>
    </w:lvl>
    <w:lvl w:ilvl="7" w:tplc="32A6891A" w:tentative="1">
      <w:start w:val="1"/>
      <w:numFmt w:val="bullet"/>
      <w:lvlText w:val="•"/>
      <w:lvlJc w:val="left"/>
      <w:pPr>
        <w:tabs>
          <w:tab w:val="num" w:pos="5760"/>
        </w:tabs>
        <w:ind w:left="5760" w:hanging="360"/>
      </w:pPr>
      <w:rPr>
        <w:rFonts w:ascii="Times New Roman" w:hAnsi="Times New Roman" w:hint="default"/>
      </w:rPr>
    </w:lvl>
    <w:lvl w:ilvl="8" w:tplc="1DA24754"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57BD2368"/>
    <w:multiLevelType w:val="hybridMultilevel"/>
    <w:tmpl w:val="2ADECF6A"/>
    <w:lvl w:ilvl="0" w:tplc="98AA1604">
      <w:start w:val="1"/>
      <w:numFmt w:val="bullet"/>
      <w:pStyle w:val="Style2"/>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7" w15:restartNumberingAfterBreak="0">
    <w:nsid w:val="5C4519C3"/>
    <w:multiLevelType w:val="hybridMultilevel"/>
    <w:tmpl w:val="FB78ECE4"/>
    <w:lvl w:ilvl="0" w:tplc="6D54AE06">
      <w:start w:val="1"/>
      <w:numFmt w:val="bullet"/>
      <w:lvlText w:val=""/>
      <w:lvlJc w:val="left"/>
      <w:pPr>
        <w:tabs>
          <w:tab w:val="num" w:pos="720"/>
        </w:tabs>
        <w:ind w:left="720" w:hanging="360"/>
      </w:pPr>
      <w:rPr>
        <w:rFonts w:ascii="Symbol" w:hAnsi="Symbol" w:hint="default"/>
      </w:rPr>
    </w:lvl>
    <w:lvl w:ilvl="1" w:tplc="8D14CF72" w:tentative="1">
      <w:start w:val="1"/>
      <w:numFmt w:val="bullet"/>
      <w:lvlText w:val=""/>
      <w:lvlJc w:val="left"/>
      <w:pPr>
        <w:tabs>
          <w:tab w:val="num" w:pos="1440"/>
        </w:tabs>
        <w:ind w:left="1440" w:hanging="360"/>
      </w:pPr>
      <w:rPr>
        <w:rFonts w:ascii="Symbol" w:hAnsi="Symbol" w:hint="default"/>
      </w:rPr>
    </w:lvl>
    <w:lvl w:ilvl="2" w:tplc="01F20BD4" w:tentative="1">
      <w:start w:val="1"/>
      <w:numFmt w:val="bullet"/>
      <w:lvlText w:val=""/>
      <w:lvlJc w:val="left"/>
      <w:pPr>
        <w:tabs>
          <w:tab w:val="num" w:pos="2160"/>
        </w:tabs>
        <w:ind w:left="2160" w:hanging="360"/>
      </w:pPr>
      <w:rPr>
        <w:rFonts w:ascii="Symbol" w:hAnsi="Symbol" w:hint="default"/>
      </w:rPr>
    </w:lvl>
    <w:lvl w:ilvl="3" w:tplc="3DAC4192" w:tentative="1">
      <w:start w:val="1"/>
      <w:numFmt w:val="bullet"/>
      <w:lvlText w:val=""/>
      <w:lvlJc w:val="left"/>
      <w:pPr>
        <w:tabs>
          <w:tab w:val="num" w:pos="2880"/>
        </w:tabs>
        <w:ind w:left="2880" w:hanging="360"/>
      </w:pPr>
      <w:rPr>
        <w:rFonts w:ascii="Symbol" w:hAnsi="Symbol" w:hint="default"/>
      </w:rPr>
    </w:lvl>
    <w:lvl w:ilvl="4" w:tplc="FEAEF34E" w:tentative="1">
      <w:start w:val="1"/>
      <w:numFmt w:val="bullet"/>
      <w:lvlText w:val=""/>
      <w:lvlJc w:val="left"/>
      <w:pPr>
        <w:tabs>
          <w:tab w:val="num" w:pos="3600"/>
        </w:tabs>
        <w:ind w:left="3600" w:hanging="360"/>
      </w:pPr>
      <w:rPr>
        <w:rFonts w:ascii="Symbol" w:hAnsi="Symbol" w:hint="default"/>
      </w:rPr>
    </w:lvl>
    <w:lvl w:ilvl="5" w:tplc="B9CA23E6" w:tentative="1">
      <w:start w:val="1"/>
      <w:numFmt w:val="bullet"/>
      <w:lvlText w:val=""/>
      <w:lvlJc w:val="left"/>
      <w:pPr>
        <w:tabs>
          <w:tab w:val="num" w:pos="4320"/>
        </w:tabs>
        <w:ind w:left="4320" w:hanging="360"/>
      </w:pPr>
      <w:rPr>
        <w:rFonts w:ascii="Symbol" w:hAnsi="Symbol" w:hint="default"/>
      </w:rPr>
    </w:lvl>
    <w:lvl w:ilvl="6" w:tplc="78ACF710" w:tentative="1">
      <w:start w:val="1"/>
      <w:numFmt w:val="bullet"/>
      <w:lvlText w:val=""/>
      <w:lvlJc w:val="left"/>
      <w:pPr>
        <w:tabs>
          <w:tab w:val="num" w:pos="5040"/>
        </w:tabs>
        <w:ind w:left="5040" w:hanging="360"/>
      </w:pPr>
      <w:rPr>
        <w:rFonts w:ascii="Symbol" w:hAnsi="Symbol" w:hint="default"/>
      </w:rPr>
    </w:lvl>
    <w:lvl w:ilvl="7" w:tplc="B888CF14" w:tentative="1">
      <w:start w:val="1"/>
      <w:numFmt w:val="bullet"/>
      <w:lvlText w:val=""/>
      <w:lvlJc w:val="left"/>
      <w:pPr>
        <w:tabs>
          <w:tab w:val="num" w:pos="5760"/>
        </w:tabs>
        <w:ind w:left="5760" w:hanging="360"/>
      </w:pPr>
      <w:rPr>
        <w:rFonts w:ascii="Symbol" w:hAnsi="Symbol" w:hint="default"/>
      </w:rPr>
    </w:lvl>
    <w:lvl w:ilvl="8" w:tplc="F0B00E94"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603F213B"/>
    <w:multiLevelType w:val="multilevel"/>
    <w:tmpl w:val="1AF4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1136F01"/>
    <w:multiLevelType w:val="hybridMultilevel"/>
    <w:tmpl w:val="6C267D1C"/>
    <w:lvl w:ilvl="0" w:tplc="8018876E">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708E3856"/>
    <w:multiLevelType w:val="hybridMultilevel"/>
    <w:tmpl w:val="DA9C0BA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2A335A3"/>
    <w:multiLevelType w:val="multilevel"/>
    <w:tmpl w:val="E2D6D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5CD78C0"/>
    <w:multiLevelType w:val="hybridMultilevel"/>
    <w:tmpl w:val="6D0AAB3A"/>
    <w:lvl w:ilvl="0" w:tplc="7D92D5EE">
      <w:start w:val="1"/>
      <w:numFmt w:val="bullet"/>
      <w:lvlText w:val=""/>
      <w:lvlJc w:val="left"/>
      <w:pPr>
        <w:tabs>
          <w:tab w:val="num" w:pos="720"/>
        </w:tabs>
        <w:ind w:left="720" w:hanging="360"/>
      </w:pPr>
      <w:rPr>
        <w:rFonts w:ascii="Symbol" w:hAnsi="Symbol" w:hint="default"/>
      </w:rPr>
    </w:lvl>
    <w:lvl w:ilvl="1" w:tplc="9B6E6F46" w:tentative="1">
      <w:start w:val="1"/>
      <w:numFmt w:val="bullet"/>
      <w:lvlText w:val=""/>
      <w:lvlJc w:val="left"/>
      <w:pPr>
        <w:tabs>
          <w:tab w:val="num" w:pos="1440"/>
        </w:tabs>
        <w:ind w:left="1440" w:hanging="360"/>
      </w:pPr>
      <w:rPr>
        <w:rFonts w:ascii="Symbol" w:hAnsi="Symbol" w:hint="default"/>
      </w:rPr>
    </w:lvl>
    <w:lvl w:ilvl="2" w:tplc="3740E71A" w:tentative="1">
      <w:start w:val="1"/>
      <w:numFmt w:val="bullet"/>
      <w:lvlText w:val=""/>
      <w:lvlJc w:val="left"/>
      <w:pPr>
        <w:tabs>
          <w:tab w:val="num" w:pos="2160"/>
        </w:tabs>
        <w:ind w:left="2160" w:hanging="360"/>
      </w:pPr>
      <w:rPr>
        <w:rFonts w:ascii="Symbol" w:hAnsi="Symbol" w:hint="default"/>
      </w:rPr>
    </w:lvl>
    <w:lvl w:ilvl="3" w:tplc="8BF8464A" w:tentative="1">
      <w:start w:val="1"/>
      <w:numFmt w:val="bullet"/>
      <w:lvlText w:val=""/>
      <w:lvlJc w:val="left"/>
      <w:pPr>
        <w:tabs>
          <w:tab w:val="num" w:pos="2880"/>
        </w:tabs>
        <w:ind w:left="2880" w:hanging="360"/>
      </w:pPr>
      <w:rPr>
        <w:rFonts w:ascii="Symbol" w:hAnsi="Symbol" w:hint="default"/>
      </w:rPr>
    </w:lvl>
    <w:lvl w:ilvl="4" w:tplc="EA9863A2" w:tentative="1">
      <w:start w:val="1"/>
      <w:numFmt w:val="bullet"/>
      <w:lvlText w:val=""/>
      <w:lvlJc w:val="left"/>
      <w:pPr>
        <w:tabs>
          <w:tab w:val="num" w:pos="3600"/>
        </w:tabs>
        <w:ind w:left="3600" w:hanging="360"/>
      </w:pPr>
      <w:rPr>
        <w:rFonts w:ascii="Symbol" w:hAnsi="Symbol" w:hint="default"/>
      </w:rPr>
    </w:lvl>
    <w:lvl w:ilvl="5" w:tplc="AEB27990" w:tentative="1">
      <w:start w:val="1"/>
      <w:numFmt w:val="bullet"/>
      <w:lvlText w:val=""/>
      <w:lvlJc w:val="left"/>
      <w:pPr>
        <w:tabs>
          <w:tab w:val="num" w:pos="4320"/>
        </w:tabs>
        <w:ind w:left="4320" w:hanging="360"/>
      </w:pPr>
      <w:rPr>
        <w:rFonts w:ascii="Symbol" w:hAnsi="Symbol" w:hint="default"/>
      </w:rPr>
    </w:lvl>
    <w:lvl w:ilvl="6" w:tplc="067E83C6" w:tentative="1">
      <w:start w:val="1"/>
      <w:numFmt w:val="bullet"/>
      <w:lvlText w:val=""/>
      <w:lvlJc w:val="left"/>
      <w:pPr>
        <w:tabs>
          <w:tab w:val="num" w:pos="5040"/>
        </w:tabs>
        <w:ind w:left="5040" w:hanging="360"/>
      </w:pPr>
      <w:rPr>
        <w:rFonts w:ascii="Symbol" w:hAnsi="Symbol" w:hint="default"/>
      </w:rPr>
    </w:lvl>
    <w:lvl w:ilvl="7" w:tplc="CE900088" w:tentative="1">
      <w:start w:val="1"/>
      <w:numFmt w:val="bullet"/>
      <w:lvlText w:val=""/>
      <w:lvlJc w:val="left"/>
      <w:pPr>
        <w:tabs>
          <w:tab w:val="num" w:pos="5760"/>
        </w:tabs>
        <w:ind w:left="5760" w:hanging="360"/>
      </w:pPr>
      <w:rPr>
        <w:rFonts w:ascii="Symbol" w:hAnsi="Symbol" w:hint="default"/>
      </w:rPr>
    </w:lvl>
    <w:lvl w:ilvl="8" w:tplc="9EB2BE30"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77426F25"/>
    <w:multiLevelType w:val="hybridMultilevel"/>
    <w:tmpl w:val="54C8F2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F0A7DCC"/>
    <w:multiLevelType w:val="hybridMultilevel"/>
    <w:tmpl w:val="B0A2B9BA"/>
    <w:lvl w:ilvl="0" w:tplc="8018876E">
      <w:start w:val="1"/>
      <w:numFmt w:val="bullet"/>
      <w:lvlText w:val=""/>
      <w:lvlPicBulletId w:val="0"/>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7F566163"/>
    <w:multiLevelType w:val="hybridMultilevel"/>
    <w:tmpl w:val="079064B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771978376">
    <w:abstractNumId w:val="18"/>
  </w:num>
  <w:num w:numId="2" w16cid:durableId="1580559649">
    <w:abstractNumId w:val="19"/>
  </w:num>
  <w:num w:numId="3" w16cid:durableId="1955866395">
    <w:abstractNumId w:val="12"/>
  </w:num>
  <w:num w:numId="4" w16cid:durableId="2129011058">
    <w:abstractNumId w:val="3"/>
  </w:num>
  <w:num w:numId="5" w16cid:durableId="540365921">
    <w:abstractNumId w:val="32"/>
  </w:num>
  <w:num w:numId="6" w16cid:durableId="2009596644">
    <w:abstractNumId w:val="27"/>
  </w:num>
  <w:num w:numId="7" w16cid:durableId="1103067367">
    <w:abstractNumId w:val="13"/>
  </w:num>
  <w:num w:numId="8" w16cid:durableId="316031873">
    <w:abstractNumId w:val="25"/>
  </w:num>
  <w:num w:numId="9" w16cid:durableId="206573938">
    <w:abstractNumId w:val="35"/>
  </w:num>
  <w:num w:numId="10" w16cid:durableId="1138761908">
    <w:abstractNumId w:val="34"/>
  </w:num>
  <w:num w:numId="11" w16cid:durableId="1390227551">
    <w:abstractNumId w:val="1"/>
  </w:num>
  <w:num w:numId="12" w16cid:durableId="97988462">
    <w:abstractNumId w:val="11"/>
  </w:num>
  <w:num w:numId="13" w16cid:durableId="332412480">
    <w:abstractNumId w:val="29"/>
  </w:num>
  <w:num w:numId="14" w16cid:durableId="1474832742">
    <w:abstractNumId w:val="22"/>
  </w:num>
  <w:num w:numId="15" w16cid:durableId="151020762">
    <w:abstractNumId w:val="5"/>
  </w:num>
  <w:num w:numId="16" w16cid:durableId="691146472">
    <w:abstractNumId w:val="0"/>
  </w:num>
  <w:num w:numId="17" w16cid:durableId="287510373">
    <w:abstractNumId w:val="20"/>
  </w:num>
  <w:num w:numId="18" w16cid:durableId="1805148977">
    <w:abstractNumId w:val="15"/>
  </w:num>
  <w:num w:numId="19" w16cid:durableId="988436383">
    <w:abstractNumId w:val="2"/>
  </w:num>
  <w:num w:numId="20" w16cid:durableId="2074810691">
    <w:abstractNumId w:val="30"/>
  </w:num>
  <w:num w:numId="21" w16cid:durableId="926814742">
    <w:abstractNumId w:val="9"/>
  </w:num>
  <w:num w:numId="22" w16cid:durableId="136650545">
    <w:abstractNumId w:val="4"/>
  </w:num>
  <w:num w:numId="23" w16cid:durableId="1447918988">
    <w:abstractNumId w:val="8"/>
  </w:num>
  <w:num w:numId="24" w16cid:durableId="963118617">
    <w:abstractNumId w:val="26"/>
  </w:num>
  <w:num w:numId="25" w16cid:durableId="272522310">
    <w:abstractNumId w:val="24"/>
  </w:num>
  <w:num w:numId="26" w16cid:durableId="618224269">
    <w:abstractNumId w:val="17"/>
  </w:num>
  <w:num w:numId="27" w16cid:durableId="1141577679">
    <w:abstractNumId w:val="33"/>
  </w:num>
  <w:num w:numId="28" w16cid:durableId="764153595">
    <w:abstractNumId w:val="10"/>
  </w:num>
  <w:num w:numId="29" w16cid:durableId="1670937328">
    <w:abstractNumId w:val="14"/>
  </w:num>
  <w:num w:numId="30" w16cid:durableId="1892185651">
    <w:abstractNumId w:val="16"/>
  </w:num>
  <w:num w:numId="31" w16cid:durableId="1107847213">
    <w:abstractNumId w:val="23"/>
  </w:num>
  <w:num w:numId="32" w16cid:durableId="1354721367">
    <w:abstractNumId w:val="28"/>
  </w:num>
  <w:num w:numId="33" w16cid:durableId="2105765526">
    <w:abstractNumId w:val="31"/>
  </w:num>
  <w:num w:numId="34" w16cid:durableId="1761364821">
    <w:abstractNumId w:val="21"/>
  </w:num>
  <w:num w:numId="35" w16cid:durableId="1886020717">
    <w:abstractNumId w:val="6"/>
  </w:num>
  <w:num w:numId="36" w16cid:durableId="188182178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revisionView w:inkAnnotations="0"/>
  <w:defaultTabStop w:val="6237"/>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3A9"/>
    <w:rsid w:val="00002A2E"/>
    <w:rsid w:val="00032AB5"/>
    <w:rsid w:val="0004690F"/>
    <w:rsid w:val="0009196B"/>
    <w:rsid w:val="000A11AF"/>
    <w:rsid w:val="000F58BF"/>
    <w:rsid w:val="00132171"/>
    <w:rsid w:val="0014452E"/>
    <w:rsid w:val="001A3E6B"/>
    <w:rsid w:val="001B5609"/>
    <w:rsid w:val="001C5CE1"/>
    <w:rsid w:val="0023573A"/>
    <w:rsid w:val="00293193"/>
    <w:rsid w:val="002C350F"/>
    <w:rsid w:val="002D060D"/>
    <w:rsid w:val="00356E39"/>
    <w:rsid w:val="003A1DB8"/>
    <w:rsid w:val="003A6CBD"/>
    <w:rsid w:val="003B6EF1"/>
    <w:rsid w:val="003C3452"/>
    <w:rsid w:val="003C59A2"/>
    <w:rsid w:val="003D7D07"/>
    <w:rsid w:val="00435C7A"/>
    <w:rsid w:val="00453924"/>
    <w:rsid w:val="004A5AED"/>
    <w:rsid w:val="004D729B"/>
    <w:rsid w:val="004E27C9"/>
    <w:rsid w:val="005A091E"/>
    <w:rsid w:val="005A2148"/>
    <w:rsid w:val="005B0FC7"/>
    <w:rsid w:val="005B4368"/>
    <w:rsid w:val="006127B6"/>
    <w:rsid w:val="006D59D3"/>
    <w:rsid w:val="006E16AC"/>
    <w:rsid w:val="00724525"/>
    <w:rsid w:val="00747103"/>
    <w:rsid w:val="007561E0"/>
    <w:rsid w:val="00780F79"/>
    <w:rsid w:val="00791B63"/>
    <w:rsid w:val="00796898"/>
    <w:rsid w:val="007E15FF"/>
    <w:rsid w:val="00803510"/>
    <w:rsid w:val="008253DF"/>
    <w:rsid w:val="00895013"/>
    <w:rsid w:val="008E171C"/>
    <w:rsid w:val="008F543A"/>
    <w:rsid w:val="0094131F"/>
    <w:rsid w:val="00986C46"/>
    <w:rsid w:val="009972F6"/>
    <w:rsid w:val="009B1623"/>
    <w:rsid w:val="009D5FDF"/>
    <w:rsid w:val="00A16222"/>
    <w:rsid w:val="00A17BD2"/>
    <w:rsid w:val="00A258B8"/>
    <w:rsid w:val="00A41C96"/>
    <w:rsid w:val="00A52804"/>
    <w:rsid w:val="00A60DB2"/>
    <w:rsid w:val="00A6337C"/>
    <w:rsid w:val="00A652D3"/>
    <w:rsid w:val="00A72752"/>
    <w:rsid w:val="00AA226C"/>
    <w:rsid w:val="00AD4890"/>
    <w:rsid w:val="00B57A69"/>
    <w:rsid w:val="00B90135"/>
    <w:rsid w:val="00B93C70"/>
    <w:rsid w:val="00BA13A1"/>
    <w:rsid w:val="00BC4269"/>
    <w:rsid w:val="00BD4B72"/>
    <w:rsid w:val="00BF647F"/>
    <w:rsid w:val="00C03FD7"/>
    <w:rsid w:val="00C1040B"/>
    <w:rsid w:val="00C113C1"/>
    <w:rsid w:val="00C21E6B"/>
    <w:rsid w:val="00C80B05"/>
    <w:rsid w:val="00CA7EA6"/>
    <w:rsid w:val="00CC5207"/>
    <w:rsid w:val="00CD787D"/>
    <w:rsid w:val="00D0336A"/>
    <w:rsid w:val="00D15B59"/>
    <w:rsid w:val="00D40C93"/>
    <w:rsid w:val="00D83AA1"/>
    <w:rsid w:val="00DE35C7"/>
    <w:rsid w:val="00DF33A9"/>
    <w:rsid w:val="00E00C75"/>
    <w:rsid w:val="00E057FC"/>
    <w:rsid w:val="00E1649E"/>
    <w:rsid w:val="00E202EE"/>
    <w:rsid w:val="00E4009C"/>
    <w:rsid w:val="00E46D63"/>
    <w:rsid w:val="00E87EC7"/>
    <w:rsid w:val="00EA2FCC"/>
    <w:rsid w:val="00EB068F"/>
    <w:rsid w:val="00F148A9"/>
    <w:rsid w:val="00FC514A"/>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91EDEB"/>
  <w14:defaultImageDpi w14:val="32767"/>
  <w15:chartTrackingRefBased/>
  <w15:docId w15:val="{B299B51D-9AEF-4050-863E-3F21E8F70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CC5207"/>
  </w:style>
  <w:style w:type="paragraph" w:styleId="Titre1">
    <w:name w:val="heading 1"/>
    <w:aliases w:val="Titre 1;BWAH titre note"/>
    <w:next w:val="Paragraphe"/>
    <w:link w:val="Titre1Car"/>
    <w:autoRedefine/>
    <w:uiPriority w:val="9"/>
    <w:rsid w:val="00E057FC"/>
    <w:pPr>
      <w:keepNext/>
      <w:keepLines/>
      <w:spacing w:before="360" w:after="120"/>
      <w:outlineLvl w:val="0"/>
    </w:pPr>
    <w:rPr>
      <w:rFonts w:asciiTheme="majorHAnsi" w:eastAsiaTheme="majorEastAsia" w:hAnsiTheme="majorHAnsi" w:cstheme="majorBidi"/>
      <w:color w:val="C00000"/>
      <w:sz w:val="72"/>
      <w:szCs w:val="32"/>
    </w:rPr>
  </w:style>
  <w:style w:type="paragraph" w:styleId="Titre20">
    <w:name w:val="heading 2"/>
    <w:basedOn w:val="Normal"/>
    <w:next w:val="Normal"/>
    <w:link w:val="Titre2Car"/>
    <w:uiPriority w:val="9"/>
    <w:semiHidden/>
    <w:unhideWhenUsed/>
    <w:rsid w:val="00A17BD2"/>
    <w:pPr>
      <w:keepNext/>
      <w:keepLines/>
      <w:spacing w:before="40"/>
      <w:outlineLvl w:val="1"/>
    </w:pPr>
    <w:rPr>
      <w:rFonts w:asciiTheme="majorHAnsi" w:eastAsiaTheme="majorEastAsia" w:hAnsiTheme="majorHAnsi" w:cstheme="majorBidi"/>
      <w:color w:val="8D0029" w:themeColor="accent1" w:themeShade="BF"/>
      <w:sz w:val="26"/>
      <w:szCs w:val="26"/>
    </w:rPr>
  </w:style>
  <w:style w:type="paragraph" w:styleId="Titre3">
    <w:name w:val="heading 3"/>
    <w:basedOn w:val="Normal"/>
    <w:next w:val="Normal"/>
    <w:link w:val="Titre3Car"/>
    <w:uiPriority w:val="9"/>
    <w:semiHidden/>
    <w:unhideWhenUsed/>
    <w:qFormat/>
    <w:rsid w:val="00A17BD2"/>
    <w:pPr>
      <w:keepNext/>
      <w:keepLines/>
      <w:spacing w:before="40"/>
      <w:outlineLvl w:val="2"/>
    </w:pPr>
    <w:rPr>
      <w:rFonts w:asciiTheme="majorHAnsi" w:eastAsiaTheme="majorEastAsia" w:hAnsiTheme="majorHAnsi" w:cstheme="majorBidi"/>
      <w:color w:val="5E001B"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unhideWhenUsed/>
    <w:rsid w:val="00D15B59"/>
    <w:pPr>
      <w:tabs>
        <w:tab w:val="center" w:pos="4536"/>
        <w:tab w:val="right" w:pos="9072"/>
      </w:tabs>
    </w:pPr>
  </w:style>
  <w:style w:type="character" w:customStyle="1" w:styleId="PieddepageCar">
    <w:name w:val="Pied de page Car"/>
    <w:basedOn w:val="Policepardfaut"/>
    <w:link w:val="Pieddepage"/>
    <w:uiPriority w:val="99"/>
    <w:rsid w:val="00D15B59"/>
  </w:style>
  <w:style w:type="character" w:customStyle="1" w:styleId="Titre2Car">
    <w:name w:val="Titre 2 Car"/>
    <w:basedOn w:val="Policepardfaut"/>
    <w:link w:val="Titre20"/>
    <w:uiPriority w:val="9"/>
    <w:semiHidden/>
    <w:rsid w:val="00A17BD2"/>
    <w:rPr>
      <w:rFonts w:asciiTheme="majorHAnsi" w:eastAsiaTheme="majorEastAsia" w:hAnsiTheme="majorHAnsi" w:cstheme="majorBidi"/>
      <w:color w:val="8D0029" w:themeColor="accent1" w:themeShade="BF"/>
      <w:sz w:val="26"/>
      <w:szCs w:val="26"/>
    </w:rPr>
  </w:style>
  <w:style w:type="paragraph" w:styleId="Sansinterligne">
    <w:name w:val="No Spacing"/>
    <w:link w:val="SansinterligneCar"/>
    <w:uiPriority w:val="1"/>
    <w:rsid w:val="000A11AF"/>
  </w:style>
  <w:style w:type="character" w:styleId="Numrodepage">
    <w:name w:val="page number"/>
    <w:basedOn w:val="Policepardfaut"/>
    <w:uiPriority w:val="99"/>
    <w:semiHidden/>
    <w:unhideWhenUsed/>
    <w:rsid w:val="0004690F"/>
  </w:style>
  <w:style w:type="character" w:customStyle="1" w:styleId="SansinterligneCar">
    <w:name w:val="Sans interligne Car"/>
    <w:basedOn w:val="Policepardfaut"/>
    <w:link w:val="Sansinterligne"/>
    <w:uiPriority w:val="1"/>
    <w:rsid w:val="00BF647F"/>
  </w:style>
  <w:style w:type="table" w:styleId="Grilledutableau">
    <w:name w:val="Table Grid"/>
    <w:basedOn w:val="TableauNormal"/>
    <w:uiPriority w:val="39"/>
    <w:rsid w:val="00002A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simple3">
    <w:name w:val="Plain Table 3"/>
    <w:basedOn w:val="TableauNormal"/>
    <w:uiPriority w:val="43"/>
    <w:rsid w:val="00002A2E"/>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ausimple4">
    <w:name w:val="Plain Table 4"/>
    <w:basedOn w:val="TableauNormal"/>
    <w:uiPriority w:val="44"/>
    <w:rsid w:val="00002A2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auGrille3-Accentuation2">
    <w:name w:val="Grid Table 3 Accent 2"/>
    <w:basedOn w:val="TableauNormal"/>
    <w:uiPriority w:val="48"/>
    <w:rsid w:val="0023573A"/>
    <w:tblPr>
      <w:tblStyleRowBandSize w:val="1"/>
      <w:tblStyleColBandSize w:val="1"/>
      <w:tblBorders>
        <w:top w:val="single" w:sz="4" w:space="0" w:color="EE3A6B" w:themeColor="accent2" w:themeTint="99"/>
        <w:left w:val="single" w:sz="4" w:space="0" w:color="EE3A6B" w:themeColor="accent2" w:themeTint="99"/>
        <w:bottom w:val="single" w:sz="4" w:space="0" w:color="EE3A6B" w:themeColor="accent2" w:themeTint="99"/>
        <w:right w:val="single" w:sz="4" w:space="0" w:color="EE3A6B" w:themeColor="accent2" w:themeTint="99"/>
        <w:insideH w:val="single" w:sz="4" w:space="0" w:color="EE3A6B" w:themeColor="accent2" w:themeTint="99"/>
        <w:insideV w:val="single" w:sz="4" w:space="0" w:color="EE3A6B"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BDCD" w:themeFill="accent2" w:themeFillTint="33"/>
      </w:tcPr>
    </w:tblStylePr>
    <w:tblStylePr w:type="band1Horz">
      <w:tblPr/>
      <w:tcPr>
        <w:shd w:val="clear" w:color="auto" w:fill="F9BDCD" w:themeFill="accent2" w:themeFillTint="33"/>
      </w:tcPr>
    </w:tblStylePr>
    <w:tblStylePr w:type="neCell">
      <w:tblPr/>
      <w:tcPr>
        <w:tcBorders>
          <w:bottom w:val="single" w:sz="4" w:space="0" w:color="EE3A6B" w:themeColor="accent2" w:themeTint="99"/>
        </w:tcBorders>
      </w:tcPr>
    </w:tblStylePr>
    <w:tblStylePr w:type="nwCell">
      <w:tblPr/>
      <w:tcPr>
        <w:tcBorders>
          <w:bottom w:val="single" w:sz="4" w:space="0" w:color="EE3A6B" w:themeColor="accent2" w:themeTint="99"/>
        </w:tcBorders>
      </w:tcPr>
    </w:tblStylePr>
    <w:tblStylePr w:type="seCell">
      <w:tblPr/>
      <w:tcPr>
        <w:tcBorders>
          <w:top w:val="single" w:sz="4" w:space="0" w:color="EE3A6B" w:themeColor="accent2" w:themeTint="99"/>
        </w:tcBorders>
      </w:tcPr>
    </w:tblStylePr>
    <w:tblStylePr w:type="swCell">
      <w:tblPr/>
      <w:tcPr>
        <w:tcBorders>
          <w:top w:val="single" w:sz="4" w:space="0" w:color="EE3A6B" w:themeColor="accent2" w:themeTint="99"/>
        </w:tcBorders>
      </w:tcPr>
    </w:tblStylePr>
  </w:style>
  <w:style w:type="table" w:styleId="TableauGrille4-Accentuation3">
    <w:name w:val="Grid Table 4 Accent 3"/>
    <w:basedOn w:val="TableauNormal"/>
    <w:uiPriority w:val="49"/>
    <w:rsid w:val="0023573A"/>
    <w:tblPr>
      <w:tblStyleRowBandSize w:val="1"/>
      <w:tblStyleColBandSize w:val="1"/>
      <w:tblBorders>
        <w:top w:val="single" w:sz="4" w:space="0" w:color="FF13A4" w:themeColor="accent3" w:themeTint="99"/>
        <w:left w:val="single" w:sz="4" w:space="0" w:color="FF13A4" w:themeColor="accent3" w:themeTint="99"/>
        <w:bottom w:val="single" w:sz="4" w:space="0" w:color="FF13A4" w:themeColor="accent3" w:themeTint="99"/>
        <w:right w:val="single" w:sz="4" w:space="0" w:color="FF13A4" w:themeColor="accent3" w:themeTint="99"/>
        <w:insideH w:val="single" w:sz="4" w:space="0" w:color="FF13A4" w:themeColor="accent3" w:themeTint="99"/>
        <w:insideV w:val="single" w:sz="4" w:space="0" w:color="FF13A4" w:themeColor="accent3" w:themeTint="99"/>
      </w:tblBorders>
    </w:tblPr>
    <w:tblStylePr w:type="firstRow">
      <w:rPr>
        <w:b/>
        <w:bCs/>
        <w:color w:val="FFFFFF" w:themeColor="background1"/>
      </w:rPr>
      <w:tblPr/>
      <w:tcPr>
        <w:tcBorders>
          <w:top w:val="single" w:sz="4" w:space="0" w:color="760049" w:themeColor="accent3"/>
          <w:left w:val="single" w:sz="4" w:space="0" w:color="760049" w:themeColor="accent3"/>
          <w:bottom w:val="single" w:sz="4" w:space="0" w:color="760049" w:themeColor="accent3"/>
          <w:right w:val="single" w:sz="4" w:space="0" w:color="760049" w:themeColor="accent3"/>
          <w:insideH w:val="nil"/>
          <w:insideV w:val="nil"/>
        </w:tcBorders>
        <w:shd w:val="clear" w:color="auto" w:fill="760049" w:themeFill="accent3"/>
      </w:tcPr>
    </w:tblStylePr>
    <w:tblStylePr w:type="lastRow">
      <w:rPr>
        <w:b/>
        <w:bCs/>
      </w:rPr>
      <w:tblPr/>
      <w:tcPr>
        <w:tcBorders>
          <w:top w:val="double" w:sz="4" w:space="0" w:color="760049" w:themeColor="accent3"/>
        </w:tcBorders>
      </w:tcPr>
    </w:tblStylePr>
    <w:tblStylePr w:type="firstCol">
      <w:rPr>
        <w:b/>
        <w:bCs/>
      </w:rPr>
    </w:tblStylePr>
    <w:tblStylePr w:type="lastCol">
      <w:rPr>
        <w:b/>
        <w:bCs/>
      </w:rPr>
    </w:tblStylePr>
    <w:tblStylePr w:type="band1Vert">
      <w:tblPr/>
      <w:tcPr>
        <w:shd w:val="clear" w:color="auto" w:fill="FFB0E0" w:themeFill="accent3" w:themeFillTint="33"/>
      </w:tcPr>
    </w:tblStylePr>
    <w:tblStylePr w:type="band1Horz">
      <w:tblPr/>
      <w:tcPr>
        <w:shd w:val="clear" w:color="auto" w:fill="FFB0E0" w:themeFill="accent3" w:themeFillTint="33"/>
      </w:tcPr>
    </w:tblStylePr>
  </w:style>
  <w:style w:type="table" w:styleId="TableauGrille4-Accentuation2">
    <w:name w:val="Grid Table 4 Accent 2"/>
    <w:basedOn w:val="TableauNormal"/>
    <w:uiPriority w:val="49"/>
    <w:rsid w:val="0023573A"/>
    <w:tblPr>
      <w:tblStyleRowBandSize w:val="1"/>
      <w:tblStyleColBandSize w:val="1"/>
      <w:tblBorders>
        <w:top w:val="single" w:sz="4" w:space="0" w:color="EE3A6B" w:themeColor="accent2" w:themeTint="99"/>
        <w:left w:val="single" w:sz="4" w:space="0" w:color="EE3A6B" w:themeColor="accent2" w:themeTint="99"/>
        <w:bottom w:val="single" w:sz="4" w:space="0" w:color="EE3A6B" w:themeColor="accent2" w:themeTint="99"/>
        <w:right w:val="single" w:sz="4" w:space="0" w:color="EE3A6B" w:themeColor="accent2" w:themeTint="99"/>
        <w:insideH w:val="single" w:sz="4" w:space="0" w:color="EE3A6B" w:themeColor="accent2" w:themeTint="99"/>
        <w:insideV w:val="single" w:sz="4" w:space="0" w:color="EE3A6B" w:themeColor="accent2" w:themeTint="99"/>
      </w:tblBorders>
    </w:tblPr>
    <w:tblStylePr w:type="firstRow">
      <w:rPr>
        <w:b/>
        <w:bCs/>
        <w:color w:val="FFFFFF" w:themeColor="background1"/>
      </w:rPr>
      <w:tblPr/>
      <w:tcPr>
        <w:tcBorders>
          <w:top w:val="single" w:sz="4" w:space="0" w:color="900C30" w:themeColor="accent2"/>
          <w:left w:val="single" w:sz="4" w:space="0" w:color="900C30" w:themeColor="accent2"/>
          <w:bottom w:val="single" w:sz="4" w:space="0" w:color="900C30" w:themeColor="accent2"/>
          <w:right w:val="single" w:sz="4" w:space="0" w:color="900C30" w:themeColor="accent2"/>
          <w:insideH w:val="nil"/>
          <w:insideV w:val="nil"/>
        </w:tcBorders>
        <w:shd w:val="clear" w:color="auto" w:fill="900C30" w:themeFill="accent2"/>
      </w:tcPr>
    </w:tblStylePr>
    <w:tblStylePr w:type="lastRow">
      <w:rPr>
        <w:b/>
        <w:bCs/>
      </w:rPr>
      <w:tblPr/>
      <w:tcPr>
        <w:tcBorders>
          <w:top w:val="double" w:sz="4" w:space="0" w:color="900C30" w:themeColor="accent2"/>
        </w:tcBorders>
      </w:tcPr>
    </w:tblStylePr>
    <w:tblStylePr w:type="firstCol">
      <w:rPr>
        <w:b/>
        <w:bCs/>
      </w:rPr>
    </w:tblStylePr>
    <w:tblStylePr w:type="lastCol">
      <w:rPr>
        <w:b/>
        <w:bCs/>
      </w:rPr>
    </w:tblStylePr>
    <w:tblStylePr w:type="band1Vert">
      <w:tblPr/>
      <w:tcPr>
        <w:shd w:val="clear" w:color="auto" w:fill="F9BDCD" w:themeFill="accent2" w:themeFillTint="33"/>
      </w:tcPr>
    </w:tblStylePr>
    <w:tblStylePr w:type="band1Horz">
      <w:tblPr/>
      <w:tcPr>
        <w:shd w:val="clear" w:color="auto" w:fill="F9BDCD" w:themeFill="accent2" w:themeFillTint="33"/>
      </w:tcPr>
    </w:tblStylePr>
  </w:style>
  <w:style w:type="table" w:styleId="TableauGrille4-Accentuation1">
    <w:name w:val="Grid Table 4 Accent 1"/>
    <w:basedOn w:val="TableauNormal"/>
    <w:uiPriority w:val="49"/>
    <w:rsid w:val="0023573A"/>
    <w:tblPr>
      <w:tblStyleRowBandSize w:val="1"/>
      <w:tblStyleColBandSize w:val="1"/>
      <w:tblBorders>
        <w:top w:val="single" w:sz="4" w:space="0" w:color="FF3E76" w:themeColor="accent1" w:themeTint="99"/>
        <w:left w:val="single" w:sz="4" w:space="0" w:color="FF3E76" w:themeColor="accent1" w:themeTint="99"/>
        <w:bottom w:val="single" w:sz="4" w:space="0" w:color="FF3E76" w:themeColor="accent1" w:themeTint="99"/>
        <w:right w:val="single" w:sz="4" w:space="0" w:color="FF3E76" w:themeColor="accent1" w:themeTint="99"/>
        <w:insideH w:val="single" w:sz="4" w:space="0" w:color="FF3E76" w:themeColor="accent1" w:themeTint="99"/>
        <w:insideV w:val="single" w:sz="4" w:space="0" w:color="FF3E76" w:themeColor="accent1" w:themeTint="99"/>
      </w:tblBorders>
    </w:tblPr>
    <w:tblStylePr w:type="firstRow">
      <w:rPr>
        <w:b/>
        <w:bCs/>
        <w:color w:val="FFFFFF" w:themeColor="background1"/>
      </w:rPr>
      <w:tblPr/>
      <w:tcPr>
        <w:tcBorders>
          <w:top w:val="single" w:sz="4" w:space="0" w:color="BD0037" w:themeColor="accent1"/>
          <w:left w:val="single" w:sz="4" w:space="0" w:color="BD0037" w:themeColor="accent1"/>
          <w:bottom w:val="single" w:sz="4" w:space="0" w:color="BD0037" w:themeColor="accent1"/>
          <w:right w:val="single" w:sz="4" w:space="0" w:color="BD0037" w:themeColor="accent1"/>
          <w:insideH w:val="nil"/>
          <w:insideV w:val="nil"/>
        </w:tcBorders>
        <w:shd w:val="clear" w:color="auto" w:fill="BD0037" w:themeFill="accent1"/>
      </w:tcPr>
    </w:tblStylePr>
    <w:tblStylePr w:type="lastRow">
      <w:rPr>
        <w:b/>
        <w:bCs/>
      </w:rPr>
      <w:tblPr/>
      <w:tcPr>
        <w:tcBorders>
          <w:top w:val="double" w:sz="4" w:space="0" w:color="BD0037" w:themeColor="accent1"/>
        </w:tcBorders>
      </w:tcPr>
    </w:tblStylePr>
    <w:tblStylePr w:type="firstCol">
      <w:rPr>
        <w:b/>
        <w:bCs/>
      </w:rPr>
    </w:tblStylePr>
    <w:tblStylePr w:type="lastCol">
      <w:rPr>
        <w:b/>
        <w:bCs/>
      </w:rPr>
    </w:tblStylePr>
    <w:tblStylePr w:type="band1Vert">
      <w:tblPr/>
      <w:tcPr>
        <w:shd w:val="clear" w:color="auto" w:fill="FFBED1" w:themeFill="accent1" w:themeFillTint="33"/>
      </w:tcPr>
    </w:tblStylePr>
    <w:tblStylePr w:type="band1Horz">
      <w:tblPr/>
      <w:tcPr>
        <w:shd w:val="clear" w:color="auto" w:fill="FFBED1" w:themeFill="accent1" w:themeFillTint="33"/>
      </w:tcPr>
    </w:tblStylePr>
  </w:style>
  <w:style w:type="table" w:styleId="TableauGrille5Fonc-Accentuation2">
    <w:name w:val="Grid Table 5 Dark Accent 2"/>
    <w:basedOn w:val="TableauNormal"/>
    <w:uiPriority w:val="50"/>
    <w:rsid w:val="0023573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BDCD"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00C30"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00C30"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00C30"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00C30" w:themeFill="accent2"/>
      </w:tcPr>
    </w:tblStylePr>
    <w:tblStylePr w:type="band1Vert">
      <w:tblPr/>
      <w:tcPr>
        <w:shd w:val="clear" w:color="auto" w:fill="F47C9C" w:themeFill="accent2" w:themeFillTint="66"/>
      </w:tcPr>
    </w:tblStylePr>
    <w:tblStylePr w:type="band1Horz">
      <w:tblPr/>
      <w:tcPr>
        <w:shd w:val="clear" w:color="auto" w:fill="F47C9C" w:themeFill="accent2" w:themeFillTint="66"/>
      </w:tcPr>
    </w:tblStylePr>
  </w:style>
  <w:style w:type="table" w:styleId="TableauGrille5Fonc-Accentuation1">
    <w:name w:val="Grid Table 5 Dark Accent 1"/>
    <w:basedOn w:val="TableauNormal"/>
    <w:uiPriority w:val="50"/>
    <w:rsid w:val="0023573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BED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D003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D003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D003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D0037" w:themeFill="accent1"/>
      </w:tcPr>
    </w:tblStylePr>
    <w:tblStylePr w:type="band1Vert">
      <w:tblPr/>
      <w:tcPr>
        <w:shd w:val="clear" w:color="auto" w:fill="FF7EA3" w:themeFill="accent1" w:themeFillTint="66"/>
      </w:tcPr>
    </w:tblStylePr>
    <w:tblStylePr w:type="band1Horz">
      <w:tblPr/>
      <w:tcPr>
        <w:shd w:val="clear" w:color="auto" w:fill="FF7EA3" w:themeFill="accent1" w:themeFillTint="66"/>
      </w:tcPr>
    </w:tblStylePr>
  </w:style>
  <w:style w:type="table" w:styleId="TableauListe3-Accentuation1">
    <w:name w:val="List Table 3 Accent 1"/>
    <w:basedOn w:val="TableauNormal"/>
    <w:uiPriority w:val="48"/>
    <w:rsid w:val="0023573A"/>
    <w:tblPr>
      <w:tblStyleRowBandSize w:val="1"/>
      <w:tblStyleColBandSize w:val="1"/>
      <w:tblBorders>
        <w:top w:val="single" w:sz="4" w:space="0" w:color="BD0037" w:themeColor="accent1"/>
        <w:left w:val="single" w:sz="4" w:space="0" w:color="BD0037" w:themeColor="accent1"/>
        <w:bottom w:val="single" w:sz="4" w:space="0" w:color="BD0037" w:themeColor="accent1"/>
        <w:right w:val="single" w:sz="4" w:space="0" w:color="BD0037" w:themeColor="accent1"/>
      </w:tblBorders>
    </w:tblPr>
    <w:tblStylePr w:type="firstRow">
      <w:rPr>
        <w:b/>
        <w:bCs/>
        <w:color w:val="FFFFFF" w:themeColor="background1"/>
      </w:rPr>
      <w:tblPr/>
      <w:tcPr>
        <w:shd w:val="clear" w:color="auto" w:fill="BD0037" w:themeFill="accent1"/>
      </w:tcPr>
    </w:tblStylePr>
    <w:tblStylePr w:type="lastRow">
      <w:rPr>
        <w:b/>
        <w:bCs/>
      </w:rPr>
      <w:tblPr/>
      <w:tcPr>
        <w:tcBorders>
          <w:top w:val="double" w:sz="4" w:space="0" w:color="BD003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D0037" w:themeColor="accent1"/>
          <w:right w:val="single" w:sz="4" w:space="0" w:color="BD0037" w:themeColor="accent1"/>
        </w:tcBorders>
      </w:tcPr>
    </w:tblStylePr>
    <w:tblStylePr w:type="band1Horz">
      <w:tblPr/>
      <w:tcPr>
        <w:tcBorders>
          <w:top w:val="single" w:sz="4" w:space="0" w:color="BD0037" w:themeColor="accent1"/>
          <w:bottom w:val="single" w:sz="4" w:space="0" w:color="BD003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D0037" w:themeColor="accent1"/>
          <w:left w:val="nil"/>
        </w:tcBorders>
      </w:tcPr>
    </w:tblStylePr>
    <w:tblStylePr w:type="swCell">
      <w:tblPr/>
      <w:tcPr>
        <w:tcBorders>
          <w:top w:val="double" w:sz="4" w:space="0" w:color="BD0037" w:themeColor="accent1"/>
          <w:right w:val="nil"/>
        </w:tcBorders>
      </w:tcPr>
    </w:tblStylePr>
  </w:style>
  <w:style w:type="table" w:styleId="TableauListe2-Accentuation6">
    <w:name w:val="List Table 2 Accent 6"/>
    <w:basedOn w:val="TableauNormal"/>
    <w:uiPriority w:val="47"/>
    <w:rsid w:val="0023573A"/>
    <w:tblPr>
      <w:tblStyleRowBandSize w:val="1"/>
      <w:tblStyleColBandSize w:val="1"/>
      <w:tblBorders>
        <w:top w:val="single" w:sz="4" w:space="0" w:color="C3B7AE" w:themeColor="accent6" w:themeTint="99"/>
        <w:bottom w:val="single" w:sz="4" w:space="0" w:color="C3B7AE" w:themeColor="accent6" w:themeTint="99"/>
        <w:insideH w:val="single" w:sz="4" w:space="0" w:color="C3B7AE"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E7E4" w:themeFill="accent6" w:themeFillTint="33"/>
      </w:tcPr>
    </w:tblStylePr>
    <w:tblStylePr w:type="band1Horz">
      <w:tblPr/>
      <w:tcPr>
        <w:shd w:val="clear" w:color="auto" w:fill="EBE7E4" w:themeFill="accent6" w:themeFillTint="33"/>
      </w:tcPr>
    </w:tblStylePr>
  </w:style>
  <w:style w:type="table" w:styleId="TableauListe2-Accentuation5">
    <w:name w:val="List Table 2 Accent 5"/>
    <w:basedOn w:val="TableauNormal"/>
    <w:uiPriority w:val="47"/>
    <w:rsid w:val="0023573A"/>
    <w:tblPr>
      <w:tblStyleRowBandSize w:val="1"/>
      <w:tblStyleColBandSize w:val="1"/>
      <w:tblBorders>
        <w:top w:val="single" w:sz="4" w:space="0" w:color="A59E9B" w:themeColor="accent5" w:themeTint="99"/>
        <w:bottom w:val="single" w:sz="4" w:space="0" w:color="A59E9B" w:themeColor="accent5" w:themeTint="99"/>
        <w:insideH w:val="single" w:sz="4" w:space="0" w:color="A59E9B"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DEDD" w:themeFill="accent5" w:themeFillTint="33"/>
      </w:tcPr>
    </w:tblStylePr>
    <w:tblStylePr w:type="band1Horz">
      <w:tblPr/>
      <w:tcPr>
        <w:shd w:val="clear" w:color="auto" w:fill="E1DEDD" w:themeFill="accent5" w:themeFillTint="33"/>
      </w:tcPr>
    </w:tblStylePr>
  </w:style>
  <w:style w:type="table" w:styleId="TableauListe2-Accentuation2">
    <w:name w:val="List Table 2 Accent 2"/>
    <w:basedOn w:val="TableauNormal"/>
    <w:uiPriority w:val="47"/>
    <w:rsid w:val="0023573A"/>
    <w:tblPr>
      <w:tblStyleRowBandSize w:val="1"/>
      <w:tblStyleColBandSize w:val="1"/>
      <w:tblBorders>
        <w:top w:val="single" w:sz="4" w:space="0" w:color="EE3A6B" w:themeColor="accent2" w:themeTint="99"/>
        <w:bottom w:val="single" w:sz="4" w:space="0" w:color="EE3A6B" w:themeColor="accent2" w:themeTint="99"/>
        <w:insideH w:val="single" w:sz="4" w:space="0" w:color="EE3A6B"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BDCD" w:themeFill="accent2" w:themeFillTint="33"/>
      </w:tcPr>
    </w:tblStylePr>
    <w:tblStylePr w:type="band1Horz">
      <w:tblPr/>
      <w:tcPr>
        <w:shd w:val="clear" w:color="auto" w:fill="F9BDCD" w:themeFill="accent2" w:themeFillTint="33"/>
      </w:tcPr>
    </w:tblStylePr>
  </w:style>
  <w:style w:type="table" w:styleId="TableauListe7Couleur-Accentuation5">
    <w:name w:val="List Table 7 Colorful Accent 5"/>
    <w:basedOn w:val="TableauNormal"/>
    <w:uiPriority w:val="52"/>
    <w:rsid w:val="0023573A"/>
    <w:rPr>
      <w:color w:val="4C4744"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65F5C"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65F5C"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65F5C"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65F5C" w:themeColor="accent5"/>
        </w:tcBorders>
        <w:shd w:val="clear" w:color="auto" w:fill="FFFFFF" w:themeFill="background1"/>
      </w:tcPr>
    </w:tblStylePr>
    <w:tblStylePr w:type="band1Vert">
      <w:tblPr/>
      <w:tcPr>
        <w:shd w:val="clear" w:color="auto" w:fill="E1DEDD" w:themeFill="accent5" w:themeFillTint="33"/>
      </w:tcPr>
    </w:tblStylePr>
    <w:tblStylePr w:type="band1Horz">
      <w:tblPr/>
      <w:tcPr>
        <w:shd w:val="clear" w:color="auto" w:fill="E1DEDD"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Liste7Couleur-Accentuation2">
    <w:name w:val="List Table 7 Colorful Accent 2"/>
    <w:basedOn w:val="TableauNormal"/>
    <w:uiPriority w:val="52"/>
    <w:rsid w:val="0023573A"/>
    <w:rPr>
      <w:color w:val="6B0923"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00C30"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00C30"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00C30"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00C30" w:themeColor="accent2"/>
        </w:tcBorders>
        <w:shd w:val="clear" w:color="auto" w:fill="FFFFFF" w:themeFill="background1"/>
      </w:tcPr>
    </w:tblStylePr>
    <w:tblStylePr w:type="band1Vert">
      <w:tblPr/>
      <w:tcPr>
        <w:shd w:val="clear" w:color="auto" w:fill="F9BDCD" w:themeFill="accent2" w:themeFillTint="33"/>
      </w:tcPr>
    </w:tblStylePr>
    <w:tblStylePr w:type="band1Horz">
      <w:tblPr/>
      <w:tcPr>
        <w:shd w:val="clear" w:color="auto" w:fill="F9BDCD"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Liste7Couleur-Accentuation1">
    <w:name w:val="List Table 7 Colorful Accent 1"/>
    <w:basedOn w:val="TableauNormal"/>
    <w:uiPriority w:val="52"/>
    <w:rsid w:val="0023573A"/>
    <w:rPr>
      <w:color w:val="8D0029"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D003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D003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D003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D0037" w:themeColor="accent1"/>
        </w:tcBorders>
        <w:shd w:val="clear" w:color="auto" w:fill="FFFFFF" w:themeFill="background1"/>
      </w:tcPr>
    </w:tblStylePr>
    <w:tblStylePr w:type="band1Vert">
      <w:tblPr/>
      <w:tcPr>
        <w:shd w:val="clear" w:color="auto" w:fill="FFBED1" w:themeFill="accent1" w:themeFillTint="33"/>
      </w:tcPr>
    </w:tblStylePr>
    <w:tblStylePr w:type="band1Horz">
      <w:tblPr/>
      <w:tcPr>
        <w:shd w:val="clear" w:color="auto" w:fill="FFBED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Liste7Couleur">
    <w:name w:val="List Table 7 Colorful"/>
    <w:basedOn w:val="TableauNormal"/>
    <w:uiPriority w:val="52"/>
    <w:rsid w:val="0023573A"/>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auListe6Couleur-Accentuation6">
    <w:name w:val="List Table 6 Colorful Accent 6"/>
    <w:basedOn w:val="TableauNormal"/>
    <w:uiPriority w:val="51"/>
    <w:rsid w:val="0023573A"/>
    <w:rPr>
      <w:color w:val="766558" w:themeColor="accent6" w:themeShade="BF"/>
    </w:rPr>
    <w:tblPr>
      <w:tblStyleRowBandSize w:val="1"/>
      <w:tblStyleColBandSize w:val="1"/>
      <w:tblBorders>
        <w:top w:val="single" w:sz="4" w:space="0" w:color="9B8879" w:themeColor="accent6"/>
        <w:bottom w:val="single" w:sz="4" w:space="0" w:color="9B8879" w:themeColor="accent6"/>
      </w:tblBorders>
    </w:tblPr>
    <w:tblStylePr w:type="firstRow">
      <w:rPr>
        <w:b/>
        <w:bCs/>
      </w:rPr>
      <w:tblPr/>
      <w:tcPr>
        <w:tcBorders>
          <w:bottom w:val="single" w:sz="4" w:space="0" w:color="9B8879" w:themeColor="accent6"/>
        </w:tcBorders>
      </w:tcPr>
    </w:tblStylePr>
    <w:tblStylePr w:type="lastRow">
      <w:rPr>
        <w:b/>
        <w:bCs/>
      </w:rPr>
      <w:tblPr/>
      <w:tcPr>
        <w:tcBorders>
          <w:top w:val="double" w:sz="4" w:space="0" w:color="9B8879" w:themeColor="accent6"/>
        </w:tcBorders>
      </w:tcPr>
    </w:tblStylePr>
    <w:tblStylePr w:type="firstCol">
      <w:rPr>
        <w:b/>
        <w:bCs/>
      </w:rPr>
    </w:tblStylePr>
    <w:tblStylePr w:type="lastCol">
      <w:rPr>
        <w:b/>
        <w:bCs/>
      </w:rPr>
    </w:tblStylePr>
    <w:tblStylePr w:type="band1Vert">
      <w:tblPr/>
      <w:tcPr>
        <w:shd w:val="clear" w:color="auto" w:fill="EBE7E4" w:themeFill="accent6" w:themeFillTint="33"/>
      </w:tcPr>
    </w:tblStylePr>
    <w:tblStylePr w:type="band1Horz">
      <w:tblPr/>
      <w:tcPr>
        <w:shd w:val="clear" w:color="auto" w:fill="EBE7E4" w:themeFill="accent6" w:themeFillTint="33"/>
      </w:tcPr>
    </w:tblStylePr>
  </w:style>
  <w:style w:type="table" w:styleId="TableauListe5Fonc-Accentuation3">
    <w:name w:val="List Table 5 Dark Accent 3"/>
    <w:basedOn w:val="TableauNormal"/>
    <w:uiPriority w:val="50"/>
    <w:rsid w:val="0023573A"/>
    <w:rPr>
      <w:color w:val="FFFFFF" w:themeColor="background1"/>
    </w:rPr>
    <w:tblPr>
      <w:tblStyleRowBandSize w:val="1"/>
      <w:tblStyleColBandSize w:val="1"/>
      <w:tblBorders>
        <w:top w:val="single" w:sz="24" w:space="0" w:color="760049" w:themeColor="accent3"/>
        <w:left w:val="single" w:sz="24" w:space="0" w:color="760049" w:themeColor="accent3"/>
        <w:bottom w:val="single" w:sz="24" w:space="0" w:color="760049" w:themeColor="accent3"/>
        <w:right w:val="single" w:sz="24" w:space="0" w:color="760049" w:themeColor="accent3"/>
      </w:tblBorders>
    </w:tblPr>
    <w:tcPr>
      <w:shd w:val="clear" w:color="auto" w:fill="76004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eauGrille7Couleur-Accentuation5">
    <w:name w:val="Grid Table 7 Colorful Accent 5"/>
    <w:basedOn w:val="TableauNormal"/>
    <w:uiPriority w:val="52"/>
    <w:rsid w:val="0023573A"/>
    <w:rPr>
      <w:color w:val="4C4744" w:themeColor="accent5" w:themeShade="BF"/>
    </w:rPr>
    <w:tblPr>
      <w:tblStyleRowBandSize w:val="1"/>
      <w:tblStyleColBandSize w:val="1"/>
      <w:tblBorders>
        <w:top w:val="single" w:sz="4" w:space="0" w:color="A59E9B" w:themeColor="accent5" w:themeTint="99"/>
        <w:left w:val="single" w:sz="4" w:space="0" w:color="A59E9B" w:themeColor="accent5" w:themeTint="99"/>
        <w:bottom w:val="single" w:sz="4" w:space="0" w:color="A59E9B" w:themeColor="accent5" w:themeTint="99"/>
        <w:right w:val="single" w:sz="4" w:space="0" w:color="A59E9B" w:themeColor="accent5" w:themeTint="99"/>
        <w:insideH w:val="single" w:sz="4" w:space="0" w:color="A59E9B" w:themeColor="accent5" w:themeTint="99"/>
        <w:insideV w:val="single" w:sz="4" w:space="0" w:color="A59E9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DEDD" w:themeFill="accent5" w:themeFillTint="33"/>
      </w:tcPr>
    </w:tblStylePr>
    <w:tblStylePr w:type="band1Horz">
      <w:tblPr/>
      <w:tcPr>
        <w:shd w:val="clear" w:color="auto" w:fill="E1DEDD" w:themeFill="accent5" w:themeFillTint="33"/>
      </w:tcPr>
    </w:tblStylePr>
    <w:tblStylePr w:type="neCell">
      <w:tblPr/>
      <w:tcPr>
        <w:tcBorders>
          <w:bottom w:val="single" w:sz="4" w:space="0" w:color="A59E9B" w:themeColor="accent5" w:themeTint="99"/>
        </w:tcBorders>
      </w:tcPr>
    </w:tblStylePr>
    <w:tblStylePr w:type="nwCell">
      <w:tblPr/>
      <w:tcPr>
        <w:tcBorders>
          <w:bottom w:val="single" w:sz="4" w:space="0" w:color="A59E9B" w:themeColor="accent5" w:themeTint="99"/>
        </w:tcBorders>
      </w:tcPr>
    </w:tblStylePr>
    <w:tblStylePr w:type="seCell">
      <w:tblPr/>
      <w:tcPr>
        <w:tcBorders>
          <w:top w:val="single" w:sz="4" w:space="0" w:color="A59E9B" w:themeColor="accent5" w:themeTint="99"/>
        </w:tcBorders>
      </w:tcPr>
    </w:tblStylePr>
    <w:tblStylePr w:type="swCell">
      <w:tblPr/>
      <w:tcPr>
        <w:tcBorders>
          <w:top w:val="single" w:sz="4" w:space="0" w:color="A59E9B" w:themeColor="accent5" w:themeTint="99"/>
        </w:tcBorders>
      </w:tcPr>
    </w:tblStylePr>
  </w:style>
  <w:style w:type="table" w:styleId="TableauGrille6Couleur-Accentuation6">
    <w:name w:val="Grid Table 6 Colorful Accent 6"/>
    <w:basedOn w:val="TableauNormal"/>
    <w:uiPriority w:val="51"/>
    <w:rsid w:val="0023573A"/>
    <w:rPr>
      <w:color w:val="766558" w:themeColor="accent6" w:themeShade="BF"/>
    </w:rPr>
    <w:tblPr>
      <w:tblStyleRowBandSize w:val="1"/>
      <w:tblStyleColBandSize w:val="1"/>
      <w:tblBorders>
        <w:top w:val="single" w:sz="4" w:space="0" w:color="C3B7AE" w:themeColor="accent6" w:themeTint="99"/>
        <w:left w:val="single" w:sz="4" w:space="0" w:color="C3B7AE" w:themeColor="accent6" w:themeTint="99"/>
        <w:bottom w:val="single" w:sz="4" w:space="0" w:color="C3B7AE" w:themeColor="accent6" w:themeTint="99"/>
        <w:right w:val="single" w:sz="4" w:space="0" w:color="C3B7AE" w:themeColor="accent6" w:themeTint="99"/>
        <w:insideH w:val="single" w:sz="4" w:space="0" w:color="C3B7AE" w:themeColor="accent6" w:themeTint="99"/>
        <w:insideV w:val="single" w:sz="4" w:space="0" w:color="C3B7AE" w:themeColor="accent6" w:themeTint="99"/>
      </w:tblBorders>
    </w:tblPr>
    <w:tblStylePr w:type="firstRow">
      <w:rPr>
        <w:b/>
        <w:bCs/>
      </w:rPr>
      <w:tblPr/>
      <w:tcPr>
        <w:tcBorders>
          <w:bottom w:val="single" w:sz="12" w:space="0" w:color="C3B7AE" w:themeColor="accent6" w:themeTint="99"/>
        </w:tcBorders>
      </w:tcPr>
    </w:tblStylePr>
    <w:tblStylePr w:type="lastRow">
      <w:rPr>
        <w:b/>
        <w:bCs/>
      </w:rPr>
      <w:tblPr/>
      <w:tcPr>
        <w:tcBorders>
          <w:top w:val="double" w:sz="4" w:space="0" w:color="C3B7AE" w:themeColor="accent6" w:themeTint="99"/>
        </w:tcBorders>
      </w:tcPr>
    </w:tblStylePr>
    <w:tblStylePr w:type="firstCol">
      <w:rPr>
        <w:b/>
        <w:bCs/>
      </w:rPr>
    </w:tblStylePr>
    <w:tblStylePr w:type="lastCol">
      <w:rPr>
        <w:b/>
        <w:bCs/>
      </w:rPr>
    </w:tblStylePr>
    <w:tblStylePr w:type="band1Vert">
      <w:tblPr/>
      <w:tcPr>
        <w:shd w:val="clear" w:color="auto" w:fill="EBE7E4" w:themeFill="accent6" w:themeFillTint="33"/>
      </w:tcPr>
    </w:tblStylePr>
    <w:tblStylePr w:type="band1Horz">
      <w:tblPr/>
      <w:tcPr>
        <w:shd w:val="clear" w:color="auto" w:fill="EBE7E4" w:themeFill="accent6" w:themeFillTint="33"/>
      </w:tcPr>
    </w:tblStylePr>
  </w:style>
  <w:style w:type="character" w:styleId="Marquedecommentaire">
    <w:name w:val="annotation reference"/>
    <w:basedOn w:val="Policepardfaut"/>
    <w:uiPriority w:val="99"/>
    <w:semiHidden/>
    <w:unhideWhenUsed/>
    <w:rsid w:val="00A60DB2"/>
    <w:rPr>
      <w:sz w:val="16"/>
      <w:szCs w:val="16"/>
    </w:rPr>
  </w:style>
  <w:style w:type="paragraph" w:styleId="Commentaire">
    <w:name w:val="annotation text"/>
    <w:basedOn w:val="Normal"/>
    <w:link w:val="CommentaireCar"/>
    <w:uiPriority w:val="99"/>
    <w:semiHidden/>
    <w:unhideWhenUsed/>
    <w:rsid w:val="00A60DB2"/>
    <w:rPr>
      <w:sz w:val="20"/>
      <w:szCs w:val="20"/>
    </w:rPr>
  </w:style>
  <w:style w:type="character" w:customStyle="1" w:styleId="CommentaireCar">
    <w:name w:val="Commentaire Car"/>
    <w:basedOn w:val="Policepardfaut"/>
    <w:link w:val="Commentaire"/>
    <w:uiPriority w:val="99"/>
    <w:semiHidden/>
    <w:rsid w:val="00A60DB2"/>
    <w:rPr>
      <w:sz w:val="20"/>
      <w:szCs w:val="20"/>
    </w:rPr>
  </w:style>
  <w:style w:type="paragraph" w:styleId="Objetducommentaire">
    <w:name w:val="annotation subject"/>
    <w:basedOn w:val="Commentaire"/>
    <w:next w:val="Commentaire"/>
    <w:link w:val="ObjetducommentaireCar"/>
    <w:uiPriority w:val="99"/>
    <w:semiHidden/>
    <w:unhideWhenUsed/>
    <w:rsid w:val="00A60DB2"/>
    <w:rPr>
      <w:b/>
      <w:bCs/>
    </w:rPr>
  </w:style>
  <w:style w:type="character" w:customStyle="1" w:styleId="ObjetducommentaireCar">
    <w:name w:val="Objet du commentaire Car"/>
    <w:basedOn w:val="CommentaireCar"/>
    <w:link w:val="Objetducommentaire"/>
    <w:uiPriority w:val="99"/>
    <w:semiHidden/>
    <w:rsid w:val="00A60DB2"/>
    <w:rPr>
      <w:b/>
      <w:bCs/>
      <w:sz w:val="20"/>
      <w:szCs w:val="20"/>
    </w:rPr>
  </w:style>
  <w:style w:type="paragraph" w:styleId="Textedebulles">
    <w:name w:val="Balloon Text"/>
    <w:basedOn w:val="Normal"/>
    <w:link w:val="TextedebullesCar"/>
    <w:uiPriority w:val="99"/>
    <w:semiHidden/>
    <w:unhideWhenUsed/>
    <w:rsid w:val="00A60DB2"/>
    <w:rPr>
      <w:rFonts w:ascii="Times New Roman" w:hAnsi="Times New Roman" w:cs="Times New Roman"/>
      <w:sz w:val="26"/>
      <w:szCs w:val="26"/>
    </w:rPr>
  </w:style>
  <w:style w:type="character" w:customStyle="1" w:styleId="TextedebullesCar">
    <w:name w:val="Texte de bulles Car"/>
    <w:basedOn w:val="Policepardfaut"/>
    <w:link w:val="Textedebulles"/>
    <w:uiPriority w:val="99"/>
    <w:semiHidden/>
    <w:rsid w:val="00A60DB2"/>
    <w:rPr>
      <w:rFonts w:ascii="Times New Roman" w:hAnsi="Times New Roman" w:cs="Times New Roman"/>
      <w:sz w:val="26"/>
      <w:szCs w:val="26"/>
    </w:rPr>
  </w:style>
  <w:style w:type="paragraph" w:styleId="Paragraphedeliste">
    <w:name w:val="List Paragraph"/>
    <w:basedOn w:val="Normal"/>
    <w:uiPriority w:val="34"/>
    <w:rsid w:val="00791B63"/>
    <w:pPr>
      <w:ind w:left="720"/>
      <w:contextualSpacing/>
    </w:pPr>
    <w:rPr>
      <w:rFonts w:ascii="Times New Roman" w:eastAsia="Times New Roman" w:hAnsi="Times New Roman" w:cs="Times New Roman"/>
      <w:lang w:eastAsia="fr-FR"/>
    </w:rPr>
  </w:style>
  <w:style w:type="character" w:styleId="Lienhypertexte">
    <w:name w:val="Hyperlink"/>
    <w:basedOn w:val="Policepardfaut"/>
    <w:uiPriority w:val="99"/>
    <w:unhideWhenUsed/>
    <w:rsid w:val="00791B63"/>
    <w:rPr>
      <w:color w:val="0563C1" w:themeColor="hyperlink"/>
      <w:u w:val="single"/>
    </w:rPr>
  </w:style>
  <w:style w:type="paragraph" w:customStyle="1" w:styleId="Paragraphe">
    <w:name w:val="Paragraphe"/>
    <w:basedOn w:val="Normal"/>
    <w:link w:val="ParagrapheCar"/>
    <w:qFormat/>
    <w:rsid w:val="00132171"/>
    <w:pPr>
      <w:spacing w:before="120" w:after="120"/>
      <w:jc w:val="both"/>
    </w:pPr>
    <w:rPr>
      <w:sz w:val="22"/>
      <w:szCs w:val="22"/>
    </w:rPr>
  </w:style>
  <w:style w:type="character" w:customStyle="1" w:styleId="Titre1Car">
    <w:name w:val="Titre 1 Car"/>
    <w:aliases w:val="Titre 1;BWAH titre note Car"/>
    <w:basedOn w:val="Policepardfaut"/>
    <w:link w:val="Titre1"/>
    <w:uiPriority w:val="9"/>
    <w:rsid w:val="00E057FC"/>
    <w:rPr>
      <w:rFonts w:asciiTheme="majorHAnsi" w:eastAsiaTheme="majorEastAsia" w:hAnsiTheme="majorHAnsi" w:cstheme="majorBidi"/>
      <w:color w:val="C00000"/>
      <w:sz w:val="72"/>
      <w:szCs w:val="32"/>
    </w:rPr>
  </w:style>
  <w:style w:type="character" w:customStyle="1" w:styleId="ParagrapheCar">
    <w:name w:val="Paragraphe Car"/>
    <w:basedOn w:val="Policepardfaut"/>
    <w:link w:val="Paragraphe"/>
    <w:rsid w:val="00132171"/>
    <w:rPr>
      <w:sz w:val="22"/>
      <w:szCs w:val="22"/>
    </w:rPr>
  </w:style>
  <w:style w:type="paragraph" w:customStyle="1" w:styleId="Grandtitre2">
    <w:name w:val="Grand titre 2"/>
    <w:next w:val="Paragraphe"/>
    <w:link w:val="Grandtitre2Car"/>
    <w:qFormat/>
    <w:rsid w:val="00E057FC"/>
    <w:pPr>
      <w:spacing w:before="240" w:after="240"/>
    </w:pPr>
    <w:rPr>
      <w:caps/>
      <w:color w:val="900C30"/>
      <w:sz w:val="28"/>
      <w:szCs w:val="22"/>
    </w:rPr>
  </w:style>
  <w:style w:type="paragraph" w:customStyle="1" w:styleId="Styleinformations">
    <w:name w:val="Style informations"/>
    <w:next w:val="Paragraphe"/>
    <w:link w:val="StyleinformationsCar"/>
    <w:qFormat/>
    <w:rsid w:val="009D5FDF"/>
    <w:pPr>
      <w:spacing w:before="120"/>
    </w:pPr>
    <w:rPr>
      <w:rFonts w:asciiTheme="majorHAnsi" w:eastAsiaTheme="majorEastAsia" w:hAnsiTheme="majorHAnsi" w:cstheme="majorBidi"/>
      <w:color w:val="616161"/>
      <w:sz w:val="28"/>
      <w:szCs w:val="32"/>
    </w:rPr>
  </w:style>
  <w:style w:type="character" w:customStyle="1" w:styleId="Grandtitre2Car">
    <w:name w:val="Grand titre 2 Car"/>
    <w:basedOn w:val="ParagrapheCar"/>
    <w:link w:val="Grandtitre2"/>
    <w:rsid w:val="00E057FC"/>
    <w:rPr>
      <w:caps/>
      <w:color w:val="900C30"/>
      <w:sz w:val="28"/>
      <w:szCs w:val="22"/>
    </w:rPr>
  </w:style>
  <w:style w:type="paragraph" w:customStyle="1" w:styleId="Titre2">
    <w:name w:val="Titre_2"/>
    <w:basedOn w:val="Normal"/>
    <w:next w:val="Paragraphe"/>
    <w:link w:val="Titre2Car0"/>
    <w:qFormat/>
    <w:rsid w:val="00E057FC"/>
    <w:pPr>
      <w:numPr>
        <w:numId w:val="11"/>
      </w:numPr>
      <w:spacing w:before="120" w:after="120"/>
    </w:pPr>
    <w:rPr>
      <w:rFonts w:ascii="Arial" w:hAnsi="Arial" w:cs="Arial"/>
      <w:b/>
      <w:color w:val="BD0037"/>
    </w:rPr>
  </w:style>
  <w:style w:type="character" w:customStyle="1" w:styleId="StyleinformationsCar">
    <w:name w:val="Style informations Car"/>
    <w:basedOn w:val="Titre1Car"/>
    <w:link w:val="Styleinformations"/>
    <w:rsid w:val="009D5FDF"/>
    <w:rPr>
      <w:rFonts w:asciiTheme="majorHAnsi" w:eastAsiaTheme="majorEastAsia" w:hAnsiTheme="majorHAnsi" w:cstheme="majorBidi"/>
      <w:color w:val="616161"/>
      <w:sz w:val="28"/>
      <w:szCs w:val="32"/>
    </w:rPr>
  </w:style>
  <w:style w:type="paragraph" w:customStyle="1" w:styleId="Grandtitre">
    <w:name w:val="Grand titre"/>
    <w:next w:val="Grandtitre2"/>
    <w:link w:val="GrandtitreCar"/>
    <w:qFormat/>
    <w:rsid w:val="009972F6"/>
    <w:rPr>
      <w:rFonts w:asciiTheme="majorHAnsi" w:eastAsiaTheme="majorEastAsia" w:hAnsiTheme="majorHAnsi" w:cstheme="majorBidi"/>
      <w:color w:val="C00000"/>
      <w:sz w:val="72"/>
      <w:szCs w:val="32"/>
    </w:rPr>
  </w:style>
  <w:style w:type="character" w:customStyle="1" w:styleId="Titre2Car0">
    <w:name w:val="Titre_2 Car"/>
    <w:basedOn w:val="Policepardfaut"/>
    <w:link w:val="Titre2"/>
    <w:rsid w:val="00E057FC"/>
    <w:rPr>
      <w:rFonts w:ascii="Arial" w:hAnsi="Arial" w:cs="Arial"/>
      <w:b/>
      <w:color w:val="BD0037"/>
    </w:rPr>
  </w:style>
  <w:style w:type="character" w:customStyle="1" w:styleId="Titre3Car">
    <w:name w:val="Titre 3 Car"/>
    <w:basedOn w:val="Policepardfaut"/>
    <w:link w:val="Titre3"/>
    <w:uiPriority w:val="9"/>
    <w:semiHidden/>
    <w:rsid w:val="00A17BD2"/>
    <w:rPr>
      <w:rFonts w:asciiTheme="majorHAnsi" w:eastAsiaTheme="majorEastAsia" w:hAnsiTheme="majorHAnsi" w:cstheme="majorBidi"/>
      <w:color w:val="5E001B" w:themeColor="accent1" w:themeShade="7F"/>
    </w:rPr>
  </w:style>
  <w:style w:type="paragraph" w:styleId="TM2">
    <w:name w:val="toc 2"/>
    <w:basedOn w:val="Normal"/>
    <w:next w:val="Normal"/>
    <w:autoRedefine/>
    <w:uiPriority w:val="39"/>
    <w:unhideWhenUsed/>
    <w:rsid w:val="00A17BD2"/>
    <w:pPr>
      <w:spacing w:after="100"/>
      <w:ind w:left="240"/>
    </w:pPr>
  </w:style>
  <w:style w:type="paragraph" w:styleId="TM1">
    <w:name w:val="toc 1"/>
    <w:basedOn w:val="Normal"/>
    <w:next w:val="Normal"/>
    <w:autoRedefine/>
    <w:uiPriority w:val="39"/>
    <w:unhideWhenUsed/>
    <w:rsid w:val="00CC5207"/>
    <w:pPr>
      <w:spacing w:after="100"/>
    </w:pPr>
  </w:style>
  <w:style w:type="character" w:customStyle="1" w:styleId="GrandtitreCar">
    <w:name w:val="Grand titre Car"/>
    <w:basedOn w:val="Titre1Car"/>
    <w:link w:val="Grandtitre"/>
    <w:rsid w:val="009972F6"/>
    <w:rPr>
      <w:rFonts w:asciiTheme="majorHAnsi" w:eastAsiaTheme="majorEastAsia" w:hAnsiTheme="majorHAnsi" w:cstheme="majorBidi"/>
      <w:color w:val="C00000"/>
      <w:sz w:val="72"/>
      <w:szCs w:val="32"/>
    </w:rPr>
  </w:style>
  <w:style w:type="paragraph" w:customStyle="1" w:styleId="Soustitre1note">
    <w:name w:val="Sous titre 1_note"/>
    <w:next w:val="Paragraphe"/>
    <w:link w:val="Soustitre1noteCar"/>
    <w:rsid w:val="004A5AED"/>
    <w:pPr>
      <w:numPr>
        <w:numId w:val="30"/>
      </w:numPr>
      <w:shd w:val="clear" w:color="auto" w:fill="D9D9D9" w:themeFill="background1" w:themeFillShade="D9"/>
      <w:ind w:left="360"/>
    </w:pPr>
    <w:rPr>
      <w:rFonts w:ascii="Arial" w:hAnsi="Arial" w:cs="Arial"/>
      <w:caps/>
      <w:color w:val="900C30"/>
      <w:sz w:val="28"/>
    </w:rPr>
  </w:style>
  <w:style w:type="character" w:customStyle="1" w:styleId="Soustitre1noteCar">
    <w:name w:val="Sous titre 1_note Car"/>
    <w:basedOn w:val="Titre2Car0"/>
    <w:link w:val="Soustitre1note"/>
    <w:rsid w:val="004A5AED"/>
    <w:rPr>
      <w:rFonts w:ascii="Arial" w:hAnsi="Arial" w:cs="Arial"/>
      <w:b w:val="0"/>
      <w:caps/>
      <w:color w:val="900C30"/>
      <w:sz w:val="28"/>
      <w:shd w:val="clear" w:color="auto" w:fill="D9D9D9" w:themeFill="background1" w:themeFillShade="D9"/>
    </w:rPr>
  </w:style>
  <w:style w:type="paragraph" w:customStyle="1" w:styleId="Titre10">
    <w:name w:val="Titre_1"/>
    <w:basedOn w:val="Soustitre1note"/>
    <w:qFormat/>
    <w:rsid w:val="00E057FC"/>
  </w:style>
  <w:style w:type="paragraph" w:customStyle="1" w:styleId="Style2">
    <w:name w:val="Style2"/>
    <w:basedOn w:val="Paragraphe"/>
    <w:rsid w:val="00C113C1"/>
    <w:pPr>
      <w:numPr>
        <w:numId w:val="24"/>
      </w:numPr>
      <w:ind w:left="360"/>
    </w:pPr>
  </w:style>
  <w:style w:type="paragraph" w:customStyle="1" w:styleId="Enumration">
    <w:name w:val="Enumération"/>
    <w:next w:val="Paragraphe"/>
    <w:qFormat/>
    <w:rsid w:val="009972F6"/>
    <w:pPr>
      <w:numPr>
        <w:numId w:val="31"/>
      </w:numPr>
      <w:spacing w:before="120" w:after="120"/>
      <w:ind w:left="360"/>
    </w:pPr>
    <w:rPr>
      <w:sz w:val="22"/>
      <w:szCs w:val="22"/>
    </w:rPr>
  </w:style>
  <w:style w:type="character" w:styleId="lev">
    <w:name w:val="Strong"/>
    <w:basedOn w:val="Policepardfaut"/>
    <w:uiPriority w:val="22"/>
    <w:qFormat/>
    <w:rsid w:val="00DF33A9"/>
    <w:rPr>
      <w:b/>
      <w:bCs/>
    </w:rPr>
  </w:style>
  <w:style w:type="paragraph" w:styleId="NormalWeb">
    <w:name w:val="Normal (Web)"/>
    <w:basedOn w:val="Normal"/>
    <w:uiPriority w:val="99"/>
    <w:semiHidden/>
    <w:unhideWhenUsed/>
    <w:rsid w:val="00DF33A9"/>
    <w:pPr>
      <w:spacing w:before="100" w:beforeAutospacing="1" w:after="100" w:afterAutospacing="1"/>
    </w:pPr>
    <w:rPr>
      <w:rFonts w:ascii="Times New Roman" w:eastAsia="Times New Roman" w:hAnsi="Times New Roman" w:cs="Times New Roman"/>
      <w:lang w:eastAsia="fr-FR"/>
    </w:rPr>
  </w:style>
  <w:style w:type="character" w:styleId="Accentuation">
    <w:name w:val="Emphasis"/>
    <w:basedOn w:val="Policepardfaut"/>
    <w:uiPriority w:val="20"/>
    <w:qFormat/>
    <w:rsid w:val="00DF33A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2762309">
      <w:bodyDiv w:val="1"/>
      <w:marLeft w:val="0"/>
      <w:marRight w:val="0"/>
      <w:marTop w:val="0"/>
      <w:marBottom w:val="0"/>
      <w:divBdr>
        <w:top w:val="none" w:sz="0" w:space="0" w:color="auto"/>
        <w:left w:val="none" w:sz="0" w:space="0" w:color="auto"/>
        <w:bottom w:val="none" w:sz="0" w:space="0" w:color="auto"/>
        <w:right w:val="none" w:sz="0" w:space="0" w:color="auto"/>
      </w:divBdr>
      <w:divsChild>
        <w:div w:id="2049256971">
          <w:marLeft w:val="0"/>
          <w:marRight w:val="0"/>
          <w:marTop w:val="0"/>
          <w:marBottom w:val="0"/>
          <w:divBdr>
            <w:top w:val="none" w:sz="0" w:space="0" w:color="auto"/>
            <w:left w:val="none" w:sz="0" w:space="0" w:color="auto"/>
            <w:bottom w:val="none" w:sz="0" w:space="0" w:color="auto"/>
            <w:right w:val="none" w:sz="0" w:space="0" w:color="auto"/>
          </w:divBdr>
        </w:div>
      </w:divsChild>
    </w:div>
    <w:div w:id="231816906">
      <w:bodyDiv w:val="1"/>
      <w:marLeft w:val="0"/>
      <w:marRight w:val="0"/>
      <w:marTop w:val="0"/>
      <w:marBottom w:val="0"/>
      <w:divBdr>
        <w:top w:val="none" w:sz="0" w:space="0" w:color="auto"/>
        <w:left w:val="none" w:sz="0" w:space="0" w:color="auto"/>
        <w:bottom w:val="none" w:sz="0" w:space="0" w:color="auto"/>
        <w:right w:val="none" w:sz="0" w:space="0" w:color="auto"/>
      </w:divBdr>
      <w:divsChild>
        <w:div w:id="1302735756">
          <w:marLeft w:val="0"/>
          <w:marRight w:val="0"/>
          <w:marTop w:val="0"/>
          <w:marBottom w:val="0"/>
          <w:divBdr>
            <w:top w:val="none" w:sz="0" w:space="0" w:color="auto"/>
            <w:left w:val="none" w:sz="0" w:space="0" w:color="auto"/>
            <w:bottom w:val="none" w:sz="0" w:space="0" w:color="auto"/>
            <w:right w:val="none" w:sz="0" w:space="0" w:color="auto"/>
          </w:divBdr>
        </w:div>
      </w:divsChild>
    </w:div>
    <w:div w:id="503670301">
      <w:bodyDiv w:val="1"/>
      <w:marLeft w:val="0"/>
      <w:marRight w:val="0"/>
      <w:marTop w:val="0"/>
      <w:marBottom w:val="0"/>
      <w:divBdr>
        <w:top w:val="none" w:sz="0" w:space="0" w:color="auto"/>
        <w:left w:val="none" w:sz="0" w:space="0" w:color="auto"/>
        <w:bottom w:val="none" w:sz="0" w:space="0" w:color="auto"/>
        <w:right w:val="none" w:sz="0" w:space="0" w:color="auto"/>
      </w:divBdr>
      <w:divsChild>
        <w:div w:id="724330800">
          <w:marLeft w:val="547"/>
          <w:marRight w:val="0"/>
          <w:marTop w:val="0"/>
          <w:marBottom w:val="0"/>
          <w:divBdr>
            <w:top w:val="none" w:sz="0" w:space="0" w:color="auto"/>
            <w:left w:val="none" w:sz="0" w:space="0" w:color="auto"/>
            <w:bottom w:val="none" w:sz="0" w:space="0" w:color="auto"/>
            <w:right w:val="none" w:sz="0" w:space="0" w:color="auto"/>
          </w:divBdr>
        </w:div>
        <w:div w:id="483013401">
          <w:marLeft w:val="547"/>
          <w:marRight w:val="0"/>
          <w:marTop w:val="0"/>
          <w:marBottom w:val="0"/>
          <w:divBdr>
            <w:top w:val="none" w:sz="0" w:space="0" w:color="auto"/>
            <w:left w:val="none" w:sz="0" w:space="0" w:color="auto"/>
            <w:bottom w:val="none" w:sz="0" w:space="0" w:color="auto"/>
            <w:right w:val="none" w:sz="0" w:space="0" w:color="auto"/>
          </w:divBdr>
        </w:div>
        <w:div w:id="782188386">
          <w:marLeft w:val="547"/>
          <w:marRight w:val="0"/>
          <w:marTop w:val="0"/>
          <w:marBottom w:val="0"/>
          <w:divBdr>
            <w:top w:val="none" w:sz="0" w:space="0" w:color="auto"/>
            <w:left w:val="none" w:sz="0" w:space="0" w:color="auto"/>
            <w:bottom w:val="none" w:sz="0" w:space="0" w:color="auto"/>
            <w:right w:val="none" w:sz="0" w:space="0" w:color="auto"/>
          </w:divBdr>
        </w:div>
      </w:divsChild>
    </w:div>
    <w:div w:id="619149737">
      <w:bodyDiv w:val="1"/>
      <w:marLeft w:val="0"/>
      <w:marRight w:val="0"/>
      <w:marTop w:val="0"/>
      <w:marBottom w:val="0"/>
      <w:divBdr>
        <w:top w:val="none" w:sz="0" w:space="0" w:color="auto"/>
        <w:left w:val="none" w:sz="0" w:space="0" w:color="auto"/>
        <w:bottom w:val="none" w:sz="0" w:space="0" w:color="auto"/>
        <w:right w:val="none" w:sz="0" w:space="0" w:color="auto"/>
      </w:divBdr>
      <w:divsChild>
        <w:div w:id="36245131">
          <w:marLeft w:val="0"/>
          <w:marRight w:val="0"/>
          <w:marTop w:val="0"/>
          <w:marBottom w:val="0"/>
          <w:divBdr>
            <w:top w:val="none" w:sz="0" w:space="0" w:color="auto"/>
            <w:left w:val="none" w:sz="0" w:space="0" w:color="auto"/>
            <w:bottom w:val="none" w:sz="0" w:space="0" w:color="auto"/>
            <w:right w:val="none" w:sz="0" w:space="0" w:color="auto"/>
          </w:divBdr>
        </w:div>
      </w:divsChild>
    </w:div>
    <w:div w:id="848830669">
      <w:bodyDiv w:val="1"/>
      <w:marLeft w:val="0"/>
      <w:marRight w:val="0"/>
      <w:marTop w:val="0"/>
      <w:marBottom w:val="0"/>
      <w:divBdr>
        <w:top w:val="none" w:sz="0" w:space="0" w:color="auto"/>
        <w:left w:val="none" w:sz="0" w:space="0" w:color="auto"/>
        <w:bottom w:val="none" w:sz="0" w:space="0" w:color="auto"/>
        <w:right w:val="none" w:sz="0" w:space="0" w:color="auto"/>
      </w:divBdr>
      <w:divsChild>
        <w:div w:id="839084840">
          <w:marLeft w:val="0"/>
          <w:marRight w:val="0"/>
          <w:marTop w:val="0"/>
          <w:marBottom w:val="0"/>
          <w:divBdr>
            <w:top w:val="none" w:sz="0" w:space="0" w:color="auto"/>
            <w:left w:val="none" w:sz="0" w:space="0" w:color="auto"/>
            <w:bottom w:val="none" w:sz="0" w:space="0" w:color="auto"/>
            <w:right w:val="none" w:sz="0" w:space="0" w:color="auto"/>
          </w:divBdr>
        </w:div>
      </w:divsChild>
    </w:div>
    <w:div w:id="1001540808">
      <w:bodyDiv w:val="1"/>
      <w:marLeft w:val="0"/>
      <w:marRight w:val="0"/>
      <w:marTop w:val="0"/>
      <w:marBottom w:val="0"/>
      <w:divBdr>
        <w:top w:val="none" w:sz="0" w:space="0" w:color="auto"/>
        <w:left w:val="none" w:sz="0" w:space="0" w:color="auto"/>
        <w:bottom w:val="none" w:sz="0" w:space="0" w:color="auto"/>
        <w:right w:val="none" w:sz="0" w:space="0" w:color="auto"/>
      </w:divBdr>
      <w:divsChild>
        <w:div w:id="866672289">
          <w:marLeft w:val="0"/>
          <w:marRight w:val="0"/>
          <w:marTop w:val="0"/>
          <w:marBottom w:val="0"/>
          <w:divBdr>
            <w:top w:val="none" w:sz="0" w:space="0" w:color="auto"/>
            <w:left w:val="none" w:sz="0" w:space="0" w:color="auto"/>
            <w:bottom w:val="none" w:sz="0" w:space="0" w:color="auto"/>
            <w:right w:val="none" w:sz="0" w:space="0" w:color="auto"/>
          </w:divBdr>
        </w:div>
      </w:divsChild>
    </w:div>
    <w:div w:id="1139347815">
      <w:bodyDiv w:val="1"/>
      <w:marLeft w:val="0"/>
      <w:marRight w:val="0"/>
      <w:marTop w:val="0"/>
      <w:marBottom w:val="0"/>
      <w:divBdr>
        <w:top w:val="none" w:sz="0" w:space="0" w:color="auto"/>
        <w:left w:val="none" w:sz="0" w:space="0" w:color="auto"/>
        <w:bottom w:val="none" w:sz="0" w:space="0" w:color="auto"/>
        <w:right w:val="none" w:sz="0" w:space="0" w:color="auto"/>
      </w:divBdr>
      <w:divsChild>
        <w:div w:id="396828696">
          <w:marLeft w:val="547"/>
          <w:marRight w:val="0"/>
          <w:marTop w:val="0"/>
          <w:marBottom w:val="0"/>
          <w:divBdr>
            <w:top w:val="none" w:sz="0" w:space="0" w:color="auto"/>
            <w:left w:val="none" w:sz="0" w:space="0" w:color="auto"/>
            <w:bottom w:val="none" w:sz="0" w:space="0" w:color="auto"/>
            <w:right w:val="none" w:sz="0" w:space="0" w:color="auto"/>
          </w:divBdr>
        </w:div>
        <w:div w:id="2012680410">
          <w:marLeft w:val="1166"/>
          <w:marRight w:val="0"/>
          <w:marTop w:val="0"/>
          <w:marBottom w:val="0"/>
          <w:divBdr>
            <w:top w:val="none" w:sz="0" w:space="0" w:color="auto"/>
            <w:left w:val="none" w:sz="0" w:space="0" w:color="auto"/>
            <w:bottom w:val="none" w:sz="0" w:space="0" w:color="auto"/>
            <w:right w:val="none" w:sz="0" w:space="0" w:color="auto"/>
          </w:divBdr>
        </w:div>
        <w:div w:id="1958877673">
          <w:marLeft w:val="547"/>
          <w:marRight w:val="0"/>
          <w:marTop w:val="0"/>
          <w:marBottom w:val="0"/>
          <w:divBdr>
            <w:top w:val="none" w:sz="0" w:space="0" w:color="auto"/>
            <w:left w:val="none" w:sz="0" w:space="0" w:color="auto"/>
            <w:bottom w:val="none" w:sz="0" w:space="0" w:color="auto"/>
            <w:right w:val="none" w:sz="0" w:space="0" w:color="auto"/>
          </w:divBdr>
        </w:div>
        <w:div w:id="450394673">
          <w:marLeft w:val="1166"/>
          <w:marRight w:val="0"/>
          <w:marTop w:val="0"/>
          <w:marBottom w:val="0"/>
          <w:divBdr>
            <w:top w:val="none" w:sz="0" w:space="0" w:color="auto"/>
            <w:left w:val="none" w:sz="0" w:space="0" w:color="auto"/>
            <w:bottom w:val="none" w:sz="0" w:space="0" w:color="auto"/>
            <w:right w:val="none" w:sz="0" w:space="0" w:color="auto"/>
          </w:divBdr>
        </w:div>
        <w:div w:id="179777737">
          <w:marLeft w:val="547"/>
          <w:marRight w:val="0"/>
          <w:marTop w:val="0"/>
          <w:marBottom w:val="0"/>
          <w:divBdr>
            <w:top w:val="none" w:sz="0" w:space="0" w:color="auto"/>
            <w:left w:val="none" w:sz="0" w:space="0" w:color="auto"/>
            <w:bottom w:val="none" w:sz="0" w:space="0" w:color="auto"/>
            <w:right w:val="none" w:sz="0" w:space="0" w:color="auto"/>
          </w:divBdr>
        </w:div>
        <w:div w:id="895817902">
          <w:marLeft w:val="1166"/>
          <w:marRight w:val="0"/>
          <w:marTop w:val="0"/>
          <w:marBottom w:val="0"/>
          <w:divBdr>
            <w:top w:val="none" w:sz="0" w:space="0" w:color="auto"/>
            <w:left w:val="none" w:sz="0" w:space="0" w:color="auto"/>
            <w:bottom w:val="none" w:sz="0" w:space="0" w:color="auto"/>
            <w:right w:val="none" w:sz="0" w:space="0" w:color="auto"/>
          </w:divBdr>
        </w:div>
        <w:div w:id="1182009830">
          <w:marLeft w:val="547"/>
          <w:marRight w:val="0"/>
          <w:marTop w:val="0"/>
          <w:marBottom w:val="0"/>
          <w:divBdr>
            <w:top w:val="none" w:sz="0" w:space="0" w:color="auto"/>
            <w:left w:val="none" w:sz="0" w:space="0" w:color="auto"/>
            <w:bottom w:val="none" w:sz="0" w:space="0" w:color="auto"/>
            <w:right w:val="none" w:sz="0" w:space="0" w:color="auto"/>
          </w:divBdr>
        </w:div>
        <w:div w:id="1083139297">
          <w:marLeft w:val="1166"/>
          <w:marRight w:val="0"/>
          <w:marTop w:val="0"/>
          <w:marBottom w:val="0"/>
          <w:divBdr>
            <w:top w:val="none" w:sz="0" w:space="0" w:color="auto"/>
            <w:left w:val="none" w:sz="0" w:space="0" w:color="auto"/>
            <w:bottom w:val="none" w:sz="0" w:space="0" w:color="auto"/>
            <w:right w:val="none" w:sz="0" w:space="0" w:color="auto"/>
          </w:divBdr>
        </w:div>
      </w:divsChild>
    </w:div>
    <w:div w:id="1201698343">
      <w:bodyDiv w:val="1"/>
      <w:marLeft w:val="0"/>
      <w:marRight w:val="0"/>
      <w:marTop w:val="0"/>
      <w:marBottom w:val="0"/>
      <w:divBdr>
        <w:top w:val="none" w:sz="0" w:space="0" w:color="auto"/>
        <w:left w:val="none" w:sz="0" w:space="0" w:color="auto"/>
        <w:bottom w:val="none" w:sz="0" w:space="0" w:color="auto"/>
        <w:right w:val="none" w:sz="0" w:space="0" w:color="auto"/>
      </w:divBdr>
      <w:divsChild>
        <w:div w:id="659236730">
          <w:marLeft w:val="0"/>
          <w:marRight w:val="0"/>
          <w:marTop w:val="0"/>
          <w:marBottom w:val="0"/>
          <w:divBdr>
            <w:top w:val="none" w:sz="0" w:space="0" w:color="auto"/>
            <w:left w:val="none" w:sz="0" w:space="0" w:color="auto"/>
            <w:bottom w:val="none" w:sz="0" w:space="0" w:color="auto"/>
            <w:right w:val="none" w:sz="0" w:space="0" w:color="auto"/>
          </w:divBdr>
        </w:div>
      </w:divsChild>
    </w:div>
    <w:div w:id="1251966157">
      <w:bodyDiv w:val="1"/>
      <w:marLeft w:val="0"/>
      <w:marRight w:val="0"/>
      <w:marTop w:val="0"/>
      <w:marBottom w:val="0"/>
      <w:divBdr>
        <w:top w:val="none" w:sz="0" w:space="0" w:color="auto"/>
        <w:left w:val="none" w:sz="0" w:space="0" w:color="auto"/>
        <w:bottom w:val="none" w:sz="0" w:space="0" w:color="auto"/>
        <w:right w:val="none" w:sz="0" w:space="0" w:color="auto"/>
      </w:divBdr>
      <w:divsChild>
        <w:div w:id="1607880115">
          <w:marLeft w:val="0"/>
          <w:marRight w:val="0"/>
          <w:marTop w:val="0"/>
          <w:marBottom w:val="0"/>
          <w:divBdr>
            <w:top w:val="none" w:sz="0" w:space="0" w:color="auto"/>
            <w:left w:val="none" w:sz="0" w:space="0" w:color="auto"/>
            <w:bottom w:val="none" w:sz="0" w:space="0" w:color="auto"/>
            <w:right w:val="none" w:sz="0" w:space="0" w:color="auto"/>
          </w:divBdr>
        </w:div>
      </w:divsChild>
    </w:div>
    <w:div w:id="1255164689">
      <w:bodyDiv w:val="1"/>
      <w:marLeft w:val="0"/>
      <w:marRight w:val="0"/>
      <w:marTop w:val="0"/>
      <w:marBottom w:val="0"/>
      <w:divBdr>
        <w:top w:val="none" w:sz="0" w:space="0" w:color="auto"/>
        <w:left w:val="none" w:sz="0" w:space="0" w:color="auto"/>
        <w:bottom w:val="none" w:sz="0" w:space="0" w:color="auto"/>
        <w:right w:val="none" w:sz="0" w:space="0" w:color="auto"/>
      </w:divBdr>
      <w:divsChild>
        <w:div w:id="347871329">
          <w:marLeft w:val="0"/>
          <w:marRight w:val="0"/>
          <w:marTop w:val="0"/>
          <w:marBottom w:val="0"/>
          <w:divBdr>
            <w:top w:val="none" w:sz="0" w:space="0" w:color="auto"/>
            <w:left w:val="none" w:sz="0" w:space="0" w:color="auto"/>
            <w:bottom w:val="none" w:sz="0" w:space="0" w:color="auto"/>
            <w:right w:val="none" w:sz="0" w:space="0" w:color="auto"/>
          </w:divBdr>
        </w:div>
      </w:divsChild>
    </w:div>
    <w:div w:id="1390499350">
      <w:bodyDiv w:val="1"/>
      <w:marLeft w:val="0"/>
      <w:marRight w:val="0"/>
      <w:marTop w:val="0"/>
      <w:marBottom w:val="0"/>
      <w:divBdr>
        <w:top w:val="none" w:sz="0" w:space="0" w:color="auto"/>
        <w:left w:val="none" w:sz="0" w:space="0" w:color="auto"/>
        <w:bottom w:val="none" w:sz="0" w:space="0" w:color="auto"/>
        <w:right w:val="none" w:sz="0" w:space="0" w:color="auto"/>
      </w:divBdr>
      <w:divsChild>
        <w:div w:id="566189678">
          <w:marLeft w:val="547"/>
          <w:marRight w:val="0"/>
          <w:marTop w:val="0"/>
          <w:marBottom w:val="0"/>
          <w:divBdr>
            <w:top w:val="none" w:sz="0" w:space="0" w:color="auto"/>
            <w:left w:val="none" w:sz="0" w:space="0" w:color="auto"/>
            <w:bottom w:val="none" w:sz="0" w:space="0" w:color="auto"/>
            <w:right w:val="none" w:sz="0" w:space="0" w:color="auto"/>
          </w:divBdr>
        </w:div>
      </w:divsChild>
    </w:div>
    <w:div w:id="1523324140">
      <w:bodyDiv w:val="1"/>
      <w:marLeft w:val="0"/>
      <w:marRight w:val="0"/>
      <w:marTop w:val="0"/>
      <w:marBottom w:val="0"/>
      <w:divBdr>
        <w:top w:val="none" w:sz="0" w:space="0" w:color="auto"/>
        <w:left w:val="none" w:sz="0" w:space="0" w:color="auto"/>
        <w:bottom w:val="none" w:sz="0" w:space="0" w:color="auto"/>
        <w:right w:val="none" w:sz="0" w:space="0" w:color="auto"/>
      </w:divBdr>
      <w:divsChild>
        <w:div w:id="1291127065">
          <w:marLeft w:val="0"/>
          <w:marRight w:val="0"/>
          <w:marTop w:val="0"/>
          <w:marBottom w:val="0"/>
          <w:divBdr>
            <w:top w:val="none" w:sz="0" w:space="0" w:color="auto"/>
            <w:left w:val="none" w:sz="0" w:space="0" w:color="auto"/>
            <w:bottom w:val="none" w:sz="0" w:space="0" w:color="auto"/>
            <w:right w:val="none" w:sz="0" w:space="0" w:color="auto"/>
          </w:divBdr>
        </w:div>
      </w:divsChild>
    </w:div>
    <w:div w:id="1559896965">
      <w:bodyDiv w:val="1"/>
      <w:marLeft w:val="0"/>
      <w:marRight w:val="0"/>
      <w:marTop w:val="0"/>
      <w:marBottom w:val="0"/>
      <w:divBdr>
        <w:top w:val="none" w:sz="0" w:space="0" w:color="auto"/>
        <w:left w:val="none" w:sz="0" w:space="0" w:color="auto"/>
        <w:bottom w:val="none" w:sz="0" w:space="0" w:color="auto"/>
        <w:right w:val="none" w:sz="0" w:space="0" w:color="auto"/>
      </w:divBdr>
      <w:divsChild>
        <w:div w:id="502164250">
          <w:marLeft w:val="547"/>
          <w:marRight w:val="0"/>
          <w:marTop w:val="0"/>
          <w:marBottom w:val="0"/>
          <w:divBdr>
            <w:top w:val="none" w:sz="0" w:space="0" w:color="auto"/>
            <w:left w:val="none" w:sz="0" w:space="0" w:color="auto"/>
            <w:bottom w:val="none" w:sz="0" w:space="0" w:color="auto"/>
            <w:right w:val="none" w:sz="0" w:space="0" w:color="auto"/>
          </w:divBdr>
        </w:div>
        <w:div w:id="2011440771">
          <w:marLeft w:val="1166"/>
          <w:marRight w:val="0"/>
          <w:marTop w:val="0"/>
          <w:marBottom w:val="0"/>
          <w:divBdr>
            <w:top w:val="none" w:sz="0" w:space="0" w:color="auto"/>
            <w:left w:val="none" w:sz="0" w:space="0" w:color="auto"/>
            <w:bottom w:val="none" w:sz="0" w:space="0" w:color="auto"/>
            <w:right w:val="none" w:sz="0" w:space="0" w:color="auto"/>
          </w:divBdr>
        </w:div>
        <w:div w:id="1530683289">
          <w:marLeft w:val="1166"/>
          <w:marRight w:val="0"/>
          <w:marTop w:val="0"/>
          <w:marBottom w:val="0"/>
          <w:divBdr>
            <w:top w:val="none" w:sz="0" w:space="0" w:color="auto"/>
            <w:left w:val="none" w:sz="0" w:space="0" w:color="auto"/>
            <w:bottom w:val="none" w:sz="0" w:space="0" w:color="auto"/>
            <w:right w:val="none" w:sz="0" w:space="0" w:color="auto"/>
          </w:divBdr>
        </w:div>
        <w:div w:id="1828354340">
          <w:marLeft w:val="547"/>
          <w:marRight w:val="0"/>
          <w:marTop w:val="0"/>
          <w:marBottom w:val="0"/>
          <w:divBdr>
            <w:top w:val="none" w:sz="0" w:space="0" w:color="auto"/>
            <w:left w:val="none" w:sz="0" w:space="0" w:color="auto"/>
            <w:bottom w:val="none" w:sz="0" w:space="0" w:color="auto"/>
            <w:right w:val="none" w:sz="0" w:space="0" w:color="auto"/>
          </w:divBdr>
        </w:div>
        <w:div w:id="1184637691">
          <w:marLeft w:val="1166"/>
          <w:marRight w:val="0"/>
          <w:marTop w:val="0"/>
          <w:marBottom w:val="0"/>
          <w:divBdr>
            <w:top w:val="none" w:sz="0" w:space="0" w:color="auto"/>
            <w:left w:val="none" w:sz="0" w:space="0" w:color="auto"/>
            <w:bottom w:val="none" w:sz="0" w:space="0" w:color="auto"/>
            <w:right w:val="none" w:sz="0" w:space="0" w:color="auto"/>
          </w:divBdr>
        </w:div>
        <w:div w:id="1203249152">
          <w:marLeft w:val="1166"/>
          <w:marRight w:val="0"/>
          <w:marTop w:val="0"/>
          <w:marBottom w:val="0"/>
          <w:divBdr>
            <w:top w:val="none" w:sz="0" w:space="0" w:color="auto"/>
            <w:left w:val="none" w:sz="0" w:space="0" w:color="auto"/>
            <w:bottom w:val="none" w:sz="0" w:space="0" w:color="auto"/>
            <w:right w:val="none" w:sz="0" w:space="0" w:color="auto"/>
          </w:divBdr>
        </w:div>
        <w:div w:id="1123042699">
          <w:marLeft w:val="547"/>
          <w:marRight w:val="0"/>
          <w:marTop w:val="0"/>
          <w:marBottom w:val="0"/>
          <w:divBdr>
            <w:top w:val="none" w:sz="0" w:space="0" w:color="auto"/>
            <w:left w:val="none" w:sz="0" w:space="0" w:color="auto"/>
            <w:bottom w:val="none" w:sz="0" w:space="0" w:color="auto"/>
            <w:right w:val="none" w:sz="0" w:space="0" w:color="auto"/>
          </w:divBdr>
        </w:div>
        <w:div w:id="16540327">
          <w:marLeft w:val="1166"/>
          <w:marRight w:val="0"/>
          <w:marTop w:val="0"/>
          <w:marBottom w:val="0"/>
          <w:divBdr>
            <w:top w:val="none" w:sz="0" w:space="0" w:color="auto"/>
            <w:left w:val="none" w:sz="0" w:space="0" w:color="auto"/>
            <w:bottom w:val="none" w:sz="0" w:space="0" w:color="auto"/>
            <w:right w:val="none" w:sz="0" w:space="0" w:color="auto"/>
          </w:divBdr>
        </w:div>
        <w:div w:id="313721496">
          <w:marLeft w:val="1166"/>
          <w:marRight w:val="0"/>
          <w:marTop w:val="0"/>
          <w:marBottom w:val="0"/>
          <w:divBdr>
            <w:top w:val="none" w:sz="0" w:space="0" w:color="auto"/>
            <w:left w:val="none" w:sz="0" w:space="0" w:color="auto"/>
            <w:bottom w:val="none" w:sz="0" w:space="0" w:color="auto"/>
            <w:right w:val="none" w:sz="0" w:space="0" w:color="auto"/>
          </w:divBdr>
        </w:div>
        <w:div w:id="477767188">
          <w:marLeft w:val="547"/>
          <w:marRight w:val="0"/>
          <w:marTop w:val="0"/>
          <w:marBottom w:val="0"/>
          <w:divBdr>
            <w:top w:val="none" w:sz="0" w:space="0" w:color="auto"/>
            <w:left w:val="none" w:sz="0" w:space="0" w:color="auto"/>
            <w:bottom w:val="none" w:sz="0" w:space="0" w:color="auto"/>
            <w:right w:val="none" w:sz="0" w:space="0" w:color="auto"/>
          </w:divBdr>
        </w:div>
        <w:div w:id="1389567652">
          <w:marLeft w:val="1166"/>
          <w:marRight w:val="0"/>
          <w:marTop w:val="0"/>
          <w:marBottom w:val="0"/>
          <w:divBdr>
            <w:top w:val="none" w:sz="0" w:space="0" w:color="auto"/>
            <w:left w:val="none" w:sz="0" w:space="0" w:color="auto"/>
            <w:bottom w:val="none" w:sz="0" w:space="0" w:color="auto"/>
            <w:right w:val="none" w:sz="0" w:space="0" w:color="auto"/>
          </w:divBdr>
        </w:div>
        <w:div w:id="1992439439">
          <w:marLeft w:val="1166"/>
          <w:marRight w:val="0"/>
          <w:marTop w:val="0"/>
          <w:marBottom w:val="0"/>
          <w:divBdr>
            <w:top w:val="none" w:sz="0" w:space="0" w:color="auto"/>
            <w:left w:val="none" w:sz="0" w:space="0" w:color="auto"/>
            <w:bottom w:val="none" w:sz="0" w:space="0" w:color="auto"/>
            <w:right w:val="none" w:sz="0" w:space="0" w:color="auto"/>
          </w:divBdr>
        </w:div>
        <w:div w:id="2005743575">
          <w:marLeft w:val="547"/>
          <w:marRight w:val="0"/>
          <w:marTop w:val="0"/>
          <w:marBottom w:val="0"/>
          <w:divBdr>
            <w:top w:val="none" w:sz="0" w:space="0" w:color="auto"/>
            <w:left w:val="none" w:sz="0" w:space="0" w:color="auto"/>
            <w:bottom w:val="none" w:sz="0" w:space="0" w:color="auto"/>
            <w:right w:val="none" w:sz="0" w:space="0" w:color="auto"/>
          </w:divBdr>
        </w:div>
        <w:div w:id="14356290">
          <w:marLeft w:val="1166"/>
          <w:marRight w:val="0"/>
          <w:marTop w:val="0"/>
          <w:marBottom w:val="0"/>
          <w:divBdr>
            <w:top w:val="none" w:sz="0" w:space="0" w:color="auto"/>
            <w:left w:val="none" w:sz="0" w:space="0" w:color="auto"/>
            <w:bottom w:val="none" w:sz="0" w:space="0" w:color="auto"/>
            <w:right w:val="none" w:sz="0" w:space="0" w:color="auto"/>
          </w:divBdr>
        </w:div>
      </w:divsChild>
    </w:div>
    <w:div w:id="1577327614">
      <w:bodyDiv w:val="1"/>
      <w:marLeft w:val="0"/>
      <w:marRight w:val="0"/>
      <w:marTop w:val="0"/>
      <w:marBottom w:val="0"/>
      <w:divBdr>
        <w:top w:val="none" w:sz="0" w:space="0" w:color="auto"/>
        <w:left w:val="none" w:sz="0" w:space="0" w:color="auto"/>
        <w:bottom w:val="none" w:sz="0" w:space="0" w:color="auto"/>
        <w:right w:val="none" w:sz="0" w:space="0" w:color="auto"/>
      </w:divBdr>
      <w:divsChild>
        <w:div w:id="212156139">
          <w:marLeft w:val="0"/>
          <w:marRight w:val="0"/>
          <w:marTop w:val="0"/>
          <w:marBottom w:val="0"/>
          <w:divBdr>
            <w:top w:val="none" w:sz="0" w:space="0" w:color="auto"/>
            <w:left w:val="none" w:sz="0" w:space="0" w:color="auto"/>
            <w:bottom w:val="none" w:sz="0" w:space="0" w:color="auto"/>
            <w:right w:val="none" w:sz="0" w:space="0" w:color="auto"/>
          </w:divBdr>
        </w:div>
      </w:divsChild>
    </w:div>
    <w:div w:id="1616402692">
      <w:bodyDiv w:val="1"/>
      <w:marLeft w:val="0"/>
      <w:marRight w:val="0"/>
      <w:marTop w:val="0"/>
      <w:marBottom w:val="0"/>
      <w:divBdr>
        <w:top w:val="none" w:sz="0" w:space="0" w:color="auto"/>
        <w:left w:val="none" w:sz="0" w:space="0" w:color="auto"/>
        <w:bottom w:val="none" w:sz="0" w:space="0" w:color="auto"/>
        <w:right w:val="none" w:sz="0" w:space="0" w:color="auto"/>
      </w:divBdr>
    </w:div>
    <w:div w:id="1921403985">
      <w:bodyDiv w:val="1"/>
      <w:marLeft w:val="0"/>
      <w:marRight w:val="0"/>
      <w:marTop w:val="0"/>
      <w:marBottom w:val="0"/>
      <w:divBdr>
        <w:top w:val="none" w:sz="0" w:space="0" w:color="auto"/>
        <w:left w:val="none" w:sz="0" w:space="0" w:color="auto"/>
        <w:bottom w:val="none" w:sz="0" w:space="0" w:color="auto"/>
        <w:right w:val="none" w:sz="0" w:space="0" w:color="auto"/>
      </w:divBdr>
      <w:divsChild>
        <w:div w:id="1909682989">
          <w:marLeft w:val="0"/>
          <w:marRight w:val="0"/>
          <w:marTop w:val="0"/>
          <w:marBottom w:val="0"/>
          <w:divBdr>
            <w:top w:val="none" w:sz="0" w:space="0" w:color="auto"/>
            <w:left w:val="none" w:sz="0" w:space="0" w:color="auto"/>
            <w:bottom w:val="none" w:sz="0" w:space="0" w:color="auto"/>
            <w:right w:val="none" w:sz="0" w:space="0" w:color="auto"/>
          </w:divBdr>
        </w:div>
      </w:divsChild>
    </w:div>
    <w:div w:id="1957977753">
      <w:bodyDiv w:val="1"/>
      <w:marLeft w:val="0"/>
      <w:marRight w:val="0"/>
      <w:marTop w:val="0"/>
      <w:marBottom w:val="0"/>
      <w:divBdr>
        <w:top w:val="none" w:sz="0" w:space="0" w:color="auto"/>
        <w:left w:val="none" w:sz="0" w:space="0" w:color="auto"/>
        <w:bottom w:val="none" w:sz="0" w:space="0" w:color="auto"/>
        <w:right w:val="none" w:sz="0" w:space="0" w:color="auto"/>
      </w:divBdr>
      <w:divsChild>
        <w:div w:id="10252474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francebleu.fr/infos/sante-sciences/le-gouvernement-prevoit-le-doublement-des-franchises-medicales-a-partir-de-fin-mars-8024038" TargetMode="External"/><Relationship Id="rId18" Type="http://schemas.openxmlformats.org/officeDocument/2006/relationships/hyperlink" Target="https://www.lesechos.fr/economie-france/social/comment-limplantation-des-cabines-de-teleconsultation-medicale-pourrait-etre-encadree-2045585" TargetMode="External"/><Relationship Id="rId26" Type="http://schemas.openxmlformats.org/officeDocument/2006/relationships/hyperlink" Target="https://www.latribune.fr/economie/france/budgets-de-l-etat-et-de-la-securite-sociale-les-economies-devront-atteindre-au-moins-20-milliards-d-euros-en-2025-992264.html" TargetMode="External"/><Relationship Id="rId3" Type="http://schemas.openxmlformats.org/officeDocument/2006/relationships/numbering" Target="numbering.xml"/><Relationship Id="rId21" Type="http://schemas.openxmlformats.org/officeDocument/2006/relationships/hyperlink" Target="https://assurance-maladie.ameli.fr/presse/2024-02-08-cp-3eme-seance-negociation-convention-medecins" TargetMode="External"/><Relationship Id="rId34"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hyperlink" Target="https://www.leparisien.fr/societe/sante/le-gouvernement-veut-doubler-les-franchises-medicales-pour-fin-mars-22-01-2024-PVSQWC6XXZCKZIACVXIWMLNY7E.php?ts=1705994728945" TargetMode="External"/><Relationship Id="rId17" Type="http://schemas.openxmlformats.org/officeDocument/2006/relationships/hyperlink" Target="https://www.lequotidiendumedecin.fr/sante-societe/e-sante/patients-insuffisants-cardiaques-et-diabetiques-les-forfaits-operateurs-de-telesurveillance-modules" TargetMode="External"/><Relationship Id="rId25" Type="http://schemas.openxmlformats.org/officeDocument/2006/relationships/hyperlink" Target="https://www.complementaire-sante-solidaire.gouv.fr/fichier-utilisateur/fichiers/Rapport%20annuel%20C2S%202023%20VF.pdf" TargetMode="External"/><Relationship Id="rId33"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hyperlink" Target="https://www.lesechos.fr/economie-france/social/les-entreprises-de-telemedecine-sinquietent-du-tarif-des-consultations-a-distance-2044848" TargetMode="External"/><Relationship Id="rId20" Type="http://schemas.openxmlformats.org/officeDocument/2006/relationships/hyperlink" Target="https://www.egora.fr/actus-pro/systeme-de-sante/84124-indemnites-trop-genereuses-proximite-avec-les-syndicats-ce-que" TargetMode="External"/><Relationship Id="rId29" Type="http://schemas.openxmlformats.org/officeDocument/2006/relationships/hyperlink" Target="https://www.francetvinfo.fr/societe/euthanasie/fin-de-vie-le-gouvernement-promet-une-petite-revolution-dans-la-prise-en-charge-des-malades_6230571.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ante.gouv.fr/actualites/presse/communiques-de-presse/article/fixation-des-tarifs-des-franchises-et-participations-forfaitaires" TargetMode="External"/><Relationship Id="rId24" Type="http://schemas.openxmlformats.org/officeDocument/2006/relationships/hyperlink" Target="https://solidarites.gouv.fr/avis-cnle-sur-le-rapport-annuel-de-la-complementaire-sante-solidaire-c2s-2023?source=24f6e626-8214-4b22-9eef-0bba42659b33" TargetMode="External"/><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lesechos.fr/economie-france/social/debut-de-remise-en-ordre-dans-la-teleconsultation-medicale-2044792" TargetMode="External"/><Relationship Id="rId23" Type="http://schemas.openxmlformats.org/officeDocument/2006/relationships/hyperlink" Target="https://www.francetvinfo.fr/replay-radio/le-grand-temoin/consultation-des-medecins-generalistes-a-30-euros-on-a-besoin-d-adresser-un-signal-d-attractivite-aux-jeunes-medecins-justifie-la-cnam_6334588.html" TargetMode="External"/><Relationship Id="rId28" Type="http://schemas.openxmlformats.org/officeDocument/2006/relationships/hyperlink" Target="https://sante.gouv.fr/actualites/presse/communiques-de-presse/article/remise-du-rapport-vers-un-modele-francais-des-soins-d-accompagnement" TargetMode="External"/><Relationship Id="rId36" Type="http://schemas.openxmlformats.org/officeDocument/2006/relationships/theme" Target="theme/theme1.xml"/><Relationship Id="rId10" Type="http://schemas.openxmlformats.org/officeDocument/2006/relationships/hyperlink" Target="https://www.egora.fr/actus-pro/assurance-maladie-mutuelles/83496-l-etat-mis-en-garde-sur-les-deficits-a-venir-de-la-secu" TargetMode="External"/><Relationship Id="rId19" Type="http://schemas.openxmlformats.org/officeDocument/2006/relationships/hyperlink" Target="https://www.ccomptes.fr/fr/publications/les-unions-regionales-des-professionnels-de-sante-urps" TargetMode="External"/><Relationship Id="rId31" Type="http://schemas.openxmlformats.org/officeDocument/2006/relationships/header" Target="header2.xml"/><Relationship Id="rId4" Type="http://schemas.openxmlformats.org/officeDocument/2006/relationships/styles" Target="styles.xml"/><Relationship Id="rId9" Type="http://schemas.openxmlformats.org/officeDocument/2006/relationships/hyperlink" Target="https://www.cades.fr/pdf/communiques/fr/2023/CADES-CP-FR-12-12-2023%20VF.pdf" TargetMode="External"/><Relationship Id="rId14" Type="http://schemas.openxmlformats.org/officeDocument/2006/relationships/hyperlink" Target="https://www.ameli.fr/paris/assure/remboursements/indemnites-journalieres-maladie-maternite-paternite/arret-de-travail-sans-delai-de-carence-pour-fausse-couche" TargetMode="External"/><Relationship Id="rId22" Type="http://schemas.openxmlformats.org/officeDocument/2006/relationships/hyperlink" Target="https://www.egora.fr/actus-pro/assurance-maladie-mutuelles/84151-la-cnam-accepte-de-revaloriser-le-tarif-de-la" TargetMode="External"/><Relationship Id="rId27" Type="http://schemas.openxmlformats.org/officeDocument/2006/relationships/hyperlink" Target="https://www.francetvinfo.fr/replay-radio/19h20-politique/sante-le-ministre-frederic-valletoux-souhaite-ouvrir-une-discussion-sur-la-liste-des-affections-longue-duree-qui-date-des-annees-1980_6381733.html" TargetMode="External"/><Relationship Id="rId30" Type="http://schemas.openxmlformats.org/officeDocument/2006/relationships/header" Target="header1.xml"/><Relationship Id="rId35" Type="http://schemas.openxmlformats.org/officeDocument/2006/relationships/fontTable" Target="fontTable.xml"/><Relationship Id="rId8"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footer2.xml.rels><?xml version="1.0" encoding="UTF-8" standalone="yes"?>
<Relationships xmlns="http://schemas.openxmlformats.org/package/2006/relationships"><Relationship Id="rId1" Type="http://schemas.openxmlformats.org/officeDocument/2006/relationships/image" Target="media/image4.jpeg"/></Relationships>
</file>

<file path=word/_rels/header2.xml.rels><?xml version="1.0" encoding="UTF-8" standalone="yes"?>
<Relationships xmlns="http://schemas.openxmlformats.org/package/2006/relationships"><Relationship Id="rId1" Type="http://schemas.openxmlformats.org/officeDocument/2006/relationships/image" Target="media/image3.jpg"/></Relationships>
</file>

<file path=word/_rels/header3.xml.rels><?xml version="1.0" encoding="UTF-8" standalone="yes"?>
<Relationships xmlns="http://schemas.openxmlformats.org/package/2006/relationships"><Relationship Id="rId1" Type="http://schemas.openxmlformats.org/officeDocument/2006/relationships/image" Target="media/image3.jp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elhanna\OneDrive%20-%20en3s\Bureau\modele_note_vf.dotx" TargetMode="External"/></Relationships>
</file>

<file path=word/theme/theme1.xml><?xml version="1.0" encoding="utf-8"?>
<a:theme xmlns:a="http://schemas.openxmlformats.org/drawingml/2006/main" name="Thème Office">
  <a:themeElements>
    <a:clrScheme name="EN3S">
      <a:dk1>
        <a:srgbClr val="000000"/>
      </a:dk1>
      <a:lt1>
        <a:srgbClr val="FFFFFF"/>
      </a:lt1>
      <a:dk2>
        <a:srgbClr val="616161"/>
      </a:dk2>
      <a:lt2>
        <a:srgbClr val="B0B0B0"/>
      </a:lt2>
      <a:accent1>
        <a:srgbClr val="BD0037"/>
      </a:accent1>
      <a:accent2>
        <a:srgbClr val="900C30"/>
      </a:accent2>
      <a:accent3>
        <a:srgbClr val="760049"/>
      </a:accent3>
      <a:accent4>
        <a:srgbClr val="716493"/>
      </a:accent4>
      <a:accent5>
        <a:srgbClr val="665F5C"/>
      </a:accent5>
      <a:accent6>
        <a:srgbClr val="9B8879"/>
      </a:accent6>
      <a:hlink>
        <a:srgbClr val="0563C1"/>
      </a:hlink>
      <a:folHlink>
        <a:srgbClr val="954F72"/>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5FD187B-DC57-4ACB-9741-9D28F468D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modele_note_vf</Template>
  <TotalTime>78</TotalTime>
  <Pages>6</Pages>
  <Words>3363</Words>
  <Characters>18497</Characters>
  <Application>Microsoft Office Word</Application>
  <DocSecurity>0</DocSecurity>
  <Lines>154</Lines>
  <Paragraphs>43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Obaida EL HANNA</dc:creator>
  <cp:keywords/>
  <dc:description/>
  <cp:lastModifiedBy>Obaida EL HANNA</cp:lastModifiedBy>
  <cp:revision>1</cp:revision>
  <dcterms:created xsi:type="dcterms:W3CDTF">2024-04-24T08:43:00Z</dcterms:created>
  <dcterms:modified xsi:type="dcterms:W3CDTF">2024-04-24T10:03:00Z</dcterms:modified>
</cp:coreProperties>
</file>