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charts/chart4.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2F7" w:rsidRPr="009A6F69" w:rsidRDefault="006C52F7" w:rsidP="000E2D72">
      <w:pPr>
        <w:pStyle w:val="Title"/>
        <w:rPr>
          <w:lang w:val="en-GB"/>
        </w:rPr>
      </w:pPr>
      <w:r w:rsidRPr="009A6F69">
        <w:rPr>
          <w:lang w:val="en-GB"/>
        </w:rPr>
        <w:t>INCEPTION REPORT UNIVERSAL HEALTH COVERAGE (UHC): STATUS AND OPTIONS REVIEW</w:t>
      </w:r>
    </w:p>
    <w:p w:rsidR="00C53E77" w:rsidRPr="009A6F69" w:rsidRDefault="00C53E77" w:rsidP="00C53E77">
      <w:pPr>
        <w:rPr>
          <w:lang w:val="en-GB"/>
        </w:rPr>
      </w:pPr>
    </w:p>
    <w:p w:rsidR="00E245B2" w:rsidRPr="009A6F69" w:rsidRDefault="00E245B2" w:rsidP="00C53E77">
      <w:pPr>
        <w:rPr>
          <w:lang w:val="en-GB"/>
        </w:rPr>
      </w:pPr>
    </w:p>
    <w:p w:rsidR="001136C7" w:rsidRPr="009A6F69" w:rsidRDefault="001136C7">
      <w:pPr>
        <w:rPr>
          <w:rFonts w:asciiTheme="majorHAnsi" w:eastAsiaTheme="majorEastAsia" w:hAnsiTheme="majorHAnsi" w:cstheme="majorBidi"/>
          <w:b/>
          <w:bCs/>
          <w:sz w:val="28"/>
          <w:szCs w:val="28"/>
          <w:lang w:val="en-GB"/>
        </w:rPr>
      </w:pPr>
      <w:r w:rsidRPr="009A6F69">
        <w:rPr>
          <w:lang w:val="en-GB"/>
        </w:rPr>
        <w:br w:type="page"/>
      </w:r>
    </w:p>
    <w:p w:rsidR="00C53E77" w:rsidRPr="009A6F69" w:rsidRDefault="00C53E77" w:rsidP="00A364E7">
      <w:pPr>
        <w:pStyle w:val="Heading1"/>
        <w:rPr>
          <w:lang w:val="en-GB"/>
        </w:rPr>
      </w:pPr>
      <w:bookmarkStart w:id="0" w:name="_Toc254256114"/>
      <w:r w:rsidRPr="009A6F69">
        <w:rPr>
          <w:lang w:val="en-GB"/>
        </w:rPr>
        <w:lastRenderedPageBreak/>
        <w:t>Tabl</w:t>
      </w:r>
      <w:r w:rsidR="004C3F4F" w:rsidRPr="009A6F69">
        <w:rPr>
          <w:lang w:val="en-GB"/>
        </w:rPr>
        <w:t>e of Content</w:t>
      </w:r>
      <w:bookmarkEnd w:id="0"/>
    </w:p>
    <w:p w:rsidR="00065E5A" w:rsidRDefault="001B3B9E" w:rsidP="00065E5A">
      <w:pPr>
        <w:pStyle w:val="TOC1"/>
        <w:tabs>
          <w:tab w:val="right" w:leader="dot" w:pos="8630"/>
        </w:tabs>
        <w:spacing w:line="240" w:lineRule="auto"/>
        <w:rPr>
          <w:b w:val="0"/>
          <w:caps w:val="0"/>
          <w:noProof/>
          <w:sz w:val="24"/>
          <w:szCs w:val="24"/>
          <w:lang w:eastAsia="ja-JP"/>
        </w:rPr>
      </w:pPr>
      <w:r w:rsidRPr="001B3B9E">
        <w:rPr>
          <w:lang w:val="en-GB"/>
        </w:rPr>
        <w:fldChar w:fldCharType="begin"/>
      </w:r>
      <w:r w:rsidR="002505AF" w:rsidRPr="009A6F69">
        <w:rPr>
          <w:lang w:val="en-GB"/>
        </w:rPr>
        <w:instrText xml:space="preserve"> TOC \o "1-3" </w:instrText>
      </w:r>
      <w:r w:rsidRPr="001B3B9E">
        <w:rPr>
          <w:lang w:val="en-GB"/>
        </w:rPr>
        <w:fldChar w:fldCharType="separate"/>
      </w:r>
      <w:r w:rsidR="00065E5A" w:rsidRPr="002263DD">
        <w:rPr>
          <w:noProof/>
          <w:lang w:val="en-GB"/>
        </w:rPr>
        <w:t>Table of Content</w:t>
      </w:r>
      <w:r w:rsidR="00065E5A">
        <w:rPr>
          <w:noProof/>
        </w:rPr>
        <w:tab/>
      </w:r>
      <w:r>
        <w:rPr>
          <w:noProof/>
        </w:rPr>
        <w:fldChar w:fldCharType="begin"/>
      </w:r>
      <w:r w:rsidR="00065E5A">
        <w:rPr>
          <w:noProof/>
        </w:rPr>
        <w:instrText xml:space="preserve"> PAGEREF _Toc254256114 \h </w:instrText>
      </w:r>
      <w:r>
        <w:rPr>
          <w:noProof/>
        </w:rPr>
      </w:r>
      <w:r>
        <w:rPr>
          <w:noProof/>
        </w:rPr>
        <w:fldChar w:fldCharType="separate"/>
      </w:r>
      <w:r w:rsidR="00065E5A">
        <w:rPr>
          <w:noProof/>
        </w:rPr>
        <w:t>2</w:t>
      </w:r>
      <w:r>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Acronyms</w:t>
      </w:r>
      <w:r>
        <w:rPr>
          <w:noProof/>
        </w:rPr>
        <w:tab/>
      </w:r>
      <w:r w:rsidR="001B3B9E">
        <w:rPr>
          <w:noProof/>
        </w:rPr>
        <w:fldChar w:fldCharType="begin"/>
      </w:r>
      <w:r>
        <w:rPr>
          <w:noProof/>
        </w:rPr>
        <w:instrText xml:space="preserve"> PAGEREF _Toc254256115 \h </w:instrText>
      </w:r>
      <w:r w:rsidR="001B3B9E">
        <w:rPr>
          <w:noProof/>
        </w:rPr>
      </w:r>
      <w:r w:rsidR="001B3B9E">
        <w:rPr>
          <w:noProof/>
        </w:rPr>
        <w:fldChar w:fldCharType="separate"/>
      </w:r>
      <w:r>
        <w:rPr>
          <w:noProof/>
        </w:rPr>
        <w:t>4</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Executive Summary</w:t>
      </w:r>
      <w:r>
        <w:rPr>
          <w:noProof/>
        </w:rPr>
        <w:tab/>
      </w:r>
      <w:r w:rsidR="001B3B9E">
        <w:rPr>
          <w:noProof/>
        </w:rPr>
        <w:fldChar w:fldCharType="begin"/>
      </w:r>
      <w:r>
        <w:rPr>
          <w:noProof/>
        </w:rPr>
        <w:instrText xml:space="preserve"> PAGEREF _Toc254256116 \h </w:instrText>
      </w:r>
      <w:r w:rsidR="001B3B9E">
        <w:rPr>
          <w:noProof/>
        </w:rPr>
      </w:r>
      <w:r w:rsidR="001B3B9E">
        <w:rPr>
          <w:noProof/>
        </w:rPr>
        <w:fldChar w:fldCharType="separate"/>
      </w:r>
      <w:r>
        <w:rPr>
          <w:noProof/>
        </w:rPr>
        <w:t>5</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Introduction</w:t>
      </w:r>
      <w:r>
        <w:rPr>
          <w:noProof/>
        </w:rPr>
        <w:tab/>
      </w:r>
      <w:r w:rsidR="001B3B9E">
        <w:rPr>
          <w:noProof/>
        </w:rPr>
        <w:fldChar w:fldCharType="begin"/>
      </w:r>
      <w:r>
        <w:rPr>
          <w:noProof/>
        </w:rPr>
        <w:instrText xml:space="preserve"> PAGEREF _Toc254256117 \h </w:instrText>
      </w:r>
      <w:r w:rsidR="001B3B9E">
        <w:rPr>
          <w:noProof/>
        </w:rPr>
      </w:r>
      <w:r w:rsidR="001B3B9E">
        <w:rPr>
          <w:noProof/>
        </w:rPr>
        <w:fldChar w:fldCharType="separate"/>
      </w:r>
      <w:r>
        <w:rPr>
          <w:noProof/>
        </w:rPr>
        <w:t>7</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Background</w:t>
      </w:r>
      <w:r>
        <w:rPr>
          <w:noProof/>
        </w:rPr>
        <w:tab/>
      </w:r>
      <w:r w:rsidR="001B3B9E">
        <w:rPr>
          <w:noProof/>
        </w:rPr>
        <w:fldChar w:fldCharType="begin"/>
      </w:r>
      <w:r>
        <w:rPr>
          <w:noProof/>
        </w:rPr>
        <w:instrText xml:space="preserve"> PAGEREF _Toc254256118 \h </w:instrText>
      </w:r>
      <w:r w:rsidR="001B3B9E">
        <w:rPr>
          <w:noProof/>
        </w:rPr>
      </w:r>
      <w:r w:rsidR="001B3B9E">
        <w:rPr>
          <w:noProof/>
        </w:rPr>
        <w:fldChar w:fldCharType="separate"/>
      </w:r>
      <w:r>
        <w:rPr>
          <w:noProof/>
        </w:rPr>
        <w:t>7</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Broad Objectives of Assignment</w:t>
      </w:r>
      <w:r>
        <w:rPr>
          <w:noProof/>
        </w:rPr>
        <w:tab/>
      </w:r>
      <w:r w:rsidR="001B3B9E">
        <w:rPr>
          <w:noProof/>
        </w:rPr>
        <w:fldChar w:fldCharType="begin"/>
      </w:r>
      <w:r>
        <w:rPr>
          <w:noProof/>
        </w:rPr>
        <w:instrText xml:space="preserve"> PAGEREF _Toc254256119 \h </w:instrText>
      </w:r>
      <w:r w:rsidR="001B3B9E">
        <w:rPr>
          <w:noProof/>
        </w:rPr>
      </w:r>
      <w:r w:rsidR="001B3B9E">
        <w:rPr>
          <w:noProof/>
        </w:rPr>
        <w:fldChar w:fldCharType="separate"/>
      </w:r>
      <w:r>
        <w:rPr>
          <w:noProof/>
        </w:rPr>
        <w:t>8</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Specific Objectives</w:t>
      </w:r>
      <w:r>
        <w:rPr>
          <w:noProof/>
        </w:rPr>
        <w:tab/>
      </w:r>
      <w:r w:rsidR="001B3B9E">
        <w:rPr>
          <w:noProof/>
        </w:rPr>
        <w:fldChar w:fldCharType="begin"/>
      </w:r>
      <w:r>
        <w:rPr>
          <w:noProof/>
        </w:rPr>
        <w:instrText xml:space="preserve"> PAGEREF _Toc254256120 \h </w:instrText>
      </w:r>
      <w:r w:rsidR="001B3B9E">
        <w:rPr>
          <w:noProof/>
        </w:rPr>
      </w:r>
      <w:r w:rsidR="001B3B9E">
        <w:rPr>
          <w:noProof/>
        </w:rPr>
        <w:fldChar w:fldCharType="separate"/>
      </w:r>
      <w:r>
        <w:rPr>
          <w:noProof/>
        </w:rPr>
        <w:t>8</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Methodology (Proposed Approach)</w:t>
      </w:r>
      <w:r>
        <w:rPr>
          <w:noProof/>
        </w:rPr>
        <w:tab/>
      </w:r>
      <w:r w:rsidR="001B3B9E">
        <w:rPr>
          <w:noProof/>
        </w:rPr>
        <w:fldChar w:fldCharType="begin"/>
      </w:r>
      <w:r>
        <w:rPr>
          <w:noProof/>
        </w:rPr>
        <w:instrText xml:space="preserve"> PAGEREF _Toc254256121 \h </w:instrText>
      </w:r>
      <w:r w:rsidR="001B3B9E">
        <w:rPr>
          <w:noProof/>
        </w:rPr>
      </w:r>
      <w:r w:rsidR="001B3B9E">
        <w:rPr>
          <w:noProof/>
        </w:rPr>
        <w:fldChar w:fldCharType="separate"/>
      </w:r>
      <w:r>
        <w:rPr>
          <w:noProof/>
        </w:rPr>
        <w:t>9</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Expected deliverables of the assignment</w:t>
      </w:r>
      <w:r>
        <w:rPr>
          <w:noProof/>
        </w:rPr>
        <w:tab/>
      </w:r>
      <w:r w:rsidR="001B3B9E">
        <w:rPr>
          <w:noProof/>
        </w:rPr>
        <w:fldChar w:fldCharType="begin"/>
      </w:r>
      <w:r>
        <w:rPr>
          <w:noProof/>
        </w:rPr>
        <w:instrText xml:space="preserve"> PAGEREF _Toc254256122 \h </w:instrText>
      </w:r>
      <w:r w:rsidR="001B3B9E">
        <w:rPr>
          <w:noProof/>
        </w:rPr>
      </w:r>
      <w:r w:rsidR="001B3B9E">
        <w:rPr>
          <w:noProof/>
        </w:rPr>
        <w:fldChar w:fldCharType="separate"/>
      </w:r>
      <w:r>
        <w:rPr>
          <w:noProof/>
        </w:rPr>
        <w:t>9</w:t>
      </w:r>
      <w:r w:rsidR="001B3B9E">
        <w:rPr>
          <w:noProof/>
        </w:rPr>
        <w:fldChar w:fldCharType="end"/>
      </w:r>
    </w:p>
    <w:p w:rsidR="00065E5A" w:rsidRDefault="00065E5A" w:rsidP="00065E5A">
      <w:pPr>
        <w:pStyle w:val="TOC3"/>
        <w:tabs>
          <w:tab w:val="right" w:leader="dot" w:pos="8630"/>
        </w:tabs>
        <w:spacing w:line="240" w:lineRule="auto"/>
        <w:rPr>
          <w:i w:val="0"/>
          <w:noProof/>
          <w:sz w:val="24"/>
          <w:szCs w:val="24"/>
          <w:lang w:eastAsia="ja-JP"/>
        </w:rPr>
      </w:pPr>
      <w:r w:rsidRPr="002263DD">
        <w:rPr>
          <w:noProof/>
          <w:lang w:val="en-GB"/>
        </w:rPr>
        <w:t>Sampling Strategy and data collection</w:t>
      </w:r>
      <w:r>
        <w:rPr>
          <w:noProof/>
        </w:rPr>
        <w:tab/>
      </w:r>
      <w:r w:rsidR="001B3B9E">
        <w:rPr>
          <w:noProof/>
        </w:rPr>
        <w:fldChar w:fldCharType="begin"/>
      </w:r>
      <w:r>
        <w:rPr>
          <w:noProof/>
        </w:rPr>
        <w:instrText xml:space="preserve"> PAGEREF _Toc254256123 \h </w:instrText>
      </w:r>
      <w:r w:rsidR="001B3B9E">
        <w:rPr>
          <w:noProof/>
        </w:rPr>
      </w:r>
      <w:r w:rsidR="001B3B9E">
        <w:rPr>
          <w:noProof/>
        </w:rPr>
        <w:fldChar w:fldCharType="separate"/>
      </w:r>
      <w:r>
        <w:rPr>
          <w:noProof/>
        </w:rPr>
        <w:t>10</w:t>
      </w:r>
      <w:r w:rsidR="001B3B9E">
        <w:rPr>
          <w:noProof/>
        </w:rPr>
        <w:fldChar w:fldCharType="end"/>
      </w:r>
    </w:p>
    <w:p w:rsidR="00065E5A" w:rsidRDefault="00065E5A" w:rsidP="00065E5A">
      <w:pPr>
        <w:pStyle w:val="TOC3"/>
        <w:tabs>
          <w:tab w:val="right" w:leader="dot" w:pos="8630"/>
        </w:tabs>
        <w:spacing w:line="240" w:lineRule="auto"/>
        <w:rPr>
          <w:i w:val="0"/>
          <w:noProof/>
          <w:sz w:val="24"/>
          <w:szCs w:val="24"/>
          <w:lang w:eastAsia="ja-JP"/>
        </w:rPr>
      </w:pPr>
      <w:r w:rsidRPr="002263DD">
        <w:rPr>
          <w:noProof/>
          <w:lang w:val="en-GB"/>
        </w:rPr>
        <w:t>Data Analysis</w:t>
      </w:r>
      <w:r>
        <w:rPr>
          <w:noProof/>
        </w:rPr>
        <w:tab/>
      </w:r>
      <w:r w:rsidR="001B3B9E">
        <w:rPr>
          <w:noProof/>
        </w:rPr>
        <w:fldChar w:fldCharType="begin"/>
      </w:r>
      <w:r>
        <w:rPr>
          <w:noProof/>
        </w:rPr>
        <w:instrText xml:space="preserve"> PAGEREF _Toc254256124 \h </w:instrText>
      </w:r>
      <w:r w:rsidR="001B3B9E">
        <w:rPr>
          <w:noProof/>
        </w:rPr>
      </w:r>
      <w:r w:rsidR="001B3B9E">
        <w:rPr>
          <w:noProof/>
        </w:rPr>
        <w:fldChar w:fldCharType="separate"/>
      </w:r>
      <w:r>
        <w:rPr>
          <w:noProof/>
        </w:rPr>
        <w:t>10</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Background</w:t>
      </w:r>
      <w:r>
        <w:rPr>
          <w:noProof/>
        </w:rPr>
        <w:tab/>
      </w:r>
      <w:r w:rsidR="001B3B9E">
        <w:rPr>
          <w:noProof/>
        </w:rPr>
        <w:fldChar w:fldCharType="begin"/>
      </w:r>
      <w:r>
        <w:rPr>
          <w:noProof/>
        </w:rPr>
        <w:instrText xml:space="preserve"> PAGEREF _Toc254256125 \h </w:instrText>
      </w:r>
      <w:r w:rsidR="001B3B9E">
        <w:rPr>
          <w:noProof/>
        </w:rPr>
      </w:r>
      <w:r w:rsidR="001B3B9E">
        <w:rPr>
          <w:noProof/>
        </w:rPr>
        <w:fldChar w:fldCharType="separate"/>
      </w:r>
      <w:r>
        <w:rPr>
          <w:noProof/>
        </w:rPr>
        <w:t>11</w:t>
      </w:r>
      <w:r w:rsidR="001B3B9E">
        <w:rPr>
          <w:noProof/>
        </w:rPr>
        <w:fldChar w:fldCharType="end"/>
      </w:r>
    </w:p>
    <w:p w:rsidR="00065E5A" w:rsidRDefault="00065E5A" w:rsidP="00065E5A">
      <w:pPr>
        <w:pStyle w:val="TOC3"/>
        <w:tabs>
          <w:tab w:val="right" w:leader="dot" w:pos="8630"/>
        </w:tabs>
        <w:spacing w:line="240" w:lineRule="auto"/>
        <w:rPr>
          <w:i w:val="0"/>
          <w:noProof/>
          <w:sz w:val="24"/>
          <w:szCs w:val="24"/>
          <w:lang w:eastAsia="ja-JP"/>
        </w:rPr>
      </w:pPr>
      <w:r w:rsidRPr="002263DD">
        <w:rPr>
          <w:noProof/>
          <w:lang w:val="en-GB"/>
        </w:rPr>
        <w:t>Kenya’s Economy</w:t>
      </w:r>
      <w:r>
        <w:rPr>
          <w:noProof/>
        </w:rPr>
        <w:tab/>
      </w:r>
      <w:r w:rsidR="001B3B9E">
        <w:rPr>
          <w:noProof/>
        </w:rPr>
        <w:fldChar w:fldCharType="begin"/>
      </w:r>
      <w:r>
        <w:rPr>
          <w:noProof/>
        </w:rPr>
        <w:instrText xml:space="preserve"> PAGEREF _Toc254256126 \h </w:instrText>
      </w:r>
      <w:r w:rsidR="001B3B9E">
        <w:rPr>
          <w:noProof/>
        </w:rPr>
      </w:r>
      <w:r w:rsidR="001B3B9E">
        <w:rPr>
          <w:noProof/>
        </w:rPr>
        <w:fldChar w:fldCharType="separate"/>
      </w:r>
      <w:r>
        <w:rPr>
          <w:noProof/>
        </w:rPr>
        <w:t>11</w:t>
      </w:r>
      <w:r w:rsidR="001B3B9E">
        <w:rPr>
          <w:noProof/>
        </w:rPr>
        <w:fldChar w:fldCharType="end"/>
      </w:r>
    </w:p>
    <w:p w:rsidR="00065E5A" w:rsidRDefault="00065E5A" w:rsidP="00065E5A">
      <w:pPr>
        <w:pStyle w:val="TOC3"/>
        <w:tabs>
          <w:tab w:val="right" w:leader="dot" w:pos="8630"/>
        </w:tabs>
        <w:spacing w:line="240" w:lineRule="auto"/>
        <w:rPr>
          <w:i w:val="0"/>
          <w:noProof/>
          <w:sz w:val="24"/>
          <w:szCs w:val="24"/>
          <w:lang w:eastAsia="ja-JP"/>
        </w:rPr>
      </w:pPr>
      <w:r w:rsidRPr="002263DD">
        <w:rPr>
          <w:noProof/>
          <w:lang w:val="en-GB"/>
        </w:rPr>
        <w:t>Devolution – changing the governance structure</w:t>
      </w:r>
      <w:r>
        <w:rPr>
          <w:noProof/>
        </w:rPr>
        <w:tab/>
      </w:r>
      <w:r w:rsidR="001B3B9E">
        <w:rPr>
          <w:noProof/>
        </w:rPr>
        <w:fldChar w:fldCharType="begin"/>
      </w:r>
      <w:r>
        <w:rPr>
          <w:noProof/>
        </w:rPr>
        <w:instrText xml:space="preserve"> PAGEREF _Toc254256127 \h </w:instrText>
      </w:r>
      <w:r w:rsidR="001B3B9E">
        <w:rPr>
          <w:noProof/>
        </w:rPr>
      </w:r>
      <w:r w:rsidR="001B3B9E">
        <w:rPr>
          <w:noProof/>
        </w:rPr>
        <w:fldChar w:fldCharType="separate"/>
      </w:r>
      <w:r>
        <w:rPr>
          <w:noProof/>
        </w:rPr>
        <w:t>13</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Kenya’s Health System</w:t>
      </w:r>
      <w:r>
        <w:rPr>
          <w:noProof/>
        </w:rPr>
        <w:tab/>
      </w:r>
      <w:r w:rsidR="001B3B9E">
        <w:rPr>
          <w:noProof/>
        </w:rPr>
        <w:fldChar w:fldCharType="begin"/>
      </w:r>
      <w:r>
        <w:rPr>
          <w:noProof/>
        </w:rPr>
        <w:instrText xml:space="preserve"> PAGEREF _Toc254256128 \h </w:instrText>
      </w:r>
      <w:r w:rsidR="001B3B9E">
        <w:rPr>
          <w:noProof/>
        </w:rPr>
      </w:r>
      <w:r w:rsidR="001B3B9E">
        <w:rPr>
          <w:noProof/>
        </w:rPr>
        <w:fldChar w:fldCharType="separate"/>
      </w:r>
      <w:r>
        <w:rPr>
          <w:noProof/>
        </w:rPr>
        <w:t>16</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Equity in access to health services</w:t>
      </w:r>
      <w:r>
        <w:rPr>
          <w:noProof/>
        </w:rPr>
        <w:tab/>
      </w:r>
      <w:r w:rsidR="001B3B9E">
        <w:rPr>
          <w:noProof/>
        </w:rPr>
        <w:fldChar w:fldCharType="begin"/>
      </w:r>
      <w:r>
        <w:rPr>
          <w:noProof/>
        </w:rPr>
        <w:instrText xml:space="preserve"> PAGEREF _Toc254256129 \h </w:instrText>
      </w:r>
      <w:r w:rsidR="001B3B9E">
        <w:rPr>
          <w:noProof/>
        </w:rPr>
      </w:r>
      <w:r w:rsidR="001B3B9E">
        <w:rPr>
          <w:noProof/>
        </w:rPr>
        <w:fldChar w:fldCharType="separate"/>
      </w:r>
      <w:r>
        <w:rPr>
          <w:noProof/>
        </w:rPr>
        <w:t>19</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Financial-risk protection- height of universal coverage</w:t>
      </w:r>
      <w:r>
        <w:rPr>
          <w:noProof/>
        </w:rPr>
        <w:tab/>
      </w:r>
      <w:r w:rsidR="001B3B9E">
        <w:rPr>
          <w:noProof/>
        </w:rPr>
        <w:fldChar w:fldCharType="begin"/>
      </w:r>
      <w:r>
        <w:rPr>
          <w:noProof/>
        </w:rPr>
        <w:instrText xml:space="preserve"> PAGEREF _Toc254256130 \h </w:instrText>
      </w:r>
      <w:r w:rsidR="001B3B9E">
        <w:rPr>
          <w:noProof/>
        </w:rPr>
      </w:r>
      <w:r w:rsidR="001B3B9E">
        <w:rPr>
          <w:noProof/>
        </w:rPr>
        <w:fldChar w:fldCharType="separate"/>
      </w:r>
      <w:r>
        <w:rPr>
          <w:noProof/>
        </w:rPr>
        <w:t>22</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Kenya Essential Package for Health (KEPH)</w:t>
      </w:r>
      <w:r>
        <w:rPr>
          <w:noProof/>
        </w:rPr>
        <w:tab/>
      </w:r>
      <w:r w:rsidR="001B3B9E">
        <w:rPr>
          <w:noProof/>
        </w:rPr>
        <w:fldChar w:fldCharType="begin"/>
      </w:r>
      <w:r>
        <w:rPr>
          <w:noProof/>
        </w:rPr>
        <w:instrText xml:space="preserve"> PAGEREF _Toc254256131 \h </w:instrText>
      </w:r>
      <w:r w:rsidR="001B3B9E">
        <w:rPr>
          <w:noProof/>
        </w:rPr>
      </w:r>
      <w:r w:rsidR="001B3B9E">
        <w:rPr>
          <w:noProof/>
        </w:rPr>
        <w:fldChar w:fldCharType="separate"/>
      </w:r>
      <w:r>
        <w:rPr>
          <w:noProof/>
        </w:rPr>
        <w:t>30</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KEPH Cohort 1</w:t>
      </w:r>
      <w:r>
        <w:rPr>
          <w:noProof/>
        </w:rPr>
        <w:tab/>
      </w:r>
      <w:r w:rsidR="001B3B9E">
        <w:rPr>
          <w:noProof/>
        </w:rPr>
        <w:fldChar w:fldCharType="begin"/>
      </w:r>
      <w:r>
        <w:rPr>
          <w:noProof/>
        </w:rPr>
        <w:instrText xml:space="preserve"> PAGEREF _Toc254256132 \h </w:instrText>
      </w:r>
      <w:r w:rsidR="001B3B9E">
        <w:rPr>
          <w:noProof/>
        </w:rPr>
      </w:r>
      <w:r w:rsidR="001B3B9E">
        <w:rPr>
          <w:noProof/>
        </w:rPr>
        <w:fldChar w:fldCharType="separate"/>
      </w:r>
      <w:r>
        <w:rPr>
          <w:noProof/>
        </w:rPr>
        <w:t>31</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KEPH Cohort 2 and 3</w:t>
      </w:r>
      <w:r>
        <w:rPr>
          <w:noProof/>
        </w:rPr>
        <w:tab/>
      </w:r>
      <w:r w:rsidR="001B3B9E">
        <w:rPr>
          <w:noProof/>
        </w:rPr>
        <w:fldChar w:fldCharType="begin"/>
      </w:r>
      <w:r>
        <w:rPr>
          <w:noProof/>
        </w:rPr>
        <w:instrText xml:space="preserve"> PAGEREF _Toc254256133 \h </w:instrText>
      </w:r>
      <w:r w:rsidR="001B3B9E">
        <w:rPr>
          <w:noProof/>
        </w:rPr>
      </w:r>
      <w:r w:rsidR="001B3B9E">
        <w:rPr>
          <w:noProof/>
        </w:rPr>
        <w:fldChar w:fldCharType="separate"/>
      </w:r>
      <w:r>
        <w:rPr>
          <w:noProof/>
        </w:rPr>
        <w:t>33</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KEPH Cohort 4, 5, 6</w:t>
      </w:r>
      <w:r>
        <w:rPr>
          <w:noProof/>
        </w:rPr>
        <w:tab/>
      </w:r>
      <w:r w:rsidR="001B3B9E">
        <w:rPr>
          <w:noProof/>
        </w:rPr>
        <w:fldChar w:fldCharType="begin"/>
      </w:r>
      <w:r>
        <w:rPr>
          <w:noProof/>
        </w:rPr>
        <w:instrText xml:space="preserve"> PAGEREF _Toc254256134 \h </w:instrText>
      </w:r>
      <w:r w:rsidR="001B3B9E">
        <w:rPr>
          <w:noProof/>
        </w:rPr>
      </w:r>
      <w:r w:rsidR="001B3B9E">
        <w:rPr>
          <w:noProof/>
        </w:rPr>
        <w:fldChar w:fldCharType="separate"/>
      </w:r>
      <w:r>
        <w:rPr>
          <w:noProof/>
        </w:rPr>
        <w:t>34</w:t>
      </w:r>
      <w:r w:rsidR="001B3B9E">
        <w:rPr>
          <w:noProof/>
        </w:rPr>
        <w:fldChar w:fldCharType="end"/>
      </w:r>
    </w:p>
    <w:p w:rsidR="00065E5A" w:rsidRDefault="00065E5A" w:rsidP="00065E5A">
      <w:pPr>
        <w:pStyle w:val="TOC3"/>
        <w:tabs>
          <w:tab w:val="right" w:leader="dot" w:pos="8630"/>
        </w:tabs>
        <w:spacing w:line="240" w:lineRule="auto"/>
        <w:rPr>
          <w:i w:val="0"/>
          <w:noProof/>
          <w:sz w:val="24"/>
          <w:szCs w:val="24"/>
          <w:lang w:eastAsia="ja-JP"/>
        </w:rPr>
      </w:pPr>
      <w:r w:rsidRPr="002263DD">
        <w:rPr>
          <w:noProof/>
          <w:lang w:val="en-GB"/>
        </w:rPr>
        <w:t>Kenya Health Sector Services Fund</w:t>
      </w:r>
      <w:r>
        <w:rPr>
          <w:noProof/>
        </w:rPr>
        <w:tab/>
      </w:r>
      <w:r w:rsidR="001B3B9E">
        <w:rPr>
          <w:noProof/>
        </w:rPr>
        <w:fldChar w:fldCharType="begin"/>
      </w:r>
      <w:r>
        <w:rPr>
          <w:noProof/>
        </w:rPr>
        <w:instrText xml:space="preserve"> PAGEREF _Toc254256135 \h </w:instrText>
      </w:r>
      <w:r w:rsidR="001B3B9E">
        <w:rPr>
          <w:noProof/>
        </w:rPr>
      </w:r>
      <w:r w:rsidR="001B3B9E">
        <w:rPr>
          <w:noProof/>
        </w:rPr>
        <w:fldChar w:fldCharType="separate"/>
      </w:r>
      <w:r>
        <w:rPr>
          <w:noProof/>
        </w:rPr>
        <w:t>35</w:t>
      </w:r>
      <w:r w:rsidR="001B3B9E">
        <w:rPr>
          <w:noProof/>
        </w:rPr>
        <w:fldChar w:fldCharType="end"/>
      </w:r>
    </w:p>
    <w:p w:rsidR="00065E5A" w:rsidRDefault="00065E5A" w:rsidP="00065E5A">
      <w:pPr>
        <w:pStyle w:val="TOC3"/>
        <w:tabs>
          <w:tab w:val="right" w:leader="dot" w:pos="8630"/>
        </w:tabs>
        <w:spacing w:line="240" w:lineRule="auto"/>
        <w:rPr>
          <w:i w:val="0"/>
          <w:noProof/>
          <w:sz w:val="24"/>
          <w:szCs w:val="24"/>
          <w:lang w:eastAsia="ja-JP"/>
        </w:rPr>
      </w:pPr>
      <w:r w:rsidRPr="002263DD">
        <w:rPr>
          <w:noProof/>
          <w:lang w:val="en-GB"/>
        </w:rPr>
        <w:t>Output Based Approach (OBA)</w:t>
      </w:r>
      <w:r>
        <w:rPr>
          <w:noProof/>
        </w:rPr>
        <w:tab/>
      </w:r>
      <w:r w:rsidR="001B3B9E">
        <w:rPr>
          <w:noProof/>
        </w:rPr>
        <w:fldChar w:fldCharType="begin"/>
      </w:r>
      <w:r>
        <w:rPr>
          <w:noProof/>
        </w:rPr>
        <w:instrText xml:space="preserve"> PAGEREF _Toc254256136 \h </w:instrText>
      </w:r>
      <w:r w:rsidR="001B3B9E">
        <w:rPr>
          <w:noProof/>
        </w:rPr>
      </w:r>
      <w:r w:rsidR="001B3B9E">
        <w:rPr>
          <w:noProof/>
        </w:rPr>
        <w:fldChar w:fldCharType="separate"/>
      </w:r>
      <w:r>
        <w:rPr>
          <w:noProof/>
        </w:rPr>
        <w:t>36</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Limitations</w:t>
      </w:r>
      <w:r>
        <w:rPr>
          <w:noProof/>
        </w:rPr>
        <w:tab/>
      </w:r>
      <w:r w:rsidR="001B3B9E">
        <w:rPr>
          <w:noProof/>
        </w:rPr>
        <w:fldChar w:fldCharType="begin"/>
      </w:r>
      <w:r>
        <w:rPr>
          <w:noProof/>
        </w:rPr>
        <w:instrText xml:space="preserve"> PAGEREF _Toc254256137 \h </w:instrText>
      </w:r>
      <w:r w:rsidR="001B3B9E">
        <w:rPr>
          <w:noProof/>
        </w:rPr>
      </w:r>
      <w:r w:rsidR="001B3B9E">
        <w:rPr>
          <w:noProof/>
        </w:rPr>
        <w:fldChar w:fldCharType="separate"/>
      </w:r>
      <w:r>
        <w:rPr>
          <w:noProof/>
        </w:rPr>
        <w:t>38</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Conclusions</w:t>
      </w:r>
      <w:r>
        <w:rPr>
          <w:noProof/>
        </w:rPr>
        <w:tab/>
      </w:r>
      <w:r w:rsidR="001B3B9E">
        <w:rPr>
          <w:noProof/>
        </w:rPr>
        <w:fldChar w:fldCharType="begin"/>
      </w:r>
      <w:r>
        <w:rPr>
          <w:noProof/>
        </w:rPr>
        <w:instrText xml:space="preserve"> PAGEREF _Toc254256138 \h </w:instrText>
      </w:r>
      <w:r w:rsidR="001B3B9E">
        <w:rPr>
          <w:noProof/>
        </w:rPr>
      </w:r>
      <w:r w:rsidR="001B3B9E">
        <w:rPr>
          <w:noProof/>
        </w:rPr>
        <w:fldChar w:fldCharType="separate"/>
      </w:r>
      <w:r>
        <w:rPr>
          <w:noProof/>
        </w:rPr>
        <w:t>38</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Recommendations</w:t>
      </w:r>
      <w:r>
        <w:rPr>
          <w:noProof/>
        </w:rPr>
        <w:tab/>
      </w:r>
      <w:r w:rsidR="001B3B9E">
        <w:rPr>
          <w:noProof/>
        </w:rPr>
        <w:fldChar w:fldCharType="begin"/>
      </w:r>
      <w:r>
        <w:rPr>
          <w:noProof/>
        </w:rPr>
        <w:instrText xml:space="preserve"> PAGEREF _Toc254256139 \h </w:instrText>
      </w:r>
      <w:r w:rsidR="001B3B9E">
        <w:rPr>
          <w:noProof/>
        </w:rPr>
      </w:r>
      <w:r w:rsidR="001B3B9E">
        <w:rPr>
          <w:noProof/>
        </w:rPr>
        <w:fldChar w:fldCharType="separate"/>
      </w:r>
      <w:r>
        <w:rPr>
          <w:noProof/>
        </w:rPr>
        <w:t>40</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Appendix 1: Bibliography</w:t>
      </w:r>
      <w:r>
        <w:rPr>
          <w:noProof/>
        </w:rPr>
        <w:tab/>
      </w:r>
      <w:r w:rsidR="001B3B9E">
        <w:rPr>
          <w:noProof/>
        </w:rPr>
        <w:fldChar w:fldCharType="begin"/>
      </w:r>
      <w:r>
        <w:rPr>
          <w:noProof/>
        </w:rPr>
        <w:instrText xml:space="preserve"> PAGEREF _Toc254256140 \h </w:instrText>
      </w:r>
      <w:r w:rsidR="001B3B9E">
        <w:rPr>
          <w:noProof/>
        </w:rPr>
      </w:r>
      <w:r w:rsidR="001B3B9E">
        <w:rPr>
          <w:noProof/>
        </w:rPr>
        <w:fldChar w:fldCharType="separate"/>
      </w:r>
      <w:r>
        <w:rPr>
          <w:noProof/>
        </w:rPr>
        <w:t>42</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Appendix 2: Draft Interview Guide and Proposed Key Informant Interviewees</w:t>
      </w:r>
      <w:r>
        <w:rPr>
          <w:noProof/>
        </w:rPr>
        <w:tab/>
      </w:r>
      <w:r w:rsidR="001B3B9E">
        <w:rPr>
          <w:noProof/>
        </w:rPr>
        <w:fldChar w:fldCharType="begin"/>
      </w:r>
      <w:r>
        <w:rPr>
          <w:noProof/>
        </w:rPr>
        <w:instrText xml:space="preserve"> PAGEREF _Toc254256141 \h </w:instrText>
      </w:r>
      <w:r w:rsidR="001B3B9E">
        <w:rPr>
          <w:noProof/>
        </w:rPr>
      </w:r>
      <w:r w:rsidR="001B3B9E">
        <w:rPr>
          <w:noProof/>
        </w:rPr>
        <w:fldChar w:fldCharType="separate"/>
      </w:r>
      <w:r>
        <w:rPr>
          <w:noProof/>
        </w:rPr>
        <w:t>48</w:t>
      </w:r>
      <w:r w:rsidR="001B3B9E">
        <w:rPr>
          <w:noProof/>
        </w:rPr>
        <w:fldChar w:fldCharType="end"/>
      </w:r>
    </w:p>
    <w:p w:rsidR="00065E5A" w:rsidRDefault="00065E5A" w:rsidP="00065E5A">
      <w:pPr>
        <w:pStyle w:val="TOC1"/>
        <w:tabs>
          <w:tab w:val="right" w:leader="dot" w:pos="8630"/>
        </w:tabs>
        <w:spacing w:line="240" w:lineRule="auto"/>
        <w:rPr>
          <w:b w:val="0"/>
          <w:caps w:val="0"/>
          <w:noProof/>
          <w:sz w:val="24"/>
          <w:szCs w:val="24"/>
          <w:lang w:eastAsia="ja-JP"/>
        </w:rPr>
      </w:pPr>
      <w:r w:rsidRPr="002263DD">
        <w:rPr>
          <w:noProof/>
          <w:lang w:val="en-GB"/>
        </w:rPr>
        <w:t>Appendix 3: KEPH Service Areas and Interventions</w:t>
      </w:r>
      <w:r>
        <w:rPr>
          <w:noProof/>
        </w:rPr>
        <w:tab/>
      </w:r>
      <w:r w:rsidR="001B3B9E">
        <w:rPr>
          <w:noProof/>
        </w:rPr>
        <w:fldChar w:fldCharType="begin"/>
      </w:r>
      <w:r>
        <w:rPr>
          <w:noProof/>
        </w:rPr>
        <w:instrText xml:space="preserve"> PAGEREF _Toc254256142 \h </w:instrText>
      </w:r>
      <w:r w:rsidR="001B3B9E">
        <w:rPr>
          <w:noProof/>
        </w:rPr>
      </w:r>
      <w:r w:rsidR="001B3B9E">
        <w:rPr>
          <w:noProof/>
        </w:rPr>
        <w:fldChar w:fldCharType="separate"/>
      </w:r>
      <w:r>
        <w:rPr>
          <w:noProof/>
        </w:rPr>
        <w:t>50</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Appendix 4: Commission for Revenue Allocation formula</w:t>
      </w:r>
      <w:r>
        <w:rPr>
          <w:noProof/>
        </w:rPr>
        <w:tab/>
      </w:r>
      <w:r w:rsidR="001B3B9E">
        <w:rPr>
          <w:noProof/>
        </w:rPr>
        <w:fldChar w:fldCharType="begin"/>
      </w:r>
      <w:r>
        <w:rPr>
          <w:noProof/>
        </w:rPr>
        <w:instrText xml:space="preserve"> PAGEREF _Toc254256143 \h </w:instrText>
      </w:r>
      <w:r w:rsidR="001B3B9E">
        <w:rPr>
          <w:noProof/>
        </w:rPr>
      </w:r>
      <w:r w:rsidR="001B3B9E">
        <w:rPr>
          <w:noProof/>
        </w:rPr>
        <w:fldChar w:fldCharType="separate"/>
      </w:r>
      <w:r>
        <w:rPr>
          <w:noProof/>
        </w:rPr>
        <w:t>58</w:t>
      </w:r>
      <w:r w:rsidR="001B3B9E">
        <w:rPr>
          <w:noProof/>
        </w:rPr>
        <w:fldChar w:fldCharType="end"/>
      </w:r>
    </w:p>
    <w:p w:rsidR="00065E5A" w:rsidRDefault="00065E5A" w:rsidP="00065E5A">
      <w:pPr>
        <w:pStyle w:val="TOC2"/>
        <w:tabs>
          <w:tab w:val="right" w:leader="dot" w:pos="8630"/>
        </w:tabs>
        <w:spacing w:line="240" w:lineRule="auto"/>
        <w:rPr>
          <w:smallCaps w:val="0"/>
          <w:noProof/>
          <w:sz w:val="24"/>
          <w:szCs w:val="24"/>
          <w:lang w:eastAsia="ja-JP"/>
        </w:rPr>
      </w:pPr>
      <w:r w:rsidRPr="002263DD">
        <w:rPr>
          <w:noProof/>
          <w:lang w:val="en-GB"/>
        </w:rPr>
        <w:t>Work Plan</w:t>
      </w:r>
      <w:r>
        <w:rPr>
          <w:noProof/>
        </w:rPr>
        <w:tab/>
      </w:r>
      <w:r w:rsidR="001B3B9E">
        <w:rPr>
          <w:noProof/>
        </w:rPr>
        <w:fldChar w:fldCharType="begin"/>
      </w:r>
      <w:r>
        <w:rPr>
          <w:noProof/>
        </w:rPr>
        <w:instrText xml:space="preserve"> PAGEREF _Toc254256144 \h </w:instrText>
      </w:r>
      <w:r w:rsidR="001B3B9E">
        <w:rPr>
          <w:noProof/>
        </w:rPr>
      </w:r>
      <w:r w:rsidR="001B3B9E">
        <w:rPr>
          <w:noProof/>
        </w:rPr>
        <w:fldChar w:fldCharType="separate"/>
      </w:r>
      <w:r>
        <w:rPr>
          <w:noProof/>
        </w:rPr>
        <w:t>59</w:t>
      </w:r>
      <w:r w:rsidR="001B3B9E">
        <w:rPr>
          <w:noProof/>
        </w:rPr>
        <w:fldChar w:fldCharType="end"/>
      </w:r>
    </w:p>
    <w:p w:rsidR="002505AF" w:rsidRPr="009A6F69" w:rsidRDefault="001B3B9E" w:rsidP="00065E5A">
      <w:pPr>
        <w:spacing w:after="0" w:line="240" w:lineRule="auto"/>
        <w:rPr>
          <w:lang w:val="en-GB"/>
        </w:rPr>
      </w:pPr>
      <w:r w:rsidRPr="009A6F69">
        <w:rPr>
          <w:lang w:val="en-GB"/>
        </w:rPr>
        <w:fldChar w:fldCharType="end"/>
      </w:r>
    </w:p>
    <w:p w:rsidR="004613DD" w:rsidRPr="009A6F69" w:rsidRDefault="004613DD">
      <w:pPr>
        <w:rPr>
          <w:rFonts w:asciiTheme="majorHAnsi" w:eastAsiaTheme="majorEastAsia" w:hAnsiTheme="majorHAnsi" w:cstheme="majorBidi"/>
          <w:b/>
          <w:bCs/>
          <w:sz w:val="28"/>
          <w:szCs w:val="28"/>
          <w:lang w:val="en-GB"/>
        </w:rPr>
      </w:pPr>
    </w:p>
    <w:p w:rsidR="004B44C1" w:rsidRPr="009A6F69" w:rsidRDefault="004B44C1">
      <w:pPr>
        <w:spacing w:after="0" w:line="240" w:lineRule="auto"/>
        <w:rPr>
          <w:rFonts w:asciiTheme="majorHAnsi" w:eastAsiaTheme="majorEastAsia" w:hAnsiTheme="majorHAnsi" w:cstheme="majorBidi"/>
          <w:b/>
          <w:bCs/>
          <w:sz w:val="28"/>
          <w:szCs w:val="28"/>
          <w:lang w:val="en-GB"/>
        </w:rPr>
      </w:pPr>
    </w:p>
    <w:p w:rsidR="00C53E77" w:rsidRPr="009A6F69" w:rsidRDefault="004C3F4F" w:rsidP="004B44C1">
      <w:pPr>
        <w:pStyle w:val="Heading1"/>
        <w:rPr>
          <w:lang w:val="en-GB"/>
        </w:rPr>
      </w:pPr>
      <w:bookmarkStart w:id="1" w:name="_Toc254256115"/>
      <w:r w:rsidRPr="009A6F69">
        <w:rPr>
          <w:lang w:val="en-GB"/>
        </w:rPr>
        <w:t>Acronyms</w:t>
      </w:r>
      <w:bookmarkEnd w:id="1"/>
    </w:p>
    <w:tbl>
      <w:tblPr>
        <w:tblW w:w="0" w:type="auto"/>
        <w:tblLook w:val="04A0"/>
      </w:tblPr>
      <w:tblGrid>
        <w:gridCol w:w="2628"/>
        <w:gridCol w:w="6228"/>
      </w:tblGrid>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ANC</w:t>
            </w:r>
          </w:p>
        </w:tc>
        <w:tc>
          <w:tcPr>
            <w:tcW w:w="6228" w:type="dxa"/>
          </w:tcPr>
          <w:p w:rsidR="003911D6" w:rsidRPr="009A6F69" w:rsidRDefault="003911D6" w:rsidP="004F3654">
            <w:pPr>
              <w:spacing w:line="240" w:lineRule="auto"/>
              <w:rPr>
                <w:sz w:val="22"/>
                <w:lang w:val="en-GB"/>
              </w:rPr>
            </w:pPr>
            <w:r w:rsidRPr="009A6F69">
              <w:rPr>
                <w:sz w:val="22"/>
                <w:lang w:val="en-GB"/>
              </w:rPr>
              <w:t>Ante Natal Care</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AOP</w:t>
            </w:r>
          </w:p>
        </w:tc>
        <w:tc>
          <w:tcPr>
            <w:tcW w:w="6228" w:type="dxa"/>
          </w:tcPr>
          <w:p w:rsidR="003911D6" w:rsidRPr="009A6F69" w:rsidRDefault="003911D6" w:rsidP="004F3654">
            <w:pPr>
              <w:spacing w:line="240" w:lineRule="auto"/>
              <w:rPr>
                <w:sz w:val="22"/>
                <w:lang w:val="en-GB"/>
              </w:rPr>
            </w:pPr>
            <w:r w:rsidRPr="009A6F69">
              <w:rPr>
                <w:sz w:val="22"/>
                <w:lang w:val="en-GB"/>
              </w:rPr>
              <w:t>Annual Operating Plan</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CBHF</w:t>
            </w:r>
          </w:p>
        </w:tc>
        <w:tc>
          <w:tcPr>
            <w:tcW w:w="6228" w:type="dxa"/>
          </w:tcPr>
          <w:p w:rsidR="003911D6" w:rsidRPr="009A6F69" w:rsidRDefault="003911D6" w:rsidP="004F3654">
            <w:pPr>
              <w:spacing w:line="240" w:lineRule="auto"/>
              <w:rPr>
                <w:sz w:val="22"/>
                <w:lang w:val="en-GB"/>
              </w:rPr>
            </w:pPr>
            <w:r w:rsidRPr="009A6F69">
              <w:rPr>
                <w:sz w:val="22"/>
                <w:lang w:val="en-GB"/>
              </w:rPr>
              <w:t xml:space="preserve">Community Based Health Fund </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DFID</w:t>
            </w:r>
          </w:p>
        </w:tc>
        <w:tc>
          <w:tcPr>
            <w:tcW w:w="6228" w:type="dxa"/>
          </w:tcPr>
          <w:p w:rsidR="003911D6" w:rsidRPr="009A6F69" w:rsidRDefault="003911D6" w:rsidP="004F3654">
            <w:pPr>
              <w:spacing w:line="240" w:lineRule="auto"/>
              <w:rPr>
                <w:sz w:val="22"/>
                <w:lang w:val="en-GB"/>
              </w:rPr>
            </w:pPr>
            <w:r w:rsidRPr="009A6F69">
              <w:rPr>
                <w:iCs/>
                <w:sz w:val="22"/>
                <w:lang w:val="en-GB"/>
              </w:rPr>
              <w:t>Department for International Development</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FP</w:t>
            </w:r>
          </w:p>
        </w:tc>
        <w:tc>
          <w:tcPr>
            <w:tcW w:w="6228" w:type="dxa"/>
          </w:tcPr>
          <w:p w:rsidR="003911D6" w:rsidRPr="009A6F69" w:rsidRDefault="003911D6" w:rsidP="004F3654">
            <w:pPr>
              <w:spacing w:line="240" w:lineRule="auto"/>
              <w:rPr>
                <w:sz w:val="22"/>
                <w:lang w:val="en-GB"/>
              </w:rPr>
            </w:pPr>
            <w:r w:rsidRPr="009A6F69">
              <w:rPr>
                <w:sz w:val="22"/>
                <w:lang w:val="en-GB"/>
              </w:rPr>
              <w:t xml:space="preserve">Family Planning </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FY</w:t>
            </w:r>
          </w:p>
        </w:tc>
        <w:tc>
          <w:tcPr>
            <w:tcW w:w="6228" w:type="dxa"/>
          </w:tcPr>
          <w:p w:rsidR="003911D6" w:rsidRPr="009A6F69" w:rsidRDefault="003911D6" w:rsidP="004F3654">
            <w:pPr>
              <w:spacing w:line="240" w:lineRule="auto"/>
              <w:rPr>
                <w:sz w:val="22"/>
                <w:lang w:val="en-GB"/>
              </w:rPr>
            </w:pPr>
            <w:r w:rsidRPr="009A6F69">
              <w:rPr>
                <w:sz w:val="22"/>
                <w:lang w:val="en-GB"/>
              </w:rPr>
              <w:t>Financial Year</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GDP</w:t>
            </w:r>
          </w:p>
        </w:tc>
        <w:tc>
          <w:tcPr>
            <w:tcW w:w="6228" w:type="dxa"/>
          </w:tcPr>
          <w:p w:rsidR="003911D6" w:rsidRPr="009A6F69" w:rsidRDefault="003911D6" w:rsidP="004F3654">
            <w:pPr>
              <w:spacing w:line="240" w:lineRule="auto"/>
              <w:rPr>
                <w:sz w:val="22"/>
                <w:lang w:val="en-GB"/>
              </w:rPr>
            </w:pPr>
            <w:r w:rsidRPr="009A6F69">
              <w:rPr>
                <w:sz w:val="22"/>
                <w:lang w:val="en-GB"/>
              </w:rPr>
              <w:t xml:space="preserve">Gross Domestic Product </w:t>
            </w:r>
          </w:p>
        </w:tc>
      </w:tr>
      <w:tr w:rsidR="003911D6" w:rsidRPr="009A6F69" w:rsidTr="00422125">
        <w:tc>
          <w:tcPr>
            <w:tcW w:w="2628" w:type="dxa"/>
          </w:tcPr>
          <w:p w:rsidR="003911D6" w:rsidRPr="009A6F69" w:rsidRDefault="003911D6" w:rsidP="00900D66">
            <w:pPr>
              <w:spacing w:line="240" w:lineRule="auto"/>
              <w:rPr>
                <w:sz w:val="22"/>
                <w:lang w:val="en-GB"/>
              </w:rPr>
            </w:pPr>
            <w:r w:rsidRPr="009A6F69">
              <w:rPr>
                <w:sz w:val="22"/>
                <w:lang w:val="en-GB"/>
              </w:rPr>
              <w:t>GIZ</w:t>
            </w:r>
          </w:p>
        </w:tc>
        <w:tc>
          <w:tcPr>
            <w:tcW w:w="6228" w:type="dxa"/>
          </w:tcPr>
          <w:p w:rsidR="003911D6" w:rsidRPr="009A6F69" w:rsidRDefault="003911D6" w:rsidP="004F3654">
            <w:pPr>
              <w:spacing w:line="240" w:lineRule="auto"/>
              <w:rPr>
                <w:sz w:val="22"/>
                <w:lang w:val="en-GB"/>
              </w:rPr>
            </w:pPr>
            <w:r w:rsidRPr="009A6F69">
              <w:rPr>
                <w:rStyle w:val="st"/>
                <w:rFonts w:eastAsia="Times New Roman" w:cs="Times New Roman"/>
                <w:sz w:val="22"/>
                <w:lang w:val="en-GB"/>
              </w:rPr>
              <w:t>German Society for International Cooperation</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HAKI</w:t>
            </w:r>
          </w:p>
        </w:tc>
        <w:tc>
          <w:tcPr>
            <w:tcW w:w="6228" w:type="dxa"/>
          </w:tcPr>
          <w:p w:rsidR="003911D6" w:rsidRPr="009A6F69" w:rsidRDefault="003911D6" w:rsidP="004F3654">
            <w:pPr>
              <w:spacing w:line="240" w:lineRule="auto"/>
              <w:rPr>
                <w:sz w:val="22"/>
                <w:lang w:val="en-GB"/>
              </w:rPr>
            </w:pPr>
            <w:r w:rsidRPr="009A6F69">
              <w:rPr>
                <w:sz w:val="22"/>
                <w:lang w:val="en-GB"/>
              </w:rPr>
              <w:t>Health for All Kenyans through Innovations</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HSSF</w:t>
            </w:r>
          </w:p>
        </w:tc>
        <w:tc>
          <w:tcPr>
            <w:tcW w:w="6228" w:type="dxa"/>
          </w:tcPr>
          <w:p w:rsidR="003911D6" w:rsidRPr="009A6F69" w:rsidRDefault="003911D6" w:rsidP="004F3654">
            <w:pPr>
              <w:spacing w:line="240" w:lineRule="auto"/>
              <w:rPr>
                <w:sz w:val="22"/>
                <w:lang w:val="en-GB"/>
              </w:rPr>
            </w:pPr>
            <w:r w:rsidRPr="009A6F69">
              <w:rPr>
                <w:sz w:val="22"/>
                <w:lang w:val="en-GB"/>
              </w:rPr>
              <w:t xml:space="preserve">Health Sector Service Fund </w:t>
            </w:r>
          </w:p>
        </w:tc>
      </w:tr>
      <w:tr w:rsidR="003911D6" w:rsidRPr="009A6F69" w:rsidTr="00422125">
        <w:tc>
          <w:tcPr>
            <w:tcW w:w="2628" w:type="dxa"/>
          </w:tcPr>
          <w:p w:rsidR="003911D6" w:rsidRPr="009A6F69" w:rsidRDefault="003911D6" w:rsidP="00900D66">
            <w:pPr>
              <w:spacing w:line="240" w:lineRule="auto"/>
              <w:rPr>
                <w:sz w:val="22"/>
                <w:lang w:val="en-GB"/>
              </w:rPr>
            </w:pPr>
            <w:r w:rsidRPr="009A6F69">
              <w:rPr>
                <w:sz w:val="22"/>
                <w:lang w:val="en-GB"/>
              </w:rPr>
              <w:t>IRS</w:t>
            </w:r>
          </w:p>
        </w:tc>
        <w:tc>
          <w:tcPr>
            <w:tcW w:w="6228" w:type="dxa"/>
          </w:tcPr>
          <w:p w:rsidR="003911D6" w:rsidRPr="009A6F69" w:rsidRDefault="003911D6" w:rsidP="004F3654">
            <w:pPr>
              <w:spacing w:line="240" w:lineRule="auto"/>
              <w:rPr>
                <w:sz w:val="22"/>
                <w:lang w:val="en-GB"/>
              </w:rPr>
            </w:pPr>
            <w:r w:rsidRPr="009A6F69">
              <w:rPr>
                <w:sz w:val="22"/>
                <w:lang w:val="en-GB"/>
              </w:rPr>
              <w:t xml:space="preserve">Indoor Residual Spraying </w:t>
            </w:r>
          </w:p>
        </w:tc>
      </w:tr>
      <w:tr w:rsidR="003911D6" w:rsidRPr="009A6F69" w:rsidTr="00422125">
        <w:tc>
          <w:tcPr>
            <w:tcW w:w="2628" w:type="dxa"/>
          </w:tcPr>
          <w:p w:rsidR="003911D6" w:rsidRPr="009A6F69" w:rsidRDefault="003911D6" w:rsidP="00900D66">
            <w:pPr>
              <w:spacing w:line="240" w:lineRule="auto"/>
              <w:rPr>
                <w:sz w:val="22"/>
                <w:lang w:val="en-GB"/>
              </w:rPr>
            </w:pPr>
            <w:r w:rsidRPr="009A6F69">
              <w:rPr>
                <w:sz w:val="22"/>
                <w:lang w:val="en-GB"/>
              </w:rPr>
              <w:t>KDHS</w:t>
            </w:r>
          </w:p>
        </w:tc>
        <w:tc>
          <w:tcPr>
            <w:tcW w:w="6228" w:type="dxa"/>
          </w:tcPr>
          <w:p w:rsidR="003911D6" w:rsidRPr="009A6F69" w:rsidRDefault="003911D6" w:rsidP="004F3654">
            <w:pPr>
              <w:spacing w:line="240" w:lineRule="auto"/>
              <w:rPr>
                <w:sz w:val="22"/>
                <w:lang w:val="en-GB"/>
              </w:rPr>
            </w:pPr>
            <w:r w:rsidRPr="009A6F69">
              <w:rPr>
                <w:sz w:val="22"/>
                <w:lang w:val="en-GB"/>
              </w:rPr>
              <w:t>Kenya Demographic and Health Survey</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rFonts w:cs="Calibri"/>
                <w:sz w:val="22"/>
                <w:lang w:val="en-GB"/>
              </w:rPr>
              <w:t>KEPH</w:t>
            </w:r>
          </w:p>
        </w:tc>
        <w:tc>
          <w:tcPr>
            <w:tcW w:w="6228" w:type="dxa"/>
          </w:tcPr>
          <w:p w:rsidR="003911D6" w:rsidRPr="009A6F69" w:rsidRDefault="003911D6" w:rsidP="004F3654">
            <w:pPr>
              <w:spacing w:line="240" w:lineRule="auto"/>
              <w:rPr>
                <w:sz w:val="22"/>
                <w:lang w:val="en-GB"/>
              </w:rPr>
            </w:pPr>
            <w:r w:rsidRPr="009A6F69">
              <w:rPr>
                <w:sz w:val="22"/>
                <w:lang w:val="en-GB"/>
              </w:rPr>
              <w:t>Kenya Essential Package for Health</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KES</w:t>
            </w:r>
          </w:p>
        </w:tc>
        <w:tc>
          <w:tcPr>
            <w:tcW w:w="6228" w:type="dxa"/>
          </w:tcPr>
          <w:p w:rsidR="003911D6" w:rsidRPr="009A6F69" w:rsidRDefault="003911D6" w:rsidP="004F3654">
            <w:pPr>
              <w:spacing w:line="240" w:lineRule="auto"/>
              <w:rPr>
                <w:sz w:val="22"/>
                <w:lang w:val="en-GB"/>
              </w:rPr>
            </w:pPr>
            <w:r w:rsidRPr="009A6F69">
              <w:rPr>
                <w:sz w:val="22"/>
                <w:lang w:val="en-GB"/>
              </w:rPr>
              <w:t xml:space="preserve">Kenya Shillings </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KHP</w:t>
            </w:r>
          </w:p>
        </w:tc>
        <w:tc>
          <w:tcPr>
            <w:tcW w:w="6228" w:type="dxa"/>
          </w:tcPr>
          <w:p w:rsidR="003911D6" w:rsidRPr="009A6F69" w:rsidRDefault="003911D6" w:rsidP="004F3654">
            <w:pPr>
              <w:spacing w:line="240" w:lineRule="auto"/>
              <w:rPr>
                <w:sz w:val="22"/>
                <w:lang w:val="en-GB"/>
              </w:rPr>
            </w:pPr>
            <w:r w:rsidRPr="009A6F69">
              <w:rPr>
                <w:sz w:val="22"/>
                <w:lang w:val="en-GB"/>
              </w:rPr>
              <w:t>Kenya Health Policy</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KHPF</w:t>
            </w:r>
          </w:p>
        </w:tc>
        <w:tc>
          <w:tcPr>
            <w:tcW w:w="6228" w:type="dxa"/>
          </w:tcPr>
          <w:p w:rsidR="003911D6" w:rsidRPr="009A6F69" w:rsidRDefault="003911D6" w:rsidP="004F3654">
            <w:pPr>
              <w:spacing w:line="240" w:lineRule="auto"/>
              <w:rPr>
                <w:sz w:val="22"/>
                <w:lang w:val="en-GB"/>
              </w:rPr>
            </w:pPr>
            <w:r w:rsidRPr="009A6F69">
              <w:rPr>
                <w:sz w:val="22"/>
                <w:lang w:val="en-GB"/>
              </w:rPr>
              <w:t>Kenya Health Policy Framework</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MIP</w:t>
            </w:r>
          </w:p>
        </w:tc>
        <w:tc>
          <w:tcPr>
            <w:tcW w:w="6228" w:type="dxa"/>
          </w:tcPr>
          <w:p w:rsidR="003911D6" w:rsidRPr="009A6F69" w:rsidRDefault="003911D6" w:rsidP="004F3654">
            <w:pPr>
              <w:spacing w:line="240" w:lineRule="auto"/>
              <w:rPr>
                <w:sz w:val="22"/>
                <w:lang w:val="en-GB"/>
              </w:rPr>
            </w:pPr>
            <w:r w:rsidRPr="009A6F69">
              <w:rPr>
                <w:sz w:val="22"/>
                <w:lang w:val="en-GB"/>
              </w:rPr>
              <w:t>Medical Insurance Provider</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MIP</w:t>
            </w:r>
          </w:p>
        </w:tc>
        <w:tc>
          <w:tcPr>
            <w:tcW w:w="6228" w:type="dxa"/>
          </w:tcPr>
          <w:p w:rsidR="003911D6" w:rsidRPr="009A6F69" w:rsidRDefault="003911D6" w:rsidP="004F3654">
            <w:pPr>
              <w:spacing w:line="240" w:lineRule="auto"/>
              <w:rPr>
                <w:sz w:val="22"/>
                <w:lang w:val="en-GB"/>
              </w:rPr>
            </w:pPr>
            <w:r w:rsidRPr="009A6F69">
              <w:rPr>
                <w:rFonts w:cs="Times New Roman"/>
                <w:sz w:val="22"/>
                <w:lang w:val="en-GB"/>
              </w:rPr>
              <w:t xml:space="preserve">Medical Insurance Providers </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MOH</w:t>
            </w:r>
          </w:p>
        </w:tc>
        <w:tc>
          <w:tcPr>
            <w:tcW w:w="6228" w:type="dxa"/>
          </w:tcPr>
          <w:p w:rsidR="003911D6" w:rsidRPr="009A6F69" w:rsidRDefault="003911D6" w:rsidP="004F3654">
            <w:pPr>
              <w:spacing w:line="240" w:lineRule="auto"/>
              <w:rPr>
                <w:sz w:val="22"/>
                <w:lang w:val="en-GB"/>
              </w:rPr>
            </w:pPr>
            <w:r w:rsidRPr="009A6F69">
              <w:rPr>
                <w:sz w:val="22"/>
                <w:lang w:val="en-GB"/>
              </w:rPr>
              <w:t>Ministry of Health</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NHA</w:t>
            </w:r>
          </w:p>
        </w:tc>
        <w:tc>
          <w:tcPr>
            <w:tcW w:w="6228" w:type="dxa"/>
          </w:tcPr>
          <w:p w:rsidR="003911D6" w:rsidRPr="009A6F69" w:rsidRDefault="003911D6" w:rsidP="004F3654">
            <w:pPr>
              <w:spacing w:line="240" w:lineRule="auto"/>
              <w:rPr>
                <w:sz w:val="22"/>
                <w:lang w:val="en-GB"/>
              </w:rPr>
            </w:pPr>
            <w:r w:rsidRPr="009A6F69">
              <w:rPr>
                <w:sz w:val="22"/>
                <w:lang w:val="en-GB"/>
              </w:rPr>
              <w:t>National Health Accounts</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NHIF</w:t>
            </w:r>
          </w:p>
        </w:tc>
        <w:tc>
          <w:tcPr>
            <w:tcW w:w="6228" w:type="dxa"/>
          </w:tcPr>
          <w:p w:rsidR="003911D6" w:rsidRPr="009A6F69" w:rsidRDefault="003911D6" w:rsidP="004F3654">
            <w:pPr>
              <w:spacing w:line="240" w:lineRule="auto"/>
              <w:rPr>
                <w:sz w:val="22"/>
                <w:lang w:val="en-GB"/>
              </w:rPr>
            </w:pPr>
            <w:r w:rsidRPr="009A6F69">
              <w:rPr>
                <w:sz w:val="22"/>
                <w:lang w:val="en-GB"/>
              </w:rPr>
              <w:t>National Hospital Insurance Fund</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OOP</w:t>
            </w:r>
          </w:p>
        </w:tc>
        <w:tc>
          <w:tcPr>
            <w:tcW w:w="6228" w:type="dxa"/>
          </w:tcPr>
          <w:p w:rsidR="003911D6" w:rsidRPr="009A6F69" w:rsidRDefault="003911D6" w:rsidP="004F3654">
            <w:pPr>
              <w:spacing w:line="240" w:lineRule="auto"/>
              <w:rPr>
                <w:sz w:val="22"/>
                <w:lang w:val="en-GB"/>
              </w:rPr>
            </w:pPr>
            <w:r w:rsidRPr="009A6F69">
              <w:rPr>
                <w:sz w:val="22"/>
                <w:lang w:val="en-GB"/>
              </w:rPr>
              <w:t>Out-of-Pocket Expenditure</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RH-OBA</w:t>
            </w:r>
          </w:p>
        </w:tc>
        <w:tc>
          <w:tcPr>
            <w:tcW w:w="6228" w:type="dxa"/>
          </w:tcPr>
          <w:p w:rsidR="003911D6" w:rsidRPr="009A6F69" w:rsidRDefault="003911D6" w:rsidP="004F3654">
            <w:pPr>
              <w:spacing w:line="240" w:lineRule="auto"/>
              <w:rPr>
                <w:sz w:val="22"/>
                <w:lang w:val="en-GB"/>
              </w:rPr>
            </w:pPr>
            <w:r w:rsidRPr="009A6F69">
              <w:rPr>
                <w:sz w:val="22"/>
                <w:lang w:val="en-GB"/>
              </w:rPr>
              <w:t>Reproductive Health- Output Based Approach</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SBA</w:t>
            </w:r>
          </w:p>
        </w:tc>
        <w:tc>
          <w:tcPr>
            <w:tcW w:w="6228" w:type="dxa"/>
          </w:tcPr>
          <w:p w:rsidR="003911D6" w:rsidRPr="009A6F69" w:rsidRDefault="003911D6" w:rsidP="004F3654">
            <w:pPr>
              <w:spacing w:line="240" w:lineRule="auto"/>
              <w:rPr>
                <w:sz w:val="22"/>
                <w:lang w:val="en-GB"/>
              </w:rPr>
            </w:pPr>
            <w:r w:rsidRPr="009A6F69">
              <w:rPr>
                <w:sz w:val="22"/>
                <w:lang w:val="en-GB"/>
              </w:rPr>
              <w:t>Skilled Birth Attendant</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SHI</w:t>
            </w:r>
          </w:p>
        </w:tc>
        <w:tc>
          <w:tcPr>
            <w:tcW w:w="6228" w:type="dxa"/>
          </w:tcPr>
          <w:p w:rsidR="003911D6" w:rsidRPr="009A6F69" w:rsidRDefault="003911D6" w:rsidP="004F3654">
            <w:pPr>
              <w:spacing w:line="240" w:lineRule="auto"/>
              <w:rPr>
                <w:sz w:val="22"/>
                <w:lang w:val="en-GB"/>
              </w:rPr>
            </w:pPr>
            <w:r w:rsidRPr="009A6F69">
              <w:rPr>
                <w:sz w:val="22"/>
                <w:lang w:val="en-GB"/>
              </w:rPr>
              <w:t>Social Health Insurance</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THE</w:t>
            </w:r>
          </w:p>
        </w:tc>
        <w:tc>
          <w:tcPr>
            <w:tcW w:w="6228" w:type="dxa"/>
          </w:tcPr>
          <w:p w:rsidR="003911D6" w:rsidRPr="009A6F69" w:rsidRDefault="003911D6" w:rsidP="004F3654">
            <w:pPr>
              <w:spacing w:line="240" w:lineRule="auto"/>
              <w:rPr>
                <w:sz w:val="22"/>
                <w:lang w:val="en-GB"/>
              </w:rPr>
            </w:pPr>
            <w:r w:rsidRPr="009A6F69">
              <w:rPr>
                <w:sz w:val="22"/>
                <w:lang w:val="en-GB"/>
              </w:rPr>
              <w:t>Total Health Expenditure</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THE</w:t>
            </w:r>
            <w:r w:rsidRPr="009A6F69">
              <w:rPr>
                <w:sz w:val="22"/>
                <w:vertAlign w:val="subscript"/>
                <w:lang w:val="en-GB"/>
              </w:rPr>
              <w:t>HIV</w:t>
            </w:r>
          </w:p>
        </w:tc>
        <w:tc>
          <w:tcPr>
            <w:tcW w:w="6228" w:type="dxa"/>
          </w:tcPr>
          <w:p w:rsidR="003911D6" w:rsidRPr="009A6F69" w:rsidRDefault="003911D6" w:rsidP="004F3654">
            <w:pPr>
              <w:spacing w:line="240" w:lineRule="auto"/>
              <w:rPr>
                <w:sz w:val="22"/>
                <w:lang w:val="en-GB"/>
              </w:rPr>
            </w:pPr>
            <w:r w:rsidRPr="009A6F69">
              <w:rPr>
                <w:sz w:val="22"/>
                <w:lang w:val="en-GB"/>
              </w:rPr>
              <w:t>Total Health Expenditure HIV/AIDS</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TWG</w:t>
            </w:r>
          </w:p>
        </w:tc>
        <w:tc>
          <w:tcPr>
            <w:tcW w:w="6228" w:type="dxa"/>
          </w:tcPr>
          <w:p w:rsidR="003911D6" w:rsidRPr="009A6F69" w:rsidRDefault="003911D6" w:rsidP="004F3654">
            <w:pPr>
              <w:spacing w:line="240" w:lineRule="auto"/>
              <w:rPr>
                <w:rFonts w:cs="Times New Roman"/>
                <w:sz w:val="22"/>
                <w:lang w:val="en-GB"/>
              </w:rPr>
            </w:pPr>
            <w:r w:rsidRPr="009A6F69">
              <w:rPr>
                <w:rFonts w:cs="Times New Roman"/>
                <w:sz w:val="22"/>
                <w:lang w:val="en-GB"/>
              </w:rPr>
              <w:t xml:space="preserve">Technical Working Group </w:t>
            </w:r>
          </w:p>
        </w:tc>
      </w:tr>
      <w:tr w:rsidR="003911D6" w:rsidRPr="009A6F69" w:rsidTr="003712E9">
        <w:tc>
          <w:tcPr>
            <w:tcW w:w="2628" w:type="dxa"/>
          </w:tcPr>
          <w:p w:rsidR="003911D6" w:rsidRPr="009A6F69" w:rsidRDefault="003911D6" w:rsidP="00900D66">
            <w:pPr>
              <w:spacing w:line="240" w:lineRule="auto"/>
              <w:rPr>
                <w:sz w:val="22"/>
                <w:lang w:val="en-GB"/>
              </w:rPr>
            </w:pPr>
            <w:r w:rsidRPr="009A6F69">
              <w:rPr>
                <w:sz w:val="22"/>
                <w:lang w:val="en-GB"/>
              </w:rPr>
              <w:t>UHC</w:t>
            </w:r>
          </w:p>
        </w:tc>
        <w:tc>
          <w:tcPr>
            <w:tcW w:w="6228" w:type="dxa"/>
          </w:tcPr>
          <w:p w:rsidR="003911D6" w:rsidRPr="009A6F69" w:rsidRDefault="003911D6" w:rsidP="004F3654">
            <w:pPr>
              <w:spacing w:line="240" w:lineRule="auto"/>
              <w:rPr>
                <w:sz w:val="22"/>
                <w:lang w:val="en-GB"/>
              </w:rPr>
            </w:pPr>
            <w:r w:rsidRPr="009A6F69">
              <w:rPr>
                <w:sz w:val="22"/>
                <w:lang w:val="en-GB"/>
              </w:rPr>
              <w:t xml:space="preserve">Universal Health Coverage </w:t>
            </w:r>
          </w:p>
        </w:tc>
      </w:tr>
    </w:tbl>
    <w:p w:rsidR="00A364E7" w:rsidRPr="009A6F69" w:rsidRDefault="00A364E7">
      <w:pPr>
        <w:rPr>
          <w:rFonts w:asciiTheme="majorHAnsi" w:eastAsiaTheme="majorEastAsia" w:hAnsiTheme="majorHAnsi" w:cstheme="majorBidi"/>
          <w:b/>
          <w:bCs/>
          <w:sz w:val="28"/>
          <w:szCs w:val="28"/>
          <w:lang w:val="en-GB"/>
        </w:rPr>
      </w:pPr>
    </w:p>
    <w:p w:rsidR="00A973C5" w:rsidRPr="009A6F69" w:rsidRDefault="00A973C5" w:rsidP="00A364E7">
      <w:pPr>
        <w:pStyle w:val="Heading1"/>
        <w:rPr>
          <w:lang w:val="en-GB"/>
        </w:rPr>
      </w:pPr>
      <w:bookmarkStart w:id="2" w:name="_Toc254256116"/>
      <w:r w:rsidRPr="009A6F69">
        <w:rPr>
          <w:lang w:val="en-GB"/>
        </w:rPr>
        <w:t>Executive Summary</w:t>
      </w:r>
      <w:bookmarkEnd w:id="2"/>
    </w:p>
    <w:p w:rsidR="003C5AFF" w:rsidRPr="009A6F69" w:rsidRDefault="00A973C5" w:rsidP="001843B7">
      <w:pPr>
        <w:rPr>
          <w:bCs/>
          <w:lang w:val="en-GB"/>
        </w:rPr>
      </w:pPr>
      <w:r w:rsidRPr="009A6F69">
        <w:rPr>
          <w:lang w:val="en-GB"/>
        </w:rPr>
        <w:t>The World Health Report of 2010 on universal coverage of health care and the declaration of the 58</w:t>
      </w:r>
      <w:r w:rsidRPr="009A6F69">
        <w:rPr>
          <w:vertAlign w:val="superscript"/>
          <w:lang w:val="en-GB"/>
        </w:rPr>
        <w:t>th</w:t>
      </w:r>
      <w:r w:rsidRPr="009A6F69">
        <w:rPr>
          <w:lang w:val="en-GB"/>
        </w:rPr>
        <w:t xml:space="preserve"> World Health Assembly of 2005 encouraged member countries to aim at providing affordable universal coverage and access for all citizens on the basis of equity and solidarity. Universal coverage can be defined as a health financing system where all people have access to services and do not suffer financial hardship paying for them. </w:t>
      </w:r>
      <w:r w:rsidR="001843B7" w:rsidRPr="009A6F69">
        <w:rPr>
          <w:bCs/>
          <w:lang w:val="en-GB"/>
        </w:rPr>
        <w:t xml:space="preserve">The definition embodies three related objectives; Equity in access to health services; the quality of health services is good enough to improve the health of those receiving services; and financial-risk protection. </w:t>
      </w:r>
      <w:r w:rsidRPr="009A6F69">
        <w:rPr>
          <w:lang w:val="en-GB"/>
        </w:rPr>
        <w:t>Many countries are currently considering how to reform their health financing systems with the aim of achieving universal health coverage. Kenya is committed to reforming its health system by providing affordable and equitable, access by the population to essential health services thereby putting the country on the path to achieving universal health.</w:t>
      </w:r>
      <w:r w:rsidR="00810070" w:rsidRPr="009A6F69">
        <w:rPr>
          <w:lang w:val="en-GB"/>
        </w:rPr>
        <w:t xml:space="preserve"> The situation </w:t>
      </w:r>
      <w:r w:rsidR="008A63C6" w:rsidRPr="009A6F69">
        <w:rPr>
          <w:lang w:val="en-GB"/>
        </w:rPr>
        <w:t>analysis</w:t>
      </w:r>
      <w:r w:rsidR="00810070" w:rsidRPr="009A6F69">
        <w:rPr>
          <w:lang w:val="en-GB"/>
        </w:rPr>
        <w:t xml:space="preserve"> endeavour</w:t>
      </w:r>
      <w:r w:rsidR="008A63C6" w:rsidRPr="009A6F69">
        <w:rPr>
          <w:lang w:val="en-GB"/>
        </w:rPr>
        <w:t>s</w:t>
      </w:r>
      <w:r w:rsidR="00810070" w:rsidRPr="009A6F69">
        <w:rPr>
          <w:lang w:val="en-GB"/>
        </w:rPr>
        <w:t xml:space="preserve"> to define the current context, contextual factors and other direct or indirect factors </w:t>
      </w:r>
      <w:r w:rsidR="002A3773" w:rsidRPr="009A6F69">
        <w:rPr>
          <w:lang w:val="en-GB"/>
        </w:rPr>
        <w:t xml:space="preserve">in terms of service delivery </w:t>
      </w:r>
      <w:r w:rsidR="00810070" w:rsidRPr="009A6F69">
        <w:rPr>
          <w:lang w:val="en-GB"/>
        </w:rPr>
        <w:t>that have contributed to the status of universal coverage in Kenya</w:t>
      </w:r>
      <w:r w:rsidR="003C5AFF" w:rsidRPr="009A6F69">
        <w:rPr>
          <w:lang w:val="en-GB"/>
        </w:rPr>
        <w:t xml:space="preserve"> through a literature review of published and grey literature. </w:t>
      </w:r>
    </w:p>
    <w:p w:rsidR="00BA0DF9" w:rsidRPr="009A6F69" w:rsidRDefault="00BA0DF9" w:rsidP="00BA0DF9">
      <w:pPr>
        <w:rPr>
          <w:lang w:val="en-GB"/>
        </w:rPr>
      </w:pPr>
      <w:r w:rsidRPr="009A6F69">
        <w:rPr>
          <w:lang w:val="en-GB"/>
        </w:rPr>
        <w:t>Key findings from the literature review are:</w:t>
      </w:r>
    </w:p>
    <w:p w:rsidR="00BA0DF9" w:rsidRPr="009A6F69" w:rsidRDefault="00BA0DF9" w:rsidP="00BA0DF9">
      <w:pPr>
        <w:rPr>
          <w:lang w:val="en-GB"/>
        </w:rPr>
      </w:pPr>
      <w:r w:rsidRPr="009A6F69">
        <w:rPr>
          <w:lang w:val="en-GB"/>
        </w:rPr>
        <w:t>The public health sector is the major provider of healthcare in the country at all levels of care. At hospital level basic services are provided, however at dispensary level services are inadequate and of variable qual</w:t>
      </w:r>
      <w:r w:rsidR="00731706" w:rsidRPr="009A6F69">
        <w:rPr>
          <w:lang w:val="en-GB"/>
        </w:rPr>
        <w:t>ity. Mechanisms such as the health sector service fund</w:t>
      </w:r>
      <w:r w:rsidRPr="009A6F69">
        <w:rPr>
          <w:lang w:val="en-GB"/>
        </w:rPr>
        <w:t xml:space="preserve"> </w:t>
      </w:r>
      <w:r w:rsidR="00731706" w:rsidRPr="009A6F69">
        <w:rPr>
          <w:lang w:val="en-GB"/>
        </w:rPr>
        <w:t xml:space="preserve">and output based approaches </w:t>
      </w:r>
      <w:r w:rsidRPr="009A6F69">
        <w:rPr>
          <w:lang w:val="en-GB"/>
        </w:rPr>
        <w:t xml:space="preserve">have been shown to improve the quality and coverage of care at </w:t>
      </w:r>
      <w:r w:rsidR="00327A83" w:rsidRPr="009A6F69">
        <w:rPr>
          <w:lang w:val="en-GB"/>
        </w:rPr>
        <w:t>primary care level</w:t>
      </w:r>
      <w:r w:rsidRPr="009A6F69">
        <w:rPr>
          <w:lang w:val="en-GB"/>
        </w:rPr>
        <w:t>. However geographical disparity in terms of numbers of health facilities</w:t>
      </w:r>
      <w:r w:rsidR="006A1CD9" w:rsidRPr="009A6F69">
        <w:rPr>
          <w:lang w:val="en-GB"/>
        </w:rPr>
        <w:t xml:space="preserve">, low efficiency and </w:t>
      </w:r>
      <w:r w:rsidR="00FC4061" w:rsidRPr="009A6F69">
        <w:rPr>
          <w:lang w:val="en-GB"/>
        </w:rPr>
        <w:t xml:space="preserve">effectiveness </w:t>
      </w:r>
      <w:r w:rsidR="00E6201B" w:rsidRPr="009A6F69">
        <w:rPr>
          <w:lang w:val="en-GB"/>
        </w:rPr>
        <w:t>are stumbling</w:t>
      </w:r>
      <w:r w:rsidRPr="009A6F69">
        <w:rPr>
          <w:lang w:val="en-GB"/>
        </w:rPr>
        <w:t xml:space="preserve"> block</w:t>
      </w:r>
      <w:r w:rsidR="006A1CD9" w:rsidRPr="009A6F69">
        <w:rPr>
          <w:lang w:val="en-GB"/>
        </w:rPr>
        <w:t>s</w:t>
      </w:r>
      <w:r w:rsidRPr="009A6F69">
        <w:rPr>
          <w:lang w:val="en-GB"/>
        </w:rPr>
        <w:t xml:space="preserve"> to achieving the required coverage in terms of population. </w:t>
      </w:r>
    </w:p>
    <w:p w:rsidR="00BC39A5" w:rsidRPr="009A6F69" w:rsidRDefault="00BA0DF9" w:rsidP="00BA0DF9">
      <w:pPr>
        <w:rPr>
          <w:bCs/>
          <w:lang w:val="en-GB"/>
        </w:rPr>
      </w:pPr>
      <w:r w:rsidRPr="009A6F69">
        <w:rPr>
          <w:lang w:val="en-GB"/>
        </w:rPr>
        <w:t xml:space="preserve">The public sector is augmented by private-not-for-profit and for-profit health facilities. The latter does not offer, sufficiently, basic health services as defined by KEPH. Further, the private sector is financed primarily by out of pocket expenditure </w:t>
      </w:r>
      <w:r w:rsidRPr="009A6F69">
        <w:rPr>
          <w:lang w:val="en-GB"/>
        </w:rPr>
        <w:lastRenderedPageBreak/>
        <w:t xml:space="preserve">and small fragmented private insurance geared towards inpatient care catering to urban formal sector workers. Involving the private sector therefore requires strong well thought out public-private partnership policy </w:t>
      </w:r>
      <w:r w:rsidR="002765E4">
        <w:rPr>
          <w:lang w:val="en-GB"/>
        </w:rPr>
        <w:t xml:space="preserve">and </w:t>
      </w:r>
      <w:proofErr w:type="gramStart"/>
      <w:r w:rsidR="002765E4">
        <w:rPr>
          <w:lang w:val="en-GB"/>
        </w:rPr>
        <w:t xml:space="preserve">stewardship </w:t>
      </w:r>
      <w:r w:rsidR="003533F2" w:rsidRPr="009A6F69">
        <w:rPr>
          <w:lang w:val="en-GB"/>
        </w:rPr>
        <w:t xml:space="preserve"> </w:t>
      </w:r>
      <w:r w:rsidRPr="009A6F69">
        <w:rPr>
          <w:lang w:val="en-GB"/>
        </w:rPr>
        <w:t>to</w:t>
      </w:r>
      <w:proofErr w:type="gramEnd"/>
      <w:r w:rsidRPr="009A6F69">
        <w:rPr>
          <w:lang w:val="en-GB"/>
        </w:rPr>
        <w:t xml:space="preserve"> induce private healthcare to provide basic health services and financial protection</w:t>
      </w:r>
      <w:r w:rsidR="0072332A" w:rsidRPr="009A6F69">
        <w:rPr>
          <w:lang w:val="en-GB"/>
        </w:rPr>
        <w:t>.  S</w:t>
      </w:r>
      <w:r w:rsidRPr="009A6F69">
        <w:rPr>
          <w:lang w:val="en-GB"/>
        </w:rPr>
        <w:t xml:space="preserve">trong oversight by ministry of health </w:t>
      </w:r>
      <w:r w:rsidR="0072332A" w:rsidRPr="009A6F69">
        <w:rPr>
          <w:lang w:val="en-GB"/>
        </w:rPr>
        <w:t xml:space="preserve">is required </w:t>
      </w:r>
      <w:r w:rsidRPr="009A6F69">
        <w:rPr>
          <w:lang w:val="en-GB"/>
        </w:rPr>
        <w:t xml:space="preserve">to ensure quality of care is improved.  </w:t>
      </w:r>
      <w:r w:rsidR="002765E4">
        <w:rPr>
          <w:lang w:val="en-GB"/>
        </w:rPr>
        <w:t xml:space="preserve">Three </w:t>
      </w:r>
      <w:r w:rsidR="00AA1D75">
        <w:rPr>
          <w:lang w:val="en-GB"/>
        </w:rPr>
        <w:t xml:space="preserve">options based </w:t>
      </w:r>
      <w:proofErr w:type="gramStart"/>
      <w:r w:rsidR="00AA1D75">
        <w:rPr>
          <w:lang w:val="en-GB"/>
        </w:rPr>
        <w:t>on  levels</w:t>
      </w:r>
      <w:proofErr w:type="gramEnd"/>
      <w:r w:rsidR="00AA1D75">
        <w:rPr>
          <w:lang w:val="en-GB"/>
        </w:rPr>
        <w:t xml:space="preserve"> of service provision, equity and affordability are offered</w:t>
      </w:r>
      <w:r w:rsidR="002765E4">
        <w:rPr>
          <w:lang w:val="en-GB"/>
        </w:rPr>
        <w:t xml:space="preserve">, a basic package, an enhanced package and a comprehensive package. </w:t>
      </w:r>
    </w:p>
    <w:p w:rsidR="00A973C5" w:rsidRPr="009A6F69" w:rsidRDefault="00A973C5" w:rsidP="00A973C5">
      <w:pPr>
        <w:rPr>
          <w:lang w:val="en-GB"/>
        </w:rPr>
      </w:pPr>
    </w:p>
    <w:p w:rsidR="00E7629B" w:rsidRPr="009A6F69" w:rsidRDefault="00E7629B">
      <w:pPr>
        <w:rPr>
          <w:rFonts w:asciiTheme="majorHAnsi" w:eastAsiaTheme="majorEastAsia" w:hAnsiTheme="majorHAnsi" w:cstheme="majorBidi"/>
          <w:b/>
          <w:bCs/>
          <w:sz w:val="28"/>
          <w:szCs w:val="28"/>
          <w:lang w:val="en-GB"/>
        </w:rPr>
      </w:pPr>
      <w:r w:rsidRPr="009A6F69">
        <w:rPr>
          <w:lang w:val="en-GB"/>
        </w:rPr>
        <w:br w:type="page"/>
      </w:r>
    </w:p>
    <w:p w:rsidR="00E245B2" w:rsidRPr="009A6F69" w:rsidRDefault="00E245B2" w:rsidP="00A364E7">
      <w:pPr>
        <w:pStyle w:val="Heading1"/>
        <w:rPr>
          <w:lang w:val="en-GB"/>
        </w:rPr>
      </w:pPr>
      <w:bookmarkStart w:id="3" w:name="_Toc254256117"/>
      <w:r w:rsidRPr="009A6F69">
        <w:rPr>
          <w:lang w:val="en-GB"/>
        </w:rPr>
        <w:lastRenderedPageBreak/>
        <w:t>Introduction</w:t>
      </w:r>
      <w:bookmarkEnd w:id="3"/>
    </w:p>
    <w:p w:rsidR="00E245B2" w:rsidRPr="009A6F69" w:rsidRDefault="00A364E7" w:rsidP="00C53E77">
      <w:pPr>
        <w:rPr>
          <w:lang w:val="en-GB"/>
        </w:rPr>
      </w:pPr>
      <w:r w:rsidRPr="009A6F69">
        <w:rPr>
          <w:lang w:val="en-GB"/>
        </w:rPr>
        <w:t>The World Health Report of 2010 on universal coverage of health care and the declaration of the 58</w:t>
      </w:r>
      <w:r w:rsidRPr="009A6F69">
        <w:rPr>
          <w:vertAlign w:val="superscript"/>
          <w:lang w:val="en-GB"/>
        </w:rPr>
        <w:t>th</w:t>
      </w:r>
      <w:r w:rsidRPr="009A6F69">
        <w:rPr>
          <w:lang w:val="en-GB"/>
        </w:rPr>
        <w:t xml:space="preserve"> World Health Assembly of 2005 encouraged member countries to aim at providing affordable universal coverage and access for all citizens on the basis of equity and solidarity. Many countries are currently considering how to reform their health financing systems with the aim of achieving universal health coverage.</w:t>
      </w:r>
    </w:p>
    <w:p w:rsidR="00E245B2" w:rsidRPr="009A6F69" w:rsidRDefault="00E245B2" w:rsidP="00A364E7">
      <w:pPr>
        <w:pStyle w:val="Heading1"/>
        <w:rPr>
          <w:lang w:val="en-GB"/>
        </w:rPr>
      </w:pPr>
      <w:bookmarkStart w:id="4" w:name="_Toc254256118"/>
      <w:r w:rsidRPr="009A6F69">
        <w:rPr>
          <w:lang w:val="en-GB"/>
        </w:rPr>
        <w:t>Background</w:t>
      </w:r>
      <w:bookmarkEnd w:id="4"/>
    </w:p>
    <w:p w:rsidR="004708B6" w:rsidRPr="009A6F69" w:rsidRDefault="002E1D09" w:rsidP="004708B6">
      <w:pPr>
        <w:rPr>
          <w:lang w:val="en-GB"/>
        </w:rPr>
      </w:pPr>
      <w:r w:rsidRPr="009A6F69">
        <w:rPr>
          <w:lang w:val="en-GB"/>
        </w:rPr>
        <w:t>The Kenya Vision 2030 aims at ensuring access to quality health care to all</w:t>
      </w:r>
      <w:r w:rsidR="008871FA" w:rsidRPr="009A6F69">
        <w:rPr>
          <w:lang w:val="en-GB"/>
        </w:rPr>
        <w:t xml:space="preserve"> while the </w:t>
      </w:r>
      <w:r w:rsidRPr="009A6F69">
        <w:rPr>
          <w:lang w:val="en-GB"/>
        </w:rPr>
        <w:t>Kenya Constitution 2010 pr</w:t>
      </w:r>
      <w:r w:rsidR="008871FA" w:rsidRPr="009A6F69">
        <w:rPr>
          <w:lang w:val="en-GB"/>
        </w:rPr>
        <w:t xml:space="preserve">ovides for the right to </w:t>
      </w:r>
      <w:r w:rsidR="00056C80" w:rsidRPr="009A6F69">
        <w:rPr>
          <w:lang w:val="en-GB"/>
        </w:rPr>
        <w:t>the highest attainable standard of health, which includes the right to health care services</w:t>
      </w:r>
      <w:r w:rsidR="001B3B9E" w:rsidRPr="009A6F69">
        <w:rPr>
          <w:lang w:val="en-GB"/>
        </w:rPr>
        <w:fldChar w:fldCharType="begin" w:fldLock="1"/>
      </w:r>
      <w:r w:rsidR="004F4010">
        <w:rPr>
          <w:lang w:val="en-GB"/>
        </w:rPr>
        <w:instrText>ADDIN CSL_CITATION { "citationItems" : [ { "id" : "ITEM-1", "itemData" : { "container-title" : "Human Rights", "id" : "ITEM-1", "issued" : { "date-parts" : [ [ "2010" ] ] }, "publisher" : "PNational Council for Law Reporting with the Authority of the Attorney General", "publisher-place" : "Kenya", "title" : "The Constitution of Kenya, 2010", "type" : "legislation" }, "uris" : [ "http://www.mendeley.com/documents/?uuid=beb0c98c-4a19-47c3-a0ed-803cf6cc4fb0" ] } ], "mendeley" : { "previouslyFormattedCitation" : "(&lt;i&gt;The Constitution of Kenya, 2010&lt;/i&gt;, 2010)" }, "properties" : { "noteIndex" : 0 }, "schema" : "https://github.com/citation-style-language/schema/raw/master/csl-citation.json" }</w:instrText>
      </w:r>
      <w:r w:rsidR="001B3B9E" w:rsidRPr="009A6F69">
        <w:rPr>
          <w:lang w:val="en-GB"/>
        </w:rPr>
        <w:fldChar w:fldCharType="separate"/>
      </w:r>
      <w:r w:rsidR="004F4010" w:rsidRPr="004F4010">
        <w:rPr>
          <w:noProof/>
          <w:lang w:val="en-GB"/>
        </w:rPr>
        <w:t>(</w:t>
      </w:r>
      <w:r w:rsidR="004F4010" w:rsidRPr="004F4010">
        <w:rPr>
          <w:i/>
          <w:noProof/>
          <w:lang w:val="en-GB"/>
        </w:rPr>
        <w:t>The Constitution of Kenya, 2010</w:t>
      </w:r>
      <w:r w:rsidR="004F4010" w:rsidRPr="004F4010">
        <w:rPr>
          <w:noProof/>
          <w:lang w:val="en-GB"/>
        </w:rPr>
        <w:t>, 2010)</w:t>
      </w:r>
      <w:r w:rsidR="001B3B9E" w:rsidRPr="009A6F69">
        <w:rPr>
          <w:lang w:val="en-GB"/>
        </w:rPr>
        <w:fldChar w:fldCharType="end"/>
      </w:r>
      <w:r w:rsidR="008871FA" w:rsidRPr="009A6F69">
        <w:rPr>
          <w:lang w:val="en-GB"/>
        </w:rPr>
        <w:t xml:space="preserve">. </w:t>
      </w:r>
      <w:r w:rsidR="008570CA" w:rsidRPr="009A6F69">
        <w:rPr>
          <w:lang w:val="en-GB"/>
        </w:rPr>
        <w:t>Kenya is committed to reforming its health system by providing affordable and equitable, access by the population to essential health services thereby putting the country on the path to achieving universal health.</w:t>
      </w:r>
      <w:r w:rsidR="00C358C9" w:rsidRPr="009A6F69">
        <w:rPr>
          <w:lang w:val="en-GB"/>
        </w:rPr>
        <w:t xml:space="preserve"> </w:t>
      </w:r>
      <w:r w:rsidR="004708B6" w:rsidRPr="009A6F69">
        <w:rPr>
          <w:lang w:val="en-GB"/>
        </w:rPr>
        <w:t xml:space="preserve">The financing reforms that the country has been implementing are all geared towards expanding coverage in a financially sustainable way. </w:t>
      </w:r>
      <w:r w:rsidR="00EB5AB0" w:rsidRPr="009A6F69">
        <w:rPr>
          <w:lang w:val="en-GB"/>
        </w:rPr>
        <w:t>Achieving the above goals requires timely access to health services. This cannot be achieved, except for a small minority of the population, without a well-fun</w:t>
      </w:r>
      <w:r w:rsidR="00D27661" w:rsidRPr="009A6F69">
        <w:rPr>
          <w:lang w:val="en-GB"/>
        </w:rPr>
        <w:t>ctioning health financing system,</w:t>
      </w:r>
      <w:r w:rsidR="00EB5AB0" w:rsidRPr="009A6F69">
        <w:rPr>
          <w:lang w:val="en-GB"/>
        </w:rPr>
        <w:t xml:space="preserve"> which determines whether people can afford to use health services when they need them</w:t>
      </w:r>
      <w:r w:rsidR="00D27661" w:rsidRPr="009A6F69">
        <w:rPr>
          <w:lang w:val="en-GB"/>
        </w:rPr>
        <w:t xml:space="preserve">. Universal coverage </w:t>
      </w:r>
      <w:r w:rsidR="00294776" w:rsidRPr="009A6F69">
        <w:rPr>
          <w:lang w:val="en-GB"/>
        </w:rPr>
        <w:t xml:space="preserve">can be </w:t>
      </w:r>
      <w:r w:rsidR="00D27661" w:rsidRPr="009A6F69">
        <w:rPr>
          <w:lang w:val="en-GB"/>
        </w:rPr>
        <w:t xml:space="preserve">defined as </w:t>
      </w:r>
      <w:r w:rsidR="00E87BDE" w:rsidRPr="009A6F69">
        <w:rPr>
          <w:lang w:val="en-GB"/>
        </w:rPr>
        <w:t>a health financing system where all people have access to services and do not suffer financial hardship paying for them</w:t>
      </w:r>
      <w:r w:rsidR="001B3B9E" w:rsidRPr="009A6F69">
        <w:rPr>
          <w:lang w:val="en-GB"/>
        </w:rPr>
        <w:fldChar w:fldCharType="begin" w:fldLock="1"/>
      </w:r>
      <w:r w:rsidR="004F4010">
        <w:rPr>
          <w:lang w:val="en-GB"/>
        </w:rPr>
        <w:instrText>ADDIN CSL_CITATION { "citationItems" : [ { "id" : "ITEM-1", "itemData" : { "author" : [ { "dropping-particle" : "", "family" : "World Health Organization", "given" : "", "non-dropping-particle" : "", "parse-names" : false, "suffix" : "" } ], "container-title" : "58th World Health Assembly", "id" : "ITEM-1", "issue" : "4", "issued" : { "date-parts" : [ [ "2005" ] ] }, "page" : "139-140", "publisher" : "World Health Organization", "publisher-place" : "Geneva", "title" : "WHA58.33 Sustainable health financing , universal coverage and social health", "type" : "paper-conference" }, "uris" : [ "http://www.mendeley.com/documents/?uuid=62e92869-649b-45e6-a682-c6c33f6b9745" ] } ], "mendeley" : { "previouslyFormattedCitation" : "(World Health Organization, 2005)" }, "properties" : { "noteIndex" : 0 }, "schema" : "https://github.com/citation-style-language/schema/raw/master/csl-citation.json" }</w:instrText>
      </w:r>
      <w:r w:rsidR="001B3B9E" w:rsidRPr="009A6F69">
        <w:rPr>
          <w:lang w:val="en-GB"/>
        </w:rPr>
        <w:fldChar w:fldCharType="separate"/>
      </w:r>
      <w:r w:rsidR="0047453F" w:rsidRPr="009A6F69">
        <w:rPr>
          <w:noProof/>
          <w:lang w:val="en-GB"/>
        </w:rPr>
        <w:t>(World Health Organization, 2005)</w:t>
      </w:r>
      <w:r w:rsidR="001B3B9E" w:rsidRPr="009A6F69">
        <w:rPr>
          <w:lang w:val="en-GB"/>
        </w:rPr>
        <w:fldChar w:fldCharType="end"/>
      </w:r>
      <w:r w:rsidR="0047453F" w:rsidRPr="009A6F69">
        <w:rPr>
          <w:lang w:val="en-GB"/>
        </w:rPr>
        <w:t>.</w:t>
      </w:r>
    </w:p>
    <w:p w:rsidR="000A442E" w:rsidRPr="009A6F69" w:rsidRDefault="00B94D7C" w:rsidP="000A442E">
      <w:pPr>
        <w:rPr>
          <w:bCs/>
          <w:lang w:val="en-GB"/>
        </w:rPr>
      </w:pPr>
      <w:r w:rsidRPr="009A6F69">
        <w:rPr>
          <w:bCs/>
          <w:lang w:val="en-GB"/>
        </w:rPr>
        <w:t>The</w:t>
      </w:r>
      <w:r w:rsidR="000A442E" w:rsidRPr="009A6F69">
        <w:rPr>
          <w:bCs/>
          <w:lang w:val="en-GB"/>
        </w:rPr>
        <w:t xml:space="preserve"> definition of universal health coverage embodies three related objectives:</w:t>
      </w:r>
    </w:p>
    <w:p w:rsidR="000A442E" w:rsidRPr="009A6F69" w:rsidRDefault="00914441" w:rsidP="00F064CC">
      <w:pPr>
        <w:pStyle w:val="ListParagraph"/>
        <w:numPr>
          <w:ilvl w:val="0"/>
          <w:numId w:val="3"/>
        </w:numPr>
        <w:spacing w:line="240" w:lineRule="auto"/>
        <w:rPr>
          <w:bCs/>
          <w:lang w:val="en-GB"/>
        </w:rPr>
      </w:pPr>
      <w:r w:rsidRPr="009A6F69">
        <w:rPr>
          <w:bCs/>
          <w:lang w:val="en-GB"/>
        </w:rPr>
        <w:t>Equity</w:t>
      </w:r>
      <w:r w:rsidR="000A442E" w:rsidRPr="009A6F69">
        <w:rPr>
          <w:bCs/>
          <w:lang w:val="en-GB"/>
        </w:rPr>
        <w:t xml:space="preserve"> in access to health services - those who need the services should get them, not only those who can pay for them;</w:t>
      </w:r>
    </w:p>
    <w:p w:rsidR="000A442E" w:rsidRPr="009A6F69" w:rsidRDefault="00914441" w:rsidP="00F064CC">
      <w:pPr>
        <w:pStyle w:val="ListParagraph"/>
        <w:numPr>
          <w:ilvl w:val="0"/>
          <w:numId w:val="3"/>
        </w:numPr>
        <w:spacing w:line="240" w:lineRule="auto"/>
        <w:rPr>
          <w:bCs/>
          <w:lang w:val="en-GB"/>
        </w:rPr>
      </w:pPr>
      <w:r w:rsidRPr="009A6F69">
        <w:rPr>
          <w:bCs/>
          <w:lang w:val="en-GB"/>
        </w:rPr>
        <w:t>T</w:t>
      </w:r>
      <w:r w:rsidR="000A442E" w:rsidRPr="009A6F69">
        <w:rPr>
          <w:bCs/>
          <w:lang w:val="en-GB"/>
        </w:rPr>
        <w:t xml:space="preserve">he quality of health services is good enough to improve the health of those receiving services; and </w:t>
      </w:r>
    </w:p>
    <w:p w:rsidR="000A442E" w:rsidRPr="009A6F69" w:rsidRDefault="00914441" w:rsidP="00F064CC">
      <w:pPr>
        <w:pStyle w:val="ListParagraph"/>
        <w:numPr>
          <w:ilvl w:val="0"/>
          <w:numId w:val="3"/>
        </w:numPr>
        <w:spacing w:line="240" w:lineRule="auto"/>
        <w:rPr>
          <w:bCs/>
          <w:lang w:val="en-GB"/>
        </w:rPr>
      </w:pPr>
      <w:r w:rsidRPr="009A6F69">
        <w:rPr>
          <w:bCs/>
          <w:lang w:val="en-GB"/>
        </w:rPr>
        <w:t>Financial</w:t>
      </w:r>
      <w:r w:rsidR="000A442E" w:rsidRPr="009A6F69">
        <w:rPr>
          <w:bCs/>
          <w:lang w:val="en-GB"/>
        </w:rPr>
        <w:t>-risk protection - ensuring that the cost of using care does not put people at risk of financial hardship</w:t>
      </w:r>
      <w:r w:rsidR="001B3B9E" w:rsidRPr="009A6F69">
        <w:rPr>
          <w:bCs/>
          <w:lang w:val="en-GB"/>
        </w:rPr>
        <w:fldChar w:fldCharType="begin" w:fldLock="1"/>
      </w:r>
      <w:r w:rsidR="004F4010">
        <w:rPr>
          <w:bCs/>
          <w:lang w:val="en-GB"/>
        </w:rPr>
        <w:instrText>ADDIN CSL_CITATION { "citationItems" : [ { "id" : "ITEM-1", "itemData" : { "author" : [ { "dropping-particle" : "", "family" : "World Health Organization", "given" : "", "non-dropping-particle" : "", "parse-names" : false, "suffix" : "" } ], "id" : "ITEM-1", "issued" : { "date-parts" : [ [ "2010" ] ] }, "publisher-place" : "Geneva", "title" : "The World Health Report. HEALTH SYSTEMS FINANCING: the path to universal coverage", "type" : "report" }, "uris" : [ "http://www.mendeley.com/documents/?uuid=354916a5-43b2-447c-a760-3f23eb8b173e" ] } ], "mendeley" : { "previouslyFormattedCitation" : "(World Health Organization, 2010)" }, "properties" : { "noteIndex" : 0 }, "schema" : "https://github.com/citation-style-language/schema/raw/master/csl-citation.json" }</w:instrText>
      </w:r>
      <w:r w:rsidR="001B3B9E" w:rsidRPr="009A6F69">
        <w:rPr>
          <w:bCs/>
          <w:lang w:val="en-GB"/>
        </w:rPr>
        <w:fldChar w:fldCharType="separate"/>
      </w:r>
      <w:r w:rsidR="00F040F8" w:rsidRPr="009A6F69">
        <w:rPr>
          <w:bCs/>
          <w:noProof/>
          <w:lang w:val="en-GB"/>
        </w:rPr>
        <w:t>(World Health Organization, 2010)</w:t>
      </w:r>
      <w:r w:rsidR="001B3B9E" w:rsidRPr="009A6F69">
        <w:rPr>
          <w:bCs/>
          <w:lang w:val="en-GB"/>
        </w:rPr>
        <w:fldChar w:fldCharType="end"/>
      </w:r>
      <w:r w:rsidR="000A442E" w:rsidRPr="009A6F69">
        <w:rPr>
          <w:bCs/>
          <w:lang w:val="en-GB"/>
        </w:rPr>
        <w:t xml:space="preserve">. </w:t>
      </w:r>
    </w:p>
    <w:p w:rsidR="000F7CCA" w:rsidRPr="009A6F69" w:rsidRDefault="000F7CCA" w:rsidP="00F064CC">
      <w:pPr>
        <w:pStyle w:val="ListParagraph"/>
        <w:spacing w:line="240" w:lineRule="auto"/>
        <w:ind w:left="360"/>
        <w:rPr>
          <w:bCs/>
          <w:lang w:val="en-GB"/>
        </w:rPr>
      </w:pPr>
    </w:p>
    <w:p w:rsidR="00E245B2" w:rsidRPr="009A6F69" w:rsidRDefault="008D67B4" w:rsidP="00F064CC">
      <w:pPr>
        <w:rPr>
          <w:lang w:val="en-GB"/>
        </w:rPr>
      </w:pPr>
      <w:r w:rsidRPr="009A6F69">
        <w:rPr>
          <w:lang w:val="en-GB"/>
        </w:rPr>
        <w:lastRenderedPageBreak/>
        <w:t xml:space="preserve">Universal coverage is analyzed in terms of breadth, depth, and height, with breadth indicating coverage in terms of population; depth indicating coverage in terms of services provided; and height indicating coverage in terms of the extent of financial protection. </w:t>
      </w:r>
    </w:p>
    <w:p w:rsidR="00E245B2" w:rsidRPr="009A6F69" w:rsidRDefault="00E245B2" w:rsidP="00A364E7">
      <w:pPr>
        <w:pStyle w:val="Heading1"/>
        <w:rPr>
          <w:lang w:val="en-GB"/>
        </w:rPr>
      </w:pPr>
      <w:bookmarkStart w:id="5" w:name="_Toc254256119"/>
      <w:r w:rsidRPr="009A6F69">
        <w:rPr>
          <w:lang w:val="en-GB"/>
        </w:rPr>
        <w:t>Broad Objectives of Assignment</w:t>
      </w:r>
      <w:bookmarkEnd w:id="5"/>
    </w:p>
    <w:p w:rsidR="001A19F2" w:rsidRPr="009A6F69" w:rsidRDefault="001A19F2" w:rsidP="001A19F2">
      <w:pPr>
        <w:rPr>
          <w:lang w:val="en-GB"/>
        </w:rPr>
      </w:pPr>
      <w:r w:rsidRPr="009A6F69">
        <w:rPr>
          <w:lang w:val="en-GB"/>
        </w:rPr>
        <w:t>The overall aim of the proposed assignment is to collate and synthesize information on the current situation, and possible future alternatives relating to Universal Coverage framework for Kenya, which would then guide development of the strategy and road map for attaining Universal Coverage</w:t>
      </w:r>
      <w:r w:rsidR="00D96976" w:rsidRPr="009A6F69">
        <w:rPr>
          <w:lang w:val="en-GB"/>
        </w:rPr>
        <w:t xml:space="preserve"> in its three dimensions of:</w:t>
      </w:r>
    </w:p>
    <w:p w:rsidR="001A19F2" w:rsidRPr="009A6F69" w:rsidRDefault="001D730E" w:rsidP="001A19F2">
      <w:pPr>
        <w:rPr>
          <w:lang w:val="en-GB"/>
        </w:rPr>
      </w:pPr>
      <w:r w:rsidRPr="009A6F69">
        <w:rPr>
          <w:lang w:val="en-GB"/>
        </w:rPr>
        <w:t>1)</w:t>
      </w:r>
      <w:r w:rsidR="008447BD" w:rsidRPr="009A6F69">
        <w:rPr>
          <w:lang w:val="en-GB"/>
        </w:rPr>
        <w:t xml:space="preserve"> </w:t>
      </w:r>
      <w:r w:rsidRPr="009A6F69">
        <w:rPr>
          <w:lang w:val="en-GB"/>
        </w:rPr>
        <w:t>Population</w:t>
      </w:r>
      <w:r w:rsidR="001A19F2" w:rsidRPr="009A6F69">
        <w:rPr>
          <w:lang w:val="en-GB"/>
        </w:rPr>
        <w:t xml:space="preserve"> coverage</w:t>
      </w:r>
      <w:r w:rsidRPr="009A6F69">
        <w:rPr>
          <w:lang w:val="en-GB"/>
        </w:rPr>
        <w:t>; 2) Services and; 3) Direct</w:t>
      </w:r>
      <w:r w:rsidR="001A19F2" w:rsidRPr="009A6F69">
        <w:rPr>
          <w:lang w:val="en-GB"/>
        </w:rPr>
        <w:t xml:space="preserve"> costs.</w:t>
      </w:r>
    </w:p>
    <w:p w:rsidR="00E245B2" w:rsidRPr="009A6F69" w:rsidRDefault="00E245B2" w:rsidP="00A36E47">
      <w:pPr>
        <w:pStyle w:val="Heading2"/>
        <w:rPr>
          <w:lang w:val="en-GB"/>
        </w:rPr>
      </w:pPr>
      <w:bookmarkStart w:id="6" w:name="_Toc254256120"/>
      <w:r w:rsidRPr="009A6F69">
        <w:rPr>
          <w:lang w:val="en-GB"/>
        </w:rPr>
        <w:t>Specific Objectives</w:t>
      </w:r>
      <w:bookmarkEnd w:id="6"/>
    </w:p>
    <w:p w:rsidR="00A36E47" w:rsidRPr="009A6F69" w:rsidRDefault="00A36E47" w:rsidP="00A36E47">
      <w:pPr>
        <w:rPr>
          <w:lang w:val="en-GB"/>
        </w:rPr>
      </w:pPr>
      <w:r w:rsidRPr="009A6F69">
        <w:rPr>
          <w:lang w:val="en-GB"/>
        </w:rPr>
        <w:t>The specific objectives of the assignment will be to:</w:t>
      </w:r>
    </w:p>
    <w:p w:rsidR="00A36E47" w:rsidRPr="009A6F69" w:rsidRDefault="00890DDE" w:rsidP="00A36E47">
      <w:pPr>
        <w:numPr>
          <w:ilvl w:val="0"/>
          <w:numId w:val="1"/>
        </w:numPr>
        <w:rPr>
          <w:lang w:val="en-GB"/>
        </w:rPr>
      </w:pPr>
      <w:r w:rsidRPr="009A6F69">
        <w:rPr>
          <w:lang w:val="en-GB"/>
        </w:rPr>
        <w:t>Conduct a comprehensive situation a</w:t>
      </w:r>
      <w:r w:rsidR="00A36E47" w:rsidRPr="009A6F69">
        <w:rPr>
          <w:lang w:val="en-GB"/>
        </w:rPr>
        <w:t xml:space="preserve">nalysis </w:t>
      </w:r>
      <w:r w:rsidRPr="009A6F69">
        <w:rPr>
          <w:lang w:val="en-GB"/>
        </w:rPr>
        <w:t xml:space="preserve">of the status of universal coverage in Kenya with regard to aspects of equity, and access, and the scope of services under the Kenya essential package of health. </w:t>
      </w:r>
    </w:p>
    <w:p w:rsidR="00F542B9" w:rsidRPr="009A6F69" w:rsidRDefault="00F542B9" w:rsidP="00A36E47">
      <w:pPr>
        <w:numPr>
          <w:ilvl w:val="0"/>
          <w:numId w:val="1"/>
        </w:numPr>
        <w:rPr>
          <w:lang w:val="en-GB"/>
        </w:rPr>
      </w:pPr>
      <w:r w:rsidRPr="009A6F69">
        <w:rPr>
          <w:rFonts w:cs="Calibri"/>
          <w:lang w:val="en-GB"/>
        </w:rPr>
        <w:t>Assess different schemes currently offering the entire Kenya Essential Package of Health or a part of the defined KEPH services and assess which services of the KEPH are currently used by which share of the population</w:t>
      </w:r>
      <w:r w:rsidR="00507581" w:rsidRPr="009A6F69">
        <w:rPr>
          <w:rFonts w:cs="Calibri"/>
          <w:lang w:val="en-GB"/>
        </w:rPr>
        <w:t>.</w:t>
      </w:r>
    </w:p>
    <w:p w:rsidR="00B80550" w:rsidRPr="009A6F69" w:rsidRDefault="001A19F2" w:rsidP="0046231A">
      <w:pPr>
        <w:numPr>
          <w:ilvl w:val="0"/>
          <w:numId w:val="2"/>
        </w:numPr>
        <w:rPr>
          <w:lang w:val="en-GB"/>
        </w:rPr>
      </w:pPr>
      <w:r w:rsidRPr="009A6F69">
        <w:rPr>
          <w:lang w:val="en-GB"/>
        </w:rPr>
        <w:t>Propose a set of options the Country can apply across the different elements of the Universal Coverage Conceptual Framework to achieve the goal of UHC in the different aspects as defined by the Kenyan Health Financing Policy.</w:t>
      </w:r>
    </w:p>
    <w:p w:rsidR="001B5A07" w:rsidRPr="009A6F69" w:rsidRDefault="001B5A07" w:rsidP="001B5A07">
      <w:pPr>
        <w:numPr>
          <w:ilvl w:val="0"/>
          <w:numId w:val="2"/>
        </w:numPr>
        <w:rPr>
          <w:lang w:val="en-GB"/>
        </w:rPr>
      </w:pPr>
      <w:r w:rsidRPr="009A6F69">
        <w:rPr>
          <w:lang w:val="en-GB"/>
        </w:rPr>
        <w:t>Propose a minimum benefit package for Kenya on the basis of the analysis, also using the data collected and generated under various pilots such as HAKI, DCM, OBA, CBHI, micro-health insurance schemes etc.</w:t>
      </w:r>
    </w:p>
    <w:p w:rsidR="00B300BF" w:rsidRPr="009A6F69" w:rsidRDefault="00B300BF" w:rsidP="00B300BF">
      <w:pPr>
        <w:rPr>
          <w:lang w:val="en-GB"/>
        </w:rPr>
      </w:pPr>
    </w:p>
    <w:p w:rsidR="00E245B2" w:rsidRPr="009A6F69" w:rsidRDefault="00E245B2" w:rsidP="00A364E7">
      <w:pPr>
        <w:pStyle w:val="Heading1"/>
        <w:rPr>
          <w:lang w:val="en-GB"/>
        </w:rPr>
      </w:pPr>
      <w:bookmarkStart w:id="7" w:name="_Toc254256121"/>
      <w:r w:rsidRPr="009A6F69">
        <w:rPr>
          <w:lang w:val="en-GB"/>
        </w:rPr>
        <w:lastRenderedPageBreak/>
        <w:t>Methodology (Proposed Approach)</w:t>
      </w:r>
      <w:bookmarkEnd w:id="7"/>
    </w:p>
    <w:p w:rsidR="00E80EBC" w:rsidRPr="009A6F69" w:rsidRDefault="00E80EBC" w:rsidP="00314977">
      <w:pPr>
        <w:rPr>
          <w:lang w:val="en-GB"/>
        </w:rPr>
      </w:pPr>
      <w:r w:rsidRPr="009A6F69">
        <w:rPr>
          <w:lang w:val="en-GB"/>
        </w:rPr>
        <w:t>In conducting the situational analysis two methods will be used; a review of existing literature and key informant interviews.</w:t>
      </w:r>
    </w:p>
    <w:p w:rsidR="00F34174" w:rsidRPr="009A6F69" w:rsidRDefault="000A2610" w:rsidP="00314977">
      <w:pPr>
        <w:rPr>
          <w:lang w:val="en-GB"/>
        </w:rPr>
      </w:pPr>
      <w:r w:rsidRPr="009A6F69">
        <w:rPr>
          <w:lang w:val="en-GB"/>
        </w:rPr>
        <w:t>The r</w:t>
      </w:r>
      <w:r w:rsidR="009645BB" w:rsidRPr="009A6F69">
        <w:rPr>
          <w:lang w:val="en-GB"/>
        </w:rPr>
        <w:t xml:space="preserve">eview of existing documents </w:t>
      </w:r>
      <w:r w:rsidRPr="009A6F69">
        <w:rPr>
          <w:lang w:val="en-GB"/>
        </w:rPr>
        <w:t>will include both published and grey literature. For published literature a</w:t>
      </w:r>
      <w:r w:rsidR="00F34174" w:rsidRPr="009A6F69">
        <w:rPr>
          <w:lang w:val="en-GB"/>
        </w:rPr>
        <w:t xml:space="preserve">n </w:t>
      </w:r>
      <w:r w:rsidR="001438E3" w:rsidRPr="009A6F69">
        <w:rPr>
          <w:lang w:val="en-GB"/>
        </w:rPr>
        <w:t>Internet</w:t>
      </w:r>
      <w:r w:rsidR="00F34174" w:rsidRPr="009A6F69">
        <w:rPr>
          <w:lang w:val="en-GB"/>
        </w:rPr>
        <w:t xml:space="preserve"> search of </w:t>
      </w:r>
      <w:proofErr w:type="spellStart"/>
      <w:r w:rsidR="001438E3" w:rsidRPr="009A6F69">
        <w:rPr>
          <w:lang w:val="en-GB"/>
        </w:rPr>
        <w:t>PubMed</w:t>
      </w:r>
      <w:proofErr w:type="spellEnd"/>
      <w:r w:rsidR="00F34174" w:rsidRPr="009A6F69">
        <w:rPr>
          <w:lang w:val="en-GB"/>
        </w:rPr>
        <w:t xml:space="preserve"> and </w:t>
      </w:r>
      <w:r w:rsidR="001438E3" w:rsidRPr="009A6F69">
        <w:rPr>
          <w:lang w:val="en-GB"/>
        </w:rPr>
        <w:t>Google</w:t>
      </w:r>
      <w:r w:rsidR="00F34174" w:rsidRPr="009A6F69">
        <w:rPr>
          <w:lang w:val="en-GB"/>
        </w:rPr>
        <w:t xml:space="preserve"> search </w:t>
      </w:r>
      <w:r w:rsidRPr="009A6F69">
        <w:rPr>
          <w:lang w:val="en-GB"/>
        </w:rPr>
        <w:t xml:space="preserve">will be conducted </w:t>
      </w:r>
      <w:r w:rsidR="00F34174" w:rsidRPr="009A6F69">
        <w:rPr>
          <w:lang w:val="en-GB"/>
        </w:rPr>
        <w:t>using MESH Terms</w:t>
      </w:r>
      <w:r w:rsidRPr="009A6F69">
        <w:rPr>
          <w:lang w:val="en-GB"/>
        </w:rPr>
        <w:t>.</w:t>
      </w:r>
      <w:r w:rsidR="00F34174" w:rsidRPr="009A6F69">
        <w:rPr>
          <w:lang w:val="en-GB"/>
        </w:rPr>
        <w:t xml:space="preserve"> </w:t>
      </w:r>
      <w:r w:rsidR="00CE177F" w:rsidRPr="009A6F69">
        <w:rPr>
          <w:lang w:val="en-GB"/>
        </w:rPr>
        <w:t>The</w:t>
      </w:r>
      <w:r w:rsidR="00F34174" w:rsidRPr="009A6F69">
        <w:rPr>
          <w:lang w:val="en-GB"/>
        </w:rPr>
        <w:t xml:space="preserve"> review of grey literature including government and stakeholder reports, conference proceedings</w:t>
      </w:r>
      <w:r w:rsidR="00CE177F" w:rsidRPr="009A6F69">
        <w:rPr>
          <w:lang w:val="en-GB"/>
        </w:rPr>
        <w:t>,</w:t>
      </w:r>
      <w:r w:rsidR="00F34174" w:rsidRPr="009A6F69">
        <w:rPr>
          <w:lang w:val="en-GB"/>
        </w:rPr>
        <w:t xml:space="preserve"> evaluation reports, and university abstracts.</w:t>
      </w:r>
      <w:r w:rsidR="00CE177F" w:rsidRPr="009A6F69">
        <w:rPr>
          <w:lang w:val="en-GB"/>
        </w:rPr>
        <w:t xml:space="preserve"> The consultant will rely on members of the UHC technical working group (TWG) to identify and provide grey literature</w:t>
      </w:r>
      <w:r w:rsidRPr="009A6F69">
        <w:rPr>
          <w:lang w:val="en-GB"/>
        </w:rPr>
        <w:t>. The bibliography of review</w:t>
      </w:r>
      <w:r w:rsidR="00635460" w:rsidRPr="009A6F69">
        <w:rPr>
          <w:lang w:val="en-GB"/>
        </w:rPr>
        <w:t>ed documents is found in</w:t>
      </w:r>
      <w:r w:rsidR="001438E3" w:rsidRPr="009A6F69">
        <w:rPr>
          <w:lang w:val="en-GB"/>
        </w:rPr>
        <w:t xml:space="preserve"> appendix</w:t>
      </w:r>
      <w:r w:rsidR="00635460" w:rsidRPr="009A6F69">
        <w:rPr>
          <w:lang w:val="en-GB"/>
        </w:rPr>
        <w:t>.</w:t>
      </w:r>
    </w:p>
    <w:p w:rsidR="00424192" w:rsidRPr="009A6F69" w:rsidRDefault="00424192" w:rsidP="00505493">
      <w:pPr>
        <w:rPr>
          <w:lang w:val="en-GB"/>
        </w:rPr>
      </w:pPr>
    </w:p>
    <w:p w:rsidR="00314977" w:rsidRPr="009A6F69" w:rsidRDefault="00505493" w:rsidP="00314977">
      <w:pPr>
        <w:rPr>
          <w:lang w:val="en-GB"/>
        </w:rPr>
      </w:pPr>
      <w:r w:rsidRPr="009A6F69">
        <w:rPr>
          <w:lang w:val="en-GB"/>
        </w:rPr>
        <w:t>Key informant interviews will be done with the actors involved in healthcare financing, health care provision, health policy in Kenya</w:t>
      </w:r>
      <w:r w:rsidR="005D24E0" w:rsidRPr="009A6F69">
        <w:rPr>
          <w:lang w:val="en-GB"/>
        </w:rPr>
        <w:t xml:space="preserve"> operating primarily at national level. </w:t>
      </w:r>
      <w:r w:rsidR="00E47C55" w:rsidRPr="009A6F69">
        <w:rPr>
          <w:lang w:val="en-GB"/>
        </w:rPr>
        <w:t>Interviews will be carried out to capture informants’ views on; equity of access, quality of health services and financial risk protection at the national and program level</w:t>
      </w:r>
      <w:r w:rsidR="00553EBB" w:rsidRPr="009A6F69">
        <w:rPr>
          <w:lang w:val="en-GB"/>
        </w:rPr>
        <w:t>.</w:t>
      </w:r>
      <w:r w:rsidR="00192B81" w:rsidRPr="009A6F69">
        <w:rPr>
          <w:lang w:val="en-GB"/>
        </w:rPr>
        <w:t xml:space="preserve"> The primary objective </w:t>
      </w:r>
      <w:r w:rsidR="00714283" w:rsidRPr="009A6F69">
        <w:rPr>
          <w:lang w:val="en-GB"/>
        </w:rPr>
        <w:t xml:space="preserve">will be </w:t>
      </w:r>
      <w:r w:rsidR="00192B81" w:rsidRPr="009A6F69">
        <w:rPr>
          <w:lang w:val="en-GB"/>
        </w:rPr>
        <w:t xml:space="preserve">providing a sense of stakeholder concerns and interests concerning the broad policy direction of reforms </w:t>
      </w:r>
      <w:r w:rsidR="00AE25B3" w:rsidRPr="009A6F69">
        <w:rPr>
          <w:lang w:val="en-GB"/>
        </w:rPr>
        <w:t xml:space="preserve">on UHC </w:t>
      </w:r>
      <w:r w:rsidR="00192B81" w:rsidRPr="009A6F69">
        <w:rPr>
          <w:lang w:val="en-GB"/>
        </w:rPr>
        <w:t>that would promote health system equity</w:t>
      </w:r>
      <w:r w:rsidR="00AE25B3" w:rsidRPr="009A6F69">
        <w:rPr>
          <w:lang w:val="en-GB"/>
        </w:rPr>
        <w:t>, quality of care and financial risk protection</w:t>
      </w:r>
      <w:r w:rsidR="00192B81" w:rsidRPr="009A6F69">
        <w:rPr>
          <w:lang w:val="en-GB"/>
        </w:rPr>
        <w:t>.</w:t>
      </w:r>
    </w:p>
    <w:p w:rsidR="00B56D60" w:rsidRPr="009A6F69" w:rsidRDefault="00553EBB" w:rsidP="00C53E77">
      <w:pPr>
        <w:rPr>
          <w:lang w:val="en-GB"/>
        </w:rPr>
      </w:pPr>
      <w:r w:rsidRPr="009A6F69">
        <w:rPr>
          <w:lang w:val="en-GB"/>
        </w:rPr>
        <w:t>The</w:t>
      </w:r>
      <w:r w:rsidR="00314977" w:rsidRPr="009A6F69">
        <w:rPr>
          <w:lang w:val="en-GB"/>
        </w:rPr>
        <w:t xml:space="preserve"> situation</w:t>
      </w:r>
      <w:r w:rsidRPr="009A6F69">
        <w:rPr>
          <w:lang w:val="en-GB"/>
        </w:rPr>
        <w:t xml:space="preserve"> analysis, will </w:t>
      </w:r>
      <w:r w:rsidR="000D20B3" w:rsidRPr="009A6F69">
        <w:rPr>
          <w:lang w:val="en-GB"/>
        </w:rPr>
        <w:t>endeavour</w:t>
      </w:r>
      <w:r w:rsidRPr="009A6F69">
        <w:rPr>
          <w:lang w:val="en-GB"/>
        </w:rPr>
        <w:t xml:space="preserve"> to define the current context, contextual factors and other direct or indirect factors that </w:t>
      </w:r>
      <w:r w:rsidR="008F4604" w:rsidRPr="009A6F69">
        <w:rPr>
          <w:lang w:val="en-GB"/>
        </w:rPr>
        <w:t>have contributed;</w:t>
      </w:r>
      <w:r w:rsidRPr="009A6F69">
        <w:rPr>
          <w:lang w:val="en-GB"/>
        </w:rPr>
        <w:t xml:space="preserve"> Define the current problem and the gap</w:t>
      </w:r>
      <w:r w:rsidR="008F4604" w:rsidRPr="009A6F69">
        <w:rPr>
          <w:lang w:val="en-GB"/>
        </w:rPr>
        <w:t xml:space="preserve"> that exists and what is needed;</w:t>
      </w:r>
      <w:r w:rsidRPr="009A6F69">
        <w:rPr>
          <w:lang w:val="en-GB"/>
        </w:rPr>
        <w:t xml:space="preserve"> Identify research that can identify significant features of the defined policy problem</w:t>
      </w:r>
      <w:r w:rsidR="001B3B9E" w:rsidRPr="009A6F69">
        <w:rPr>
          <w:lang w:val="en-GB"/>
        </w:rPr>
        <w:fldChar w:fldCharType="begin" w:fldLock="1"/>
      </w:r>
      <w:r w:rsidR="004F4010">
        <w:rPr>
          <w:lang w:val="en-GB"/>
        </w:rPr>
        <w:instrText>ADDIN CSL_CITATION { "citationItems" : [ { "id" : "ITEM-1", "itemData" : { "DOI" : "10.1016/j.puhe.2004.03.006", "author" : [ { "dropping-particle" : "", "family" : "Collins", "given" : "T", "non-dropping-particle" : "", "parse-names" : false, "suffix" : "" } ], "container-title" : "Health Policy", "id" : "ITEM-1", "issued" : { "date-parts" : [ [ "2005" ] ] }, "page" : "192-196", "title" : "Health policy analysis : a simple tool for policy makers", "type" : "article-journal" }, "uris" : [ "http://www.mendeley.com/documents/?uuid=f3c0b3df-de86-4055-8bf0-b3b35b849386" ] } ], "mendeley" : { "previouslyFormattedCitation" : "(Collins, 2005)" }, "properties" : { "noteIndex" : 0 }, "schema" : "https://github.com/citation-style-language/schema/raw/master/csl-citation.json" }</w:instrText>
      </w:r>
      <w:r w:rsidR="001B3B9E" w:rsidRPr="009A6F69">
        <w:rPr>
          <w:lang w:val="en-GB"/>
        </w:rPr>
        <w:fldChar w:fldCharType="separate"/>
      </w:r>
      <w:r w:rsidR="00D3292D" w:rsidRPr="009A6F69">
        <w:rPr>
          <w:noProof/>
          <w:lang w:val="en-GB"/>
        </w:rPr>
        <w:t>(Collins, 2005)</w:t>
      </w:r>
      <w:r w:rsidR="001B3B9E" w:rsidRPr="009A6F69">
        <w:rPr>
          <w:lang w:val="en-GB"/>
        </w:rPr>
        <w:fldChar w:fldCharType="end"/>
      </w:r>
      <w:r w:rsidRPr="009A6F69">
        <w:rPr>
          <w:lang w:val="en-GB"/>
        </w:rPr>
        <w:t xml:space="preserve">. </w:t>
      </w:r>
    </w:p>
    <w:p w:rsidR="009645BB" w:rsidRPr="009A6F69" w:rsidRDefault="003B392A" w:rsidP="009645BB">
      <w:pPr>
        <w:pStyle w:val="Heading1"/>
        <w:rPr>
          <w:lang w:val="en-GB"/>
        </w:rPr>
      </w:pPr>
      <w:bookmarkStart w:id="8" w:name="_Toc254256122"/>
      <w:r w:rsidRPr="009A6F69">
        <w:rPr>
          <w:lang w:val="en-GB"/>
        </w:rPr>
        <w:t>Expected d</w:t>
      </w:r>
      <w:r w:rsidR="009645BB" w:rsidRPr="009A6F69">
        <w:rPr>
          <w:lang w:val="en-GB"/>
        </w:rPr>
        <w:t xml:space="preserve">eliverables </w:t>
      </w:r>
      <w:r w:rsidRPr="009A6F69">
        <w:rPr>
          <w:lang w:val="en-GB"/>
        </w:rPr>
        <w:t>of the assignment</w:t>
      </w:r>
      <w:bookmarkEnd w:id="8"/>
      <w:r w:rsidRPr="009A6F69">
        <w:rPr>
          <w:lang w:val="en-GB"/>
        </w:rPr>
        <w:t xml:space="preserve"> </w:t>
      </w:r>
    </w:p>
    <w:p w:rsidR="009645BB" w:rsidRPr="009A6F69" w:rsidRDefault="00963B6D" w:rsidP="0046231A">
      <w:pPr>
        <w:pStyle w:val="ListParagraph"/>
        <w:numPr>
          <w:ilvl w:val="0"/>
          <w:numId w:val="2"/>
        </w:numPr>
        <w:rPr>
          <w:lang w:val="en-GB"/>
        </w:rPr>
      </w:pPr>
      <w:r w:rsidRPr="009A6F69">
        <w:rPr>
          <w:lang w:val="en-GB"/>
        </w:rPr>
        <w:t>Inception Report</w:t>
      </w:r>
    </w:p>
    <w:p w:rsidR="00963B6D" w:rsidRPr="009A6F69" w:rsidRDefault="00963B6D" w:rsidP="0046231A">
      <w:pPr>
        <w:pStyle w:val="ListParagraph"/>
        <w:numPr>
          <w:ilvl w:val="0"/>
          <w:numId w:val="2"/>
        </w:numPr>
        <w:rPr>
          <w:lang w:val="en-GB"/>
        </w:rPr>
      </w:pPr>
      <w:r w:rsidRPr="009A6F69">
        <w:rPr>
          <w:lang w:val="en-GB"/>
        </w:rPr>
        <w:t xml:space="preserve">Draft </w:t>
      </w:r>
      <w:r w:rsidR="0020434A" w:rsidRPr="009A6F69">
        <w:rPr>
          <w:lang w:val="en-GB"/>
        </w:rPr>
        <w:t>Report</w:t>
      </w:r>
    </w:p>
    <w:p w:rsidR="006F5E40" w:rsidRPr="009A6F69" w:rsidRDefault="00963B6D" w:rsidP="0046231A">
      <w:pPr>
        <w:pStyle w:val="ListParagraph"/>
        <w:numPr>
          <w:ilvl w:val="0"/>
          <w:numId w:val="2"/>
        </w:numPr>
        <w:rPr>
          <w:lang w:val="en-GB"/>
        </w:rPr>
      </w:pPr>
      <w:r w:rsidRPr="009A6F69">
        <w:rPr>
          <w:lang w:val="en-GB"/>
        </w:rPr>
        <w:t>Final Report</w:t>
      </w:r>
    </w:p>
    <w:p w:rsidR="006F5E40" w:rsidRPr="009A6F69" w:rsidRDefault="006F5E40" w:rsidP="00C53E77">
      <w:pPr>
        <w:rPr>
          <w:lang w:val="en-GB"/>
        </w:rPr>
      </w:pPr>
    </w:p>
    <w:p w:rsidR="00C53E77" w:rsidRPr="009A6F69" w:rsidRDefault="00C53E77" w:rsidP="00794388">
      <w:pPr>
        <w:pStyle w:val="Heading3"/>
        <w:rPr>
          <w:lang w:val="en-GB"/>
        </w:rPr>
      </w:pPr>
      <w:bookmarkStart w:id="9" w:name="_Toc254256123"/>
      <w:r w:rsidRPr="009A6F69">
        <w:rPr>
          <w:lang w:val="en-GB"/>
        </w:rPr>
        <w:lastRenderedPageBreak/>
        <w:t>Sampling Strategy</w:t>
      </w:r>
      <w:r w:rsidR="005179E7" w:rsidRPr="009A6F69">
        <w:rPr>
          <w:lang w:val="en-GB"/>
        </w:rPr>
        <w:t xml:space="preserve"> and data collection</w:t>
      </w:r>
      <w:bookmarkEnd w:id="9"/>
    </w:p>
    <w:p w:rsidR="005179E7" w:rsidRPr="009A6F69" w:rsidRDefault="007842BA" w:rsidP="007842BA">
      <w:pPr>
        <w:rPr>
          <w:lang w:val="en-GB"/>
        </w:rPr>
      </w:pPr>
      <w:r w:rsidRPr="009A6F69">
        <w:rPr>
          <w:lang w:val="en-GB"/>
        </w:rPr>
        <w:t xml:space="preserve">The sampling </w:t>
      </w:r>
      <w:r w:rsidR="00F2330E" w:rsidRPr="009A6F69">
        <w:rPr>
          <w:lang w:val="en-GB"/>
        </w:rPr>
        <w:t>for the key informant interviews will be purposive</w:t>
      </w:r>
      <w:r w:rsidR="00E47C55" w:rsidRPr="009A6F69">
        <w:rPr>
          <w:lang w:val="en-GB"/>
        </w:rPr>
        <w:t>.</w:t>
      </w:r>
      <w:r w:rsidR="009A379C" w:rsidRPr="009A6F69">
        <w:rPr>
          <w:lang w:val="en-GB"/>
        </w:rPr>
        <w:t xml:space="preserve"> </w:t>
      </w:r>
      <w:r w:rsidR="0096274A" w:rsidRPr="009A6F69">
        <w:rPr>
          <w:lang w:val="en-GB"/>
        </w:rPr>
        <w:t xml:space="preserve">Key informants will be persons who have unique skills or professional background related to the issue of universal coverage in healthcare. </w:t>
      </w:r>
      <w:r w:rsidR="004C6CF3" w:rsidRPr="009A6F69">
        <w:rPr>
          <w:lang w:val="en-GB"/>
        </w:rPr>
        <w:t xml:space="preserve">It is expected that about 15 interviews will be conducted. </w:t>
      </w:r>
      <w:r w:rsidR="009A379C" w:rsidRPr="009A6F69">
        <w:rPr>
          <w:lang w:val="en-GB"/>
        </w:rPr>
        <w:t>A list of proposed interviewees is included in appendix</w:t>
      </w:r>
      <w:r w:rsidR="00C346D1" w:rsidRPr="009A6F69">
        <w:rPr>
          <w:lang w:val="en-GB"/>
        </w:rPr>
        <w:t>.</w:t>
      </w:r>
      <w:r w:rsidR="005179E7" w:rsidRPr="009A6F69">
        <w:rPr>
          <w:lang w:val="en-GB"/>
        </w:rPr>
        <w:t xml:space="preserve"> Kenya informant interviewees will be contacted first by letter and phone and appointments set up. Interviews are expected to take no more than 30-45 minutes each. </w:t>
      </w:r>
    </w:p>
    <w:p w:rsidR="005179E7" w:rsidRPr="009A6F69" w:rsidRDefault="005179E7" w:rsidP="005F452A">
      <w:pPr>
        <w:pStyle w:val="Heading3"/>
        <w:rPr>
          <w:lang w:val="en-GB"/>
        </w:rPr>
      </w:pPr>
      <w:bookmarkStart w:id="10" w:name="_Toc254256124"/>
      <w:r w:rsidRPr="009A6F69">
        <w:rPr>
          <w:lang w:val="en-GB"/>
        </w:rPr>
        <w:t>Data Analysis</w:t>
      </w:r>
      <w:bookmarkEnd w:id="10"/>
      <w:r w:rsidRPr="009A6F69">
        <w:rPr>
          <w:lang w:val="en-GB"/>
        </w:rPr>
        <w:t xml:space="preserve"> </w:t>
      </w:r>
    </w:p>
    <w:p w:rsidR="000850B7" w:rsidRPr="009A6F69" w:rsidRDefault="00712734">
      <w:pPr>
        <w:rPr>
          <w:rFonts w:asciiTheme="majorHAnsi" w:eastAsiaTheme="majorEastAsia" w:hAnsiTheme="majorHAnsi" w:cstheme="majorBidi"/>
          <w:b/>
          <w:bCs/>
          <w:sz w:val="28"/>
          <w:szCs w:val="28"/>
          <w:lang w:val="en-GB"/>
        </w:rPr>
      </w:pPr>
      <w:r w:rsidRPr="009A6F69">
        <w:rPr>
          <w:lang w:val="en-GB"/>
        </w:rPr>
        <w:t>The resulting notes will be typed into Microsoft word and analyzed for emergent themes</w:t>
      </w:r>
      <w:r w:rsidR="00AA27E1" w:rsidRPr="009A6F69">
        <w:rPr>
          <w:lang w:val="en-GB"/>
        </w:rPr>
        <w:t xml:space="preserve"> to enri</w:t>
      </w:r>
      <w:r w:rsidR="00B00D11" w:rsidRPr="009A6F69">
        <w:rPr>
          <w:lang w:val="en-GB"/>
        </w:rPr>
        <w:t xml:space="preserve">ch, </w:t>
      </w:r>
      <w:r w:rsidR="00AA27E1" w:rsidRPr="009A6F69">
        <w:rPr>
          <w:lang w:val="en-GB"/>
        </w:rPr>
        <w:t xml:space="preserve">fill the gaps of data from the </w:t>
      </w:r>
      <w:r w:rsidR="00B00D11" w:rsidRPr="009A6F69">
        <w:rPr>
          <w:lang w:val="en-GB"/>
        </w:rPr>
        <w:t xml:space="preserve">desk review and prepare possible options and solutions to increasing universal coverage. </w:t>
      </w:r>
      <w:r w:rsidR="000850B7" w:rsidRPr="009A6F69">
        <w:rPr>
          <w:lang w:val="en-GB"/>
        </w:rPr>
        <w:br w:type="page"/>
      </w:r>
    </w:p>
    <w:p w:rsidR="005B6DB4" w:rsidRPr="009A6F69" w:rsidRDefault="003F69A3" w:rsidP="00880AEC">
      <w:pPr>
        <w:pStyle w:val="Heading2"/>
        <w:rPr>
          <w:lang w:val="en-GB"/>
        </w:rPr>
      </w:pPr>
      <w:bookmarkStart w:id="11" w:name="_Toc254256125"/>
      <w:r w:rsidRPr="009A6F69">
        <w:rPr>
          <w:lang w:val="en-GB"/>
        </w:rPr>
        <w:lastRenderedPageBreak/>
        <w:t>Background</w:t>
      </w:r>
      <w:bookmarkEnd w:id="11"/>
    </w:p>
    <w:p w:rsidR="00BA4368" w:rsidRPr="009A6F69" w:rsidRDefault="00867EDD" w:rsidP="005728A3">
      <w:pPr>
        <w:rPr>
          <w:lang w:val="en-GB"/>
        </w:rPr>
      </w:pPr>
      <w:r w:rsidRPr="009A6F69">
        <w:rPr>
          <w:lang w:val="en-GB"/>
        </w:rPr>
        <w:t>A review of the current situation of universal health coverage requires an understanding of Kenya’s health sector</w:t>
      </w:r>
      <w:r w:rsidR="005B279A" w:rsidRPr="009A6F69">
        <w:rPr>
          <w:lang w:val="en-GB"/>
        </w:rPr>
        <w:t>,</w:t>
      </w:r>
      <w:r w:rsidRPr="009A6F69">
        <w:rPr>
          <w:lang w:val="en-GB"/>
        </w:rPr>
        <w:t xml:space="preserve"> how it compares to global trends</w:t>
      </w:r>
      <w:r w:rsidR="005B279A" w:rsidRPr="009A6F69">
        <w:rPr>
          <w:lang w:val="en-GB"/>
        </w:rPr>
        <w:t>,</w:t>
      </w:r>
      <w:r w:rsidRPr="009A6F69">
        <w:rPr>
          <w:lang w:val="en-GB"/>
        </w:rPr>
        <w:t xml:space="preserve"> and other contextual factors that influence </w:t>
      </w:r>
      <w:r w:rsidR="005B279A" w:rsidRPr="009A6F69">
        <w:rPr>
          <w:lang w:val="en-GB"/>
        </w:rPr>
        <w:t xml:space="preserve">existing </w:t>
      </w:r>
      <w:r w:rsidRPr="009A6F69">
        <w:rPr>
          <w:lang w:val="en-GB"/>
        </w:rPr>
        <w:t xml:space="preserve">health policies and strategies. </w:t>
      </w:r>
      <w:r w:rsidR="00926FDD" w:rsidRPr="009A6F69">
        <w:rPr>
          <w:lang w:val="en-GB"/>
        </w:rPr>
        <w:t>This</w:t>
      </w:r>
      <w:r w:rsidR="009C004C" w:rsidRPr="009A6F69">
        <w:rPr>
          <w:lang w:val="en-GB"/>
        </w:rPr>
        <w:t xml:space="preserve"> report therefore be</w:t>
      </w:r>
      <w:r w:rsidR="006E657E" w:rsidRPr="009A6F69">
        <w:rPr>
          <w:lang w:val="en-GB"/>
        </w:rPr>
        <w:t xml:space="preserve">gins with a background context and a brief description of the health system with the key indicators. </w:t>
      </w:r>
      <w:r w:rsidR="00926FDD" w:rsidRPr="009A6F69">
        <w:rPr>
          <w:lang w:val="en-GB"/>
        </w:rPr>
        <w:t xml:space="preserve">A descriptive analysis is then provided of the health services in terms of the breadth, depth and height of coverage using the Kenya essential package for health as the basic package. </w:t>
      </w:r>
      <w:r w:rsidR="00AA19B3" w:rsidRPr="00AA19B3">
        <w:rPr>
          <w:lang w:val="en-GB"/>
        </w:rPr>
        <w:t>Universal</w:t>
      </w:r>
      <w:r w:rsidR="00AA19B3">
        <w:rPr>
          <w:lang w:val="en-GB"/>
        </w:rPr>
        <w:t xml:space="preserve"> health coverage should be defi</w:t>
      </w:r>
      <w:r w:rsidR="00AA19B3" w:rsidRPr="00AA19B3">
        <w:rPr>
          <w:lang w:val="en-GB"/>
        </w:rPr>
        <w:t>ned partly in terms of coverage of a minimum basic package of he</w:t>
      </w:r>
      <w:r w:rsidR="00AA19B3">
        <w:rPr>
          <w:lang w:val="en-GB"/>
        </w:rPr>
        <w:t>alth needs that prioritises eff</w:t>
      </w:r>
      <w:r w:rsidR="00AA19B3" w:rsidRPr="00AA19B3">
        <w:rPr>
          <w:lang w:val="en-GB"/>
        </w:rPr>
        <w:t xml:space="preserve">ective low-cost interventions for the excess disease burden of the local population, typically group I diseases and a subset of group II (non- communicable) and group III (trauma) diseases that can </w:t>
      </w:r>
      <w:r w:rsidR="00AA19B3">
        <w:rPr>
          <w:lang w:val="en-GB"/>
        </w:rPr>
        <w:t>also be addressed with high eff</w:t>
      </w:r>
      <w:r w:rsidR="00AA19B3" w:rsidRPr="00AA19B3">
        <w:rPr>
          <w:lang w:val="en-GB"/>
        </w:rPr>
        <w:t xml:space="preserve">ective </w:t>
      </w:r>
      <w:proofErr w:type="spellStart"/>
      <w:r w:rsidR="00AA19B3" w:rsidRPr="00AA19B3">
        <w:rPr>
          <w:lang w:val="en-GB"/>
        </w:rPr>
        <w:t>ness</w:t>
      </w:r>
      <w:proofErr w:type="spellEnd"/>
      <w:r w:rsidR="00AA19B3" w:rsidRPr="00AA19B3">
        <w:rPr>
          <w:lang w:val="en-GB"/>
        </w:rPr>
        <w:t xml:space="preserve"> at low cost</w:t>
      </w:r>
      <w:r w:rsidR="00AA19B3">
        <w:rPr>
          <w:lang w:val="en-GB"/>
        </w:rPr>
        <w:t>,</w:t>
      </w:r>
      <w:r w:rsidR="001B3B9E">
        <w:rPr>
          <w:lang w:val="en-GB"/>
        </w:rPr>
        <w:fldChar w:fldCharType="begin" w:fldLock="1"/>
      </w:r>
      <w:r w:rsidR="004F4010">
        <w:rPr>
          <w:lang w:val="en-GB"/>
        </w:rPr>
        <w:instrText>ADDIN CSL_CITATION { "citationItems" : [ { "id" : "ITEM-1", "itemData" : { "DOI" : "10.1016/S0140-6736(12)61149-0", "ISSN" : "01406736", "author" : [ { "dropping-particle" : "", "family" : "Sachs", "given" : "Jeffrey D", "non-dropping-particle" : "", "parse-names" : false, "suffix" : "" } ], "container-title" : "The Lancet", "id" : "ITEM-1", "issue" : "9845", "issued" : { "date-parts" : [ [ "2012", "9" ] ] }, "page" : "944-947", "title" : "Achieving universal health coverage in low-income settings", "type" : "article-journal", "volume" : "380" }, "uris" : [ "http://www.mendeley.com/documents/?uuid=96809528-28b0-40e9-8381-86a816cba816" ] } ], "mendeley" : { "previouslyFormattedCitation" : "(Sachs, 2012)" }, "properties" : { "noteIndex" : 0 }, "schema" : "https://github.com/citation-style-language/schema/raw/master/csl-citation.json" }</w:instrText>
      </w:r>
      <w:r w:rsidR="001B3B9E">
        <w:rPr>
          <w:lang w:val="en-GB"/>
        </w:rPr>
        <w:fldChar w:fldCharType="separate"/>
      </w:r>
      <w:r w:rsidR="00E20D25" w:rsidRPr="00E20D25">
        <w:rPr>
          <w:noProof/>
          <w:lang w:val="en-GB"/>
        </w:rPr>
        <w:t>(Sachs, 2012)</w:t>
      </w:r>
      <w:r w:rsidR="001B3B9E">
        <w:rPr>
          <w:lang w:val="en-GB"/>
        </w:rPr>
        <w:fldChar w:fldCharType="end"/>
      </w:r>
      <w:r w:rsidR="00AA19B3" w:rsidRPr="00AA19B3">
        <w:rPr>
          <w:lang w:val="en-GB"/>
        </w:rPr>
        <w:t xml:space="preserve">. </w:t>
      </w:r>
      <w:r w:rsidRPr="009A6F69">
        <w:rPr>
          <w:lang w:val="en-GB"/>
        </w:rPr>
        <w:t xml:space="preserve">This section presents the background context. </w:t>
      </w:r>
    </w:p>
    <w:p w:rsidR="00C51E86" w:rsidRPr="009A6F69" w:rsidRDefault="00C51E86" w:rsidP="00C6007D">
      <w:pPr>
        <w:pStyle w:val="Heading3"/>
        <w:rPr>
          <w:lang w:val="en-GB"/>
        </w:rPr>
      </w:pPr>
      <w:bookmarkStart w:id="12" w:name="_Toc254256126"/>
      <w:r w:rsidRPr="009A6F69">
        <w:rPr>
          <w:lang w:val="en-GB"/>
        </w:rPr>
        <w:t>Kenya’s Economy</w:t>
      </w:r>
      <w:bookmarkEnd w:id="12"/>
      <w:r w:rsidRPr="009A6F69">
        <w:rPr>
          <w:lang w:val="en-GB"/>
        </w:rPr>
        <w:t xml:space="preserve"> </w:t>
      </w:r>
    </w:p>
    <w:p w:rsidR="00C2666D" w:rsidRPr="009A6F69" w:rsidRDefault="00BA4368" w:rsidP="005728A3">
      <w:pPr>
        <w:rPr>
          <w:lang w:val="en-GB"/>
        </w:rPr>
      </w:pPr>
      <w:r w:rsidRPr="009A6F69">
        <w:rPr>
          <w:rFonts w:cs="Arial"/>
          <w:lang w:val="en-GB"/>
        </w:rPr>
        <w:t>A steady economic growth is important for increasing health financing coverage as it enhances the capacity of citizens to make contributions.</w:t>
      </w:r>
      <w:r w:rsidR="00073D59" w:rsidRPr="009A6F69">
        <w:rPr>
          <w:rFonts w:cs="Arial"/>
          <w:lang w:val="en-GB"/>
        </w:rPr>
        <w:t xml:space="preserve"> In e</w:t>
      </w:r>
      <w:r w:rsidR="004F1B13" w:rsidRPr="009A6F69">
        <w:rPr>
          <w:rFonts w:cs="Arial"/>
          <w:lang w:val="en-GB"/>
        </w:rPr>
        <w:t xml:space="preserve">conomic growth </w:t>
      </w:r>
      <w:r w:rsidR="004C4715" w:rsidRPr="009A6F69">
        <w:rPr>
          <w:rFonts w:cs="Arial"/>
          <w:lang w:val="en-GB"/>
        </w:rPr>
        <w:t>Kenya</w:t>
      </w:r>
      <w:r w:rsidR="00073D59" w:rsidRPr="009A6F69">
        <w:rPr>
          <w:rFonts w:cs="Arial"/>
          <w:lang w:val="en-GB"/>
        </w:rPr>
        <w:t xml:space="preserve"> lag</w:t>
      </w:r>
      <w:r w:rsidR="004C4715" w:rsidRPr="009A6F69">
        <w:rPr>
          <w:rFonts w:cs="Arial"/>
          <w:lang w:val="en-GB"/>
        </w:rPr>
        <w:t>s</w:t>
      </w:r>
      <w:r w:rsidR="00073D59" w:rsidRPr="009A6F69">
        <w:rPr>
          <w:rFonts w:cs="Arial"/>
          <w:lang w:val="en-GB"/>
        </w:rPr>
        <w:t xml:space="preserve"> behind its </w:t>
      </w:r>
      <w:r w:rsidR="000D20B3" w:rsidRPr="009A6F69">
        <w:rPr>
          <w:rFonts w:cs="Arial"/>
          <w:lang w:val="en-GB"/>
        </w:rPr>
        <w:t>neighbours</w:t>
      </w:r>
      <w:r w:rsidR="00073D59" w:rsidRPr="009A6F69">
        <w:rPr>
          <w:rFonts w:cs="Arial"/>
          <w:lang w:val="en-GB"/>
        </w:rPr>
        <w:t xml:space="preserve"> and is below average for East Africa</w:t>
      </w:r>
      <w:proofErr w:type="gramStart"/>
      <w:r w:rsidR="002B08E6">
        <w:rPr>
          <w:rFonts w:cs="Arial"/>
          <w:lang w:val="en-GB"/>
        </w:rPr>
        <w:t>,</w:t>
      </w:r>
      <w:proofErr w:type="gramEnd"/>
      <w:r w:rsidR="001B3B9E">
        <w:rPr>
          <w:rFonts w:cs="Arial"/>
          <w:lang w:val="en-GB"/>
        </w:rPr>
        <w:fldChar w:fldCharType="begin"/>
      </w:r>
      <w:r w:rsidR="002B08E6">
        <w:rPr>
          <w:rFonts w:cs="Arial"/>
          <w:lang w:val="en-GB"/>
        </w:rPr>
        <w:instrText xml:space="preserve"> REF _Ref254255607 \h </w:instrText>
      </w:r>
      <w:r w:rsidR="001B3B9E">
        <w:rPr>
          <w:rFonts w:cs="Arial"/>
          <w:lang w:val="en-GB"/>
        </w:rPr>
      </w:r>
      <w:r w:rsidR="001B3B9E">
        <w:rPr>
          <w:rFonts w:cs="Arial"/>
          <w:lang w:val="en-GB"/>
        </w:rPr>
        <w:fldChar w:fldCharType="separate"/>
      </w:r>
      <w:r w:rsidR="002B08E6" w:rsidRPr="009A6F69">
        <w:t xml:space="preserve">Figure </w:t>
      </w:r>
      <w:r w:rsidR="002B08E6">
        <w:rPr>
          <w:noProof/>
        </w:rPr>
        <w:t>1</w:t>
      </w:r>
      <w:r w:rsidR="001B3B9E">
        <w:rPr>
          <w:rFonts w:cs="Arial"/>
          <w:lang w:val="en-GB"/>
        </w:rPr>
        <w:fldChar w:fldCharType="end"/>
      </w:r>
      <w:r w:rsidR="002B08E6">
        <w:rPr>
          <w:rFonts w:cs="Arial"/>
          <w:lang w:val="en-GB"/>
        </w:rPr>
        <w:t>)</w:t>
      </w:r>
      <w:r w:rsidR="00073D59" w:rsidRPr="009A6F69">
        <w:rPr>
          <w:rFonts w:cs="Arial"/>
          <w:lang w:val="en-GB"/>
        </w:rPr>
        <w:t xml:space="preserve">. </w:t>
      </w:r>
    </w:p>
    <w:p w:rsidR="00F83207" w:rsidRPr="009A6F69" w:rsidRDefault="00C2666D" w:rsidP="00877156">
      <w:pPr>
        <w:keepNext/>
        <w:spacing w:after="0" w:line="240" w:lineRule="auto"/>
        <w:rPr>
          <w:lang w:val="en-GB"/>
        </w:rPr>
      </w:pPr>
      <w:r w:rsidRPr="009A6F69">
        <w:rPr>
          <w:noProof/>
        </w:rPr>
        <w:drawing>
          <wp:inline distT="0" distB="0" distL="0" distR="0">
            <wp:extent cx="4226346" cy="2743200"/>
            <wp:effectExtent l="0" t="0" r="15875" b="254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886FBE" w:rsidRPr="009A6F69" w:rsidRDefault="00F83207" w:rsidP="00877156">
      <w:pPr>
        <w:pStyle w:val="Caption"/>
        <w:spacing w:after="0"/>
      </w:pPr>
      <w:bookmarkStart w:id="13" w:name="_Ref254255607"/>
      <w:r w:rsidRPr="009A6F69">
        <w:t xml:space="preserve">Figure </w:t>
      </w:r>
      <w:r w:rsidR="001B3B9E" w:rsidRPr="009A6F69">
        <w:fldChar w:fldCharType="begin"/>
      </w:r>
      <w:r w:rsidRPr="009A6F69">
        <w:instrText xml:space="preserve"> SEQ Figure \* ARABIC </w:instrText>
      </w:r>
      <w:r w:rsidR="001B3B9E" w:rsidRPr="009A6F69">
        <w:fldChar w:fldCharType="separate"/>
      </w:r>
      <w:r w:rsidR="008A34D7">
        <w:rPr>
          <w:noProof/>
        </w:rPr>
        <w:t>1</w:t>
      </w:r>
      <w:r w:rsidR="001B3B9E" w:rsidRPr="009A6F69">
        <w:fldChar w:fldCharType="end"/>
      </w:r>
      <w:bookmarkEnd w:id="13"/>
      <w:r w:rsidRPr="009A6F69">
        <w:t>: Economic Growth Rates-East Africa Countries 2010-2012</w:t>
      </w:r>
    </w:p>
    <w:p w:rsidR="00C2666D" w:rsidRPr="009A6F69" w:rsidRDefault="00C2666D" w:rsidP="008C1D75">
      <w:pPr>
        <w:rPr>
          <w:lang w:val="en-GB"/>
        </w:rPr>
      </w:pPr>
    </w:p>
    <w:p w:rsidR="00FA2105" w:rsidRPr="009A6F69" w:rsidRDefault="00FA2105" w:rsidP="005728A3">
      <w:pPr>
        <w:rPr>
          <w:lang w:val="en-GB"/>
        </w:rPr>
      </w:pPr>
    </w:p>
    <w:p w:rsidR="00D61AF7" w:rsidRPr="009A6F69" w:rsidRDefault="00F133E5" w:rsidP="005728A3">
      <w:pPr>
        <w:rPr>
          <w:lang w:val="en-GB"/>
        </w:rPr>
      </w:pPr>
      <w:r w:rsidRPr="009A6F69">
        <w:rPr>
          <w:lang w:val="en-GB"/>
        </w:rPr>
        <w:t xml:space="preserve">Selected </w:t>
      </w:r>
      <w:r w:rsidR="00E04EB3" w:rsidRPr="009A6F69">
        <w:rPr>
          <w:lang w:val="en-GB"/>
        </w:rPr>
        <w:t>economic</w:t>
      </w:r>
      <w:r w:rsidRPr="009A6F69">
        <w:rPr>
          <w:lang w:val="en-GB"/>
        </w:rPr>
        <w:t xml:space="preserve"> indicators </w:t>
      </w:r>
      <w:r w:rsidR="00187719" w:rsidRPr="009A6F69">
        <w:rPr>
          <w:lang w:val="en-GB"/>
        </w:rPr>
        <w:t xml:space="preserve">as outlined below </w:t>
      </w:r>
      <w:r w:rsidRPr="009A6F69">
        <w:rPr>
          <w:lang w:val="en-GB"/>
        </w:rPr>
        <w:t>provide a picture of Kenya’s economy</w:t>
      </w:r>
      <w:r w:rsidR="009A6F69" w:rsidRPr="009A6F69">
        <w:rPr>
          <w:lang w:val="en-GB"/>
        </w:rPr>
        <w:t>, (</w:t>
      </w:r>
      <w:r w:rsidR="001B3B9E" w:rsidRPr="009A6F69">
        <w:rPr>
          <w:lang w:val="en-GB"/>
        </w:rPr>
        <w:fldChar w:fldCharType="begin"/>
      </w:r>
      <w:r w:rsidR="00E04EB3" w:rsidRPr="009A6F69">
        <w:rPr>
          <w:lang w:val="en-GB"/>
        </w:rPr>
        <w:instrText xml:space="preserve"> REF _Ref242528239 \h </w:instrText>
      </w:r>
      <w:r w:rsidR="001B3B9E" w:rsidRPr="009A6F69">
        <w:rPr>
          <w:lang w:val="en-GB"/>
        </w:rPr>
      </w:r>
      <w:r w:rsidR="001B3B9E" w:rsidRPr="009A6F69">
        <w:rPr>
          <w:lang w:val="en-GB"/>
        </w:rPr>
        <w:fldChar w:fldCharType="separate"/>
      </w:r>
      <w:r w:rsidR="008A34D7" w:rsidRPr="009A6F69">
        <w:t xml:space="preserve">Table </w:t>
      </w:r>
      <w:r w:rsidR="008A34D7">
        <w:rPr>
          <w:noProof/>
        </w:rPr>
        <w:t>1</w:t>
      </w:r>
      <w:r w:rsidR="001B3B9E" w:rsidRPr="009A6F69">
        <w:rPr>
          <w:lang w:val="en-GB"/>
        </w:rPr>
        <w:fldChar w:fldCharType="end"/>
      </w:r>
      <w:r w:rsidR="00E04EB3" w:rsidRPr="009A6F69">
        <w:rPr>
          <w:lang w:val="en-GB"/>
        </w:rPr>
        <w:t>)</w:t>
      </w:r>
      <w:r w:rsidRPr="009A6F69">
        <w:rPr>
          <w:lang w:val="en-GB"/>
        </w:rPr>
        <w:t xml:space="preserve">. </w:t>
      </w:r>
    </w:p>
    <w:p w:rsidR="00F133E5" w:rsidRPr="009A6F69" w:rsidRDefault="00F133E5" w:rsidP="00D64F23">
      <w:pPr>
        <w:pStyle w:val="Caption"/>
        <w:spacing w:after="0"/>
      </w:pPr>
      <w:bookmarkStart w:id="14" w:name="_Ref242528239"/>
      <w:r w:rsidRPr="009A6F69">
        <w:t xml:space="preserve">Table </w:t>
      </w:r>
      <w:r w:rsidR="001B3B9E" w:rsidRPr="009A6F69">
        <w:fldChar w:fldCharType="begin"/>
      </w:r>
      <w:r w:rsidR="009B2FBE" w:rsidRPr="009A6F69">
        <w:instrText xml:space="preserve"> SEQ Table \* ARABIC </w:instrText>
      </w:r>
      <w:r w:rsidR="001B3B9E" w:rsidRPr="009A6F69">
        <w:fldChar w:fldCharType="separate"/>
      </w:r>
      <w:r w:rsidR="00564A16">
        <w:rPr>
          <w:noProof/>
        </w:rPr>
        <w:t>1</w:t>
      </w:r>
      <w:r w:rsidR="001B3B9E" w:rsidRPr="009A6F69">
        <w:rPr>
          <w:noProof/>
        </w:rPr>
        <w:fldChar w:fldCharType="end"/>
      </w:r>
      <w:bookmarkEnd w:id="14"/>
      <w:r w:rsidRPr="009A6F69">
        <w:t xml:space="preserve">: Kenya. Selected economic indicators </w:t>
      </w:r>
    </w:p>
    <w:tbl>
      <w:tblPr>
        <w:tblStyle w:val="MediumList1-Accent5"/>
        <w:tblW w:w="7139" w:type="dxa"/>
        <w:tblLook w:val="04A0"/>
      </w:tblPr>
      <w:tblGrid>
        <w:gridCol w:w="2854"/>
        <w:gridCol w:w="857"/>
        <w:gridCol w:w="857"/>
        <w:gridCol w:w="857"/>
        <w:gridCol w:w="857"/>
        <w:gridCol w:w="857"/>
      </w:tblGrid>
      <w:tr w:rsidR="00673A65" w:rsidRPr="009A6F69" w:rsidTr="004343E0">
        <w:trPr>
          <w:cnfStyle w:val="100000000000"/>
          <w:trHeight w:val="250"/>
        </w:trPr>
        <w:tc>
          <w:tcPr>
            <w:cnfStyle w:val="001000000000"/>
            <w:tcW w:w="2854" w:type="dxa"/>
          </w:tcPr>
          <w:p w:rsidR="00673A65" w:rsidRPr="009A6F69" w:rsidRDefault="00673A65" w:rsidP="00D64F23">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Selected </w:t>
            </w:r>
            <w:r w:rsidR="00C63750" w:rsidRPr="009A6F69">
              <w:rPr>
                <w:rFonts w:ascii="Times New Roman" w:hAnsi="Times New Roman" w:cs="Times New Roman"/>
                <w:sz w:val="20"/>
                <w:szCs w:val="20"/>
                <w:lang w:val="en-GB"/>
              </w:rPr>
              <w:t>Socio-e</w:t>
            </w:r>
            <w:r w:rsidRPr="009A6F69">
              <w:rPr>
                <w:rFonts w:ascii="Times New Roman" w:hAnsi="Times New Roman" w:cs="Times New Roman"/>
                <w:sz w:val="20"/>
                <w:szCs w:val="20"/>
                <w:lang w:val="en-GB"/>
              </w:rPr>
              <w:t xml:space="preserve">conomic Indicators </w:t>
            </w:r>
          </w:p>
        </w:tc>
        <w:tc>
          <w:tcPr>
            <w:tcW w:w="857" w:type="dxa"/>
          </w:tcPr>
          <w:p w:rsidR="00673A65" w:rsidRPr="009A6F69" w:rsidRDefault="00673A65" w:rsidP="00D64F23">
            <w:pPr>
              <w:spacing w:after="0" w:line="240" w:lineRule="auto"/>
              <w:cnfStyle w:val="100000000000"/>
              <w:rPr>
                <w:rFonts w:ascii="Times New Roman" w:hAnsi="Times New Roman" w:cs="Times New Roman"/>
                <w:b/>
                <w:sz w:val="20"/>
                <w:szCs w:val="20"/>
                <w:lang w:val="en-GB"/>
              </w:rPr>
            </w:pPr>
            <w:r w:rsidRPr="009A6F69">
              <w:rPr>
                <w:rFonts w:ascii="Times New Roman" w:hAnsi="Times New Roman" w:cs="Times New Roman"/>
                <w:b/>
                <w:sz w:val="20"/>
                <w:szCs w:val="20"/>
                <w:lang w:val="en-GB"/>
              </w:rPr>
              <w:t>2007</w:t>
            </w:r>
          </w:p>
        </w:tc>
        <w:tc>
          <w:tcPr>
            <w:tcW w:w="857" w:type="dxa"/>
          </w:tcPr>
          <w:p w:rsidR="00673A65" w:rsidRPr="009A6F69" w:rsidRDefault="00673A65" w:rsidP="00D64F23">
            <w:pPr>
              <w:spacing w:after="0" w:line="240" w:lineRule="auto"/>
              <w:cnfStyle w:val="100000000000"/>
              <w:rPr>
                <w:rFonts w:ascii="Times New Roman" w:hAnsi="Times New Roman" w:cs="Times New Roman"/>
                <w:b/>
                <w:sz w:val="20"/>
                <w:szCs w:val="20"/>
                <w:lang w:val="en-GB"/>
              </w:rPr>
            </w:pPr>
            <w:r w:rsidRPr="009A6F69">
              <w:rPr>
                <w:rFonts w:ascii="Times New Roman" w:hAnsi="Times New Roman" w:cs="Times New Roman"/>
                <w:b/>
                <w:sz w:val="20"/>
                <w:szCs w:val="20"/>
                <w:lang w:val="en-GB"/>
              </w:rPr>
              <w:t>2008</w:t>
            </w:r>
          </w:p>
        </w:tc>
        <w:tc>
          <w:tcPr>
            <w:tcW w:w="857" w:type="dxa"/>
          </w:tcPr>
          <w:p w:rsidR="00673A65" w:rsidRPr="009A6F69" w:rsidRDefault="00673A65" w:rsidP="00D64F23">
            <w:pPr>
              <w:spacing w:after="0" w:line="240" w:lineRule="auto"/>
              <w:cnfStyle w:val="100000000000"/>
              <w:rPr>
                <w:rFonts w:ascii="Times New Roman" w:hAnsi="Times New Roman" w:cs="Times New Roman"/>
                <w:b/>
                <w:sz w:val="20"/>
                <w:szCs w:val="20"/>
                <w:lang w:val="en-GB"/>
              </w:rPr>
            </w:pPr>
            <w:r w:rsidRPr="009A6F69">
              <w:rPr>
                <w:rFonts w:ascii="Times New Roman" w:hAnsi="Times New Roman" w:cs="Times New Roman"/>
                <w:b/>
                <w:sz w:val="20"/>
                <w:szCs w:val="20"/>
                <w:lang w:val="en-GB"/>
              </w:rPr>
              <w:t>2009</w:t>
            </w:r>
          </w:p>
        </w:tc>
        <w:tc>
          <w:tcPr>
            <w:tcW w:w="857" w:type="dxa"/>
          </w:tcPr>
          <w:p w:rsidR="00673A65" w:rsidRPr="009A6F69" w:rsidRDefault="00673A65" w:rsidP="00D64F23">
            <w:pPr>
              <w:spacing w:after="0" w:line="240" w:lineRule="auto"/>
              <w:cnfStyle w:val="100000000000"/>
              <w:rPr>
                <w:rFonts w:ascii="Times New Roman" w:hAnsi="Times New Roman" w:cs="Times New Roman"/>
                <w:b/>
                <w:sz w:val="20"/>
                <w:szCs w:val="20"/>
                <w:lang w:val="en-GB"/>
              </w:rPr>
            </w:pPr>
            <w:r w:rsidRPr="009A6F69">
              <w:rPr>
                <w:rFonts w:ascii="Times New Roman" w:hAnsi="Times New Roman" w:cs="Times New Roman"/>
                <w:b/>
                <w:sz w:val="20"/>
                <w:szCs w:val="20"/>
                <w:lang w:val="en-GB"/>
              </w:rPr>
              <w:t>2010</w:t>
            </w:r>
          </w:p>
        </w:tc>
        <w:tc>
          <w:tcPr>
            <w:tcW w:w="857" w:type="dxa"/>
          </w:tcPr>
          <w:p w:rsidR="00673A65" w:rsidRPr="009A6F69" w:rsidRDefault="00673A65" w:rsidP="00D64F23">
            <w:pPr>
              <w:spacing w:after="0" w:line="240" w:lineRule="auto"/>
              <w:cnfStyle w:val="100000000000"/>
              <w:rPr>
                <w:rFonts w:ascii="Times New Roman" w:hAnsi="Times New Roman" w:cs="Times New Roman"/>
                <w:b/>
                <w:sz w:val="20"/>
                <w:szCs w:val="20"/>
                <w:lang w:val="en-GB"/>
              </w:rPr>
            </w:pPr>
            <w:r w:rsidRPr="009A6F69">
              <w:rPr>
                <w:rFonts w:ascii="Times New Roman" w:hAnsi="Times New Roman" w:cs="Times New Roman"/>
                <w:b/>
                <w:sz w:val="20"/>
                <w:szCs w:val="20"/>
                <w:lang w:val="en-GB"/>
              </w:rPr>
              <w:t>2011</w:t>
            </w:r>
          </w:p>
        </w:tc>
      </w:tr>
      <w:tr w:rsidR="00D61AF7" w:rsidRPr="009A6F69" w:rsidTr="004343E0">
        <w:trPr>
          <w:cnfStyle w:val="000000100000"/>
          <w:trHeight w:val="250"/>
        </w:trPr>
        <w:tc>
          <w:tcPr>
            <w:cnfStyle w:val="001000000000"/>
            <w:tcW w:w="2854" w:type="dxa"/>
          </w:tcPr>
          <w:p w:rsidR="00D61AF7" w:rsidRPr="009A6F69" w:rsidRDefault="00D61AF7" w:rsidP="004343E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Real GDP Growth (%)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7.1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1.7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3.1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5.2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6.4 </w:t>
            </w:r>
          </w:p>
        </w:tc>
      </w:tr>
      <w:tr w:rsidR="00D61AF7" w:rsidRPr="009A6F69" w:rsidTr="004343E0">
        <w:trPr>
          <w:trHeight w:val="250"/>
        </w:trPr>
        <w:tc>
          <w:tcPr>
            <w:cnfStyle w:val="001000000000"/>
            <w:tcW w:w="2854" w:type="dxa"/>
          </w:tcPr>
          <w:p w:rsidR="00D61AF7" w:rsidRPr="009A6F69" w:rsidRDefault="00D61AF7" w:rsidP="004343E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Inflation (%)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9.8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26.2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10.1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5.9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5.0 </w:t>
            </w:r>
          </w:p>
        </w:tc>
      </w:tr>
      <w:tr w:rsidR="00D61AF7" w:rsidRPr="009A6F69" w:rsidTr="004343E0">
        <w:trPr>
          <w:cnfStyle w:val="000000100000"/>
          <w:trHeight w:val="268"/>
        </w:trPr>
        <w:tc>
          <w:tcPr>
            <w:cnfStyle w:val="001000000000"/>
            <w:tcW w:w="2854" w:type="dxa"/>
          </w:tcPr>
          <w:p w:rsidR="00D61AF7" w:rsidRPr="009A6F69" w:rsidRDefault="00D61AF7" w:rsidP="004343E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Revenue and grants as % of GDP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22.3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24.4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22.3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22.5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22.6 </w:t>
            </w:r>
          </w:p>
        </w:tc>
      </w:tr>
      <w:tr w:rsidR="00D61AF7" w:rsidRPr="009A6F69" w:rsidTr="004343E0">
        <w:trPr>
          <w:trHeight w:val="286"/>
        </w:trPr>
        <w:tc>
          <w:tcPr>
            <w:cnfStyle w:val="001000000000"/>
            <w:tcW w:w="2854" w:type="dxa"/>
          </w:tcPr>
          <w:p w:rsidR="00D61AF7" w:rsidRPr="009A6F69" w:rsidRDefault="00D61AF7" w:rsidP="004343E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Expenditure as % of GDP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29.3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32.0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30.3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28.4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28.3 </w:t>
            </w:r>
          </w:p>
        </w:tc>
      </w:tr>
      <w:tr w:rsidR="00D61AF7" w:rsidRPr="009A6F69" w:rsidTr="004343E0">
        <w:trPr>
          <w:cnfStyle w:val="000000100000"/>
          <w:trHeight w:val="286"/>
        </w:trPr>
        <w:tc>
          <w:tcPr>
            <w:cnfStyle w:val="001000000000"/>
            <w:tcW w:w="2854" w:type="dxa"/>
          </w:tcPr>
          <w:p w:rsidR="00D61AF7" w:rsidRPr="009A6F69" w:rsidRDefault="00D61AF7" w:rsidP="004343E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Budget deficit as % of GDP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-4.2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-6.0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-6.6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-4.5 </w:t>
            </w:r>
          </w:p>
        </w:tc>
        <w:tc>
          <w:tcPr>
            <w:tcW w:w="857" w:type="dxa"/>
          </w:tcPr>
          <w:p w:rsidR="00D61AF7" w:rsidRPr="009A6F69" w:rsidRDefault="00D61AF7" w:rsidP="004343E0">
            <w:pPr>
              <w:spacing w:line="240" w:lineRule="auto"/>
              <w:cnfStyle w:val="0000001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-4.2 </w:t>
            </w:r>
          </w:p>
        </w:tc>
      </w:tr>
      <w:tr w:rsidR="00D61AF7" w:rsidRPr="009A6F69" w:rsidTr="004343E0">
        <w:trPr>
          <w:trHeight w:val="295"/>
        </w:trPr>
        <w:tc>
          <w:tcPr>
            <w:cnfStyle w:val="001000000000"/>
            <w:tcW w:w="2854" w:type="dxa"/>
          </w:tcPr>
          <w:p w:rsidR="00D61AF7" w:rsidRPr="009A6F69" w:rsidRDefault="00D61AF7" w:rsidP="004343E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Total public debt as % of GDP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41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40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45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44 </w:t>
            </w:r>
          </w:p>
        </w:tc>
        <w:tc>
          <w:tcPr>
            <w:tcW w:w="857" w:type="dxa"/>
          </w:tcPr>
          <w:p w:rsidR="00D61AF7" w:rsidRPr="009A6F69" w:rsidRDefault="00D61AF7" w:rsidP="004343E0">
            <w:pPr>
              <w:spacing w:line="240" w:lineRule="auto"/>
              <w:cnfStyle w:val="00000000000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44 </w:t>
            </w:r>
          </w:p>
        </w:tc>
      </w:tr>
      <w:tr w:rsidR="003D219E" w:rsidRPr="009A6F69" w:rsidTr="004343E0">
        <w:trPr>
          <w:cnfStyle w:val="000000100000"/>
          <w:trHeight w:val="295"/>
        </w:trPr>
        <w:tc>
          <w:tcPr>
            <w:cnfStyle w:val="001000000000"/>
            <w:tcW w:w="7139" w:type="dxa"/>
            <w:gridSpan w:val="6"/>
          </w:tcPr>
          <w:p w:rsidR="003D219E" w:rsidRPr="009A6F69" w:rsidRDefault="003D219E" w:rsidP="004343E0">
            <w:pPr>
              <w:spacing w:line="240" w:lineRule="auto"/>
              <w:rPr>
                <w:rFonts w:ascii="Times New Roman" w:hAnsi="Times New Roman" w:cs="Times New Roman"/>
                <w:b w:val="0"/>
                <w:i/>
                <w:lang w:val="en-GB"/>
              </w:rPr>
            </w:pPr>
            <w:r w:rsidRPr="009A6F69">
              <w:rPr>
                <w:rFonts w:ascii="Times New Roman" w:hAnsi="Times New Roman" w:cs="Times New Roman"/>
                <w:b w:val="0"/>
                <w:i/>
                <w:lang w:val="en-GB"/>
              </w:rPr>
              <w:t>(Source: 09/10 Kenya Budget Notes, Ministry of Finance)</w:t>
            </w:r>
          </w:p>
        </w:tc>
      </w:tr>
    </w:tbl>
    <w:p w:rsidR="00D61AF7" w:rsidRPr="009A6F69" w:rsidRDefault="00D61AF7" w:rsidP="008C1D75">
      <w:pPr>
        <w:rPr>
          <w:lang w:val="en-GB"/>
        </w:rPr>
      </w:pPr>
    </w:p>
    <w:p w:rsidR="00E70249" w:rsidRPr="009A6F69" w:rsidRDefault="000142E7" w:rsidP="005728A3">
      <w:pPr>
        <w:rPr>
          <w:rFonts w:cs="Arial"/>
          <w:lang w:val="en-GB"/>
        </w:rPr>
      </w:pPr>
      <w:r w:rsidRPr="009A6F69">
        <w:rPr>
          <w:rFonts w:cs="Arial"/>
          <w:lang w:val="en-GB"/>
        </w:rPr>
        <w:t xml:space="preserve">Kenya’s population was </w:t>
      </w:r>
      <w:r w:rsidR="009A6F69" w:rsidRPr="009A6F69">
        <w:rPr>
          <w:rFonts w:cs="Arial"/>
          <w:lang w:val="en-GB"/>
        </w:rPr>
        <w:t>estimated at</w:t>
      </w:r>
      <w:r w:rsidR="005A72E7" w:rsidRPr="009A6F69">
        <w:rPr>
          <w:rFonts w:cs="Arial"/>
          <w:lang w:val="en-GB"/>
        </w:rPr>
        <w:t xml:space="preserve"> </w:t>
      </w:r>
      <w:r w:rsidR="009A6F69" w:rsidRPr="009A6F69">
        <w:rPr>
          <w:rFonts w:cs="Arial"/>
          <w:lang w:val="en-GB"/>
        </w:rPr>
        <w:t>44,037,656 as</w:t>
      </w:r>
      <w:r w:rsidRPr="009A6F69">
        <w:rPr>
          <w:rFonts w:cs="Arial"/>
          <w:lang w:val="en-GB"/>
        </w:rPr>
        <w:t xml:space="preserve"> at 2013,</w:t>
      </w:r>
      <w:r w:rsidR="001B3B9E" w:rsidRPr="009A6F69">
        <w:rPr>
          <w:rFonts w:cs="Arial"/>
          <w:lang w:val="en-GB"/>
        </w:rPr>
        <w:fldChar w:fldCharType="begin" w:fldLock="1"/>
      </w:r>
      <w:r w:rsidR="004F4010">
        <w:rPr>
          <w:rFonts w:cs="Arial"/>
          <w:lang w:val="en-GB"/>
        </w:rPr>
        <w:instrText>ADDIN CSL_CITATION { "citationItems" : [ { "id" : "ITEM-1", "itemData" : { "URL" : "http://www.indexmundi.com/kenya/demographics_profile.html", "accessed" : { "date-parts" : [ [ "2014", "2", "16" ] ] }, "id" : "ITEM-1", "issued" : { "date-parts" : [ [ "0" ] ] }, "title" : "Kenya Demographics Profile 2013", "type" : "webpage" }, "uris" : [ "http://www.mendeley.com/documents/?uuid=e7c3d836-9d67-47e2-91d0-efb3240b4b48" ] } ], "mendeley" : { "previouslyFormattedCitation" : "(\u201cKenya Demographics Profile 2013,\u201d n.d.)" }, "properties" : { "noteIndex" : 0 }, "schema" : "https://github.com/citation-style-language/schema/raw/master/csl-citation.json" }</w:instrText>
      </w:r>
      <w:r w:rsidR="001B3B9E" w:rsidRPr="009A6F69">
        <w:rPr>
          <w:rFonts w:cs="Arial"/>
          <w:lang w:val="en-GB"/>
        </w:rPr>
        <w:fldChar w:fldCharType="separate"/>
      </w:r>
      <w:r w:rsidRPr="009A6F69">
        <w:rPr>
          <w:rFonts w:cs="Arial"/>
          <w:noProof/>
          <w:lang w:val="en-GB"/>
        </w:rPr>
        <w:t>(“Kenya Demographics Profile 2013,” n.d.)</w:t>
      </w:r>
      <w:r w:rsidR="001B3B9E" w:rsidRPr="009A6F69">
        <w:rPr>
          <w:rFonts w:cs="Arial"/>
          <w:lang w:val="en-GB"/>
        </w:rPr>
        <w:fldChar w:fldCharType="end"/>
      </w:r>
      <w:r w:rsidR="00013BA6" w:rsidRPr="009A6F69">
        <w:rPr>
          <w:rFonts w:cs="Arial"/>
          <w:lang w:val="en-GB"/>
        </w:rPr>
        <w:t xml:space="preserve">, </w:t>
      </w:r>
      <w:r w:rsidR="005A72E7" w:rsidRPr="009A6F69">
        <w:rPr>
          <w:rFonts w:cs="Arial"/>
          <w:lang w:val="en-GB"/>
        </w:rPr>
        <w:t xml:space="preserve">with a </w:t>
      </w:r>
      <w:r w:rsidR="00013BA6" w:rsidRPr="009A6F69">
        <w:rPr>
          <w:rFonts w:cs="Arial"/>
          <w:lang w:val="en-GB"/>
        </w:rPr>
        <w:t>current annual growth rate of 2.8</w:t>
      </w:r>
      <w:r w:rsidR="005A72E7" w:rsidRPr="009A6F69">
        <w:rPr>
          <w:rFonts w:cs="Arial"/>
          <w:lang w:val="en-GB"/>
        </w:rPr>
        <w:t xml:space="preserve"> </w:t>
      </w:r>
      <w:r w:rsidR="00AF29E5" w:rsidRPr="009A6F69">
        <w:rPr>
          <w:rFonts w:cs="Arial"/>
          <w:lang w:val="en-GB"/>
        </w:rPr>
        <w:t>%</w:t>
      </w:r>
      <w:r w:rsidR="00013BA6" w:rsidRPr="009A6F69">
        <w:rPr>
          <w:rFonts w:cs="Arial"/>
          <w:lang w:val="en-GB"/>
        </w:rPr>
        <w:t>,</w:t>
      </w:r>
      <w:r w:rsidR="005A72E7" w:rsidRPr="009A6F69">
        <w:rPr>
          <w:rFonts w:cs="Arial"/>
          <w:lang w:val="en-GB"/>
        </w:rPr>
        <w:t>Individuals under 20 years of age account for about 60</w:t>
      </w:r>
      <w:r w:rsidR="004601B9" w:rsidRPr="009A6F69">
        <w:rPr>
          <w:rFonts w:cs="Arial"/>
          <w:lang w:val="en-GB"/>
        </w:rPr>
        <w:t>%</w:t>
      </w:r>
      <w:r w:rsidR="005A72E7" w:rsidRPr="009A6F69">
        <w:rPr>
          <w:rFonts w:cs="Arial"/>
          <w:lang w:val="en-GB"/>
        </w:rPr>
        <w:t xml:space="preserve"> of the population. </w:t>
      </w:r>
      <w:r w:rsidR="00775A7C" w:rsidRPr="009A6F69">
        <w:rPr>
          <w:rFonts w:cs="Arial"/>
          <w:lang w:val="en-GB"/>
        </w:rPr>
        <w:t>The average age in Kenya is just 19 years of age</w:t>
      </w:r>
      <w:r w:rsidR="00CB397B" w:rsidRPr="009A6F69">
        <w:rPr>
          <w:rFonts w:cs="Arial"/>
          <w:lang w:val="en-GB"/>
        </w:rPr>
        <w:t xml:space="preserve">, </w:t>
      </w:r>
      <w:r w:rsidR="001B3B9E" w:rsidRPr="009A6F69">
        <w:rPr>
          <w:rFonts w:cs="Arial"/>
          <w:lang w:val="en-GB"/>
        </w:rPr>
        <w:fldChar w:fldCharType="begin" w:fldLock="1"/>
      </w:r>
      <w:r w:rsidR="004F4010">
        <w:rPr>
          <w:rFonts w:cs="Arial"/>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001B3B9E" w:rsidRPr="009A6F69">
        <w:rPr>
          <w:rFonts w:cs="Arial"/>
          <w:lang w:val="en-GB"/>
        </w:rPr>
        <w:fldChar w:fldCharType="separate"/>
      </w:r>
      <w:r w:rsidR="00CB397B" w:rsidRPr="009A6F69">
        <w:rPr>
          <w:rFonts w:cs="Arial"/>
          <w:noProof/>
          <w:lang w:val="en-GB"/>
        </w:rPr>
        <w:t>(Kenya National Bureau of Statistics and ICF Macro, 2010)</w:t>
      </w:r>
      <w:r w:rsidR="001B3B9E" w:rsidRPr="009A6F69">
        <w:rPr>
          <w:rFonts w:cs="Arial"/>
          <w:lang w:val="en-GB"/>
        </w:rPr>
        <w:fldChar w:fldCharType="end"/>
      </w:r>
      <w:r w:rsidR="00775A7C" w:rsidRPr="009A6F69">
        <w:rPr>
          <w:rFonts w:cs="Arial"/>
          <w:lang w:val="en-GB"/>
        </w:rPr>
        <w:t xml:space="preserve">. </w:t>
      </w:r>
      <w:r w:rsidR="00E70249" w:rsidRPr="009A6F69">
        <w:rPr>
          <w:rFonts w:cs="Arial"/>
          <w:lang w:val="en-GB"/>
        </w:rPr>
        <w:t>Kenya’s large share of youth population provides an opportunity for a demographic dividend provided the government invests in the human capital formation of its youth</w:t>
      </w:r>
      <w:r w:rsidR="0038451C" w:rsidRPr="009A6F69">
        <w:rPr>
          <w:rFonts w:cs="Arial"/>
          <w:lang w:val="en-GB"/>
        </w:rPr>
        <w:t>,</w:t>
      </w:r>
      <w:r w:rsidR="001B3B9E" w:rsidRPr="009A6F69">
        <w:rPr>
          <w:rFonts w:cs="Arial"/>
          <w:lang w:val="en-GB"/>
        </w:rPr>
        <w:fldChar w:fldCharType="begin" w:fldLock="1"/>
      </w:r>
      <w:r w:rsidR="004F4010">
        <w:rPr>
          <w:rFonts w:cs="Arial"/>
          <w:lang w:val="en-GB"/>
        </w:rPr>
        <w:instrText>ADDIN CSL_CITATION { "citationItems" : [ { "id" : "ITEM-1", "itemData" : { "id" : "ITEM-1", "issued" : { "date-parts" : [ [ "2011" ] ] }, "title" : "Reproductive health at a glance kenya", "type" : "webpage" }, "uris" : [ "http://www.mendeley.com/documents/?uuid=70738e78-425c-496e-9e38-3d1c41a81765" ] } ], "mendeley" : { "previouslyFormattedCitation" : "(\u201cReproductive health at a glance kenya,\u201d 2011)" }, "properties" : { "noteIndex" : 0 }, "schema" : "https://github.com/citation-style-language/schema/raw/master/csl-citation.json" }</w:instrText>
      </w:r>
      <w:r w:rsidR="001B3B9E" w:rsidRPr="009A6F69">
        <w:rPr>
          <w:rFonts w:cs="Arial"/>
          <w:lang w:val="en-GB"/>
        </w:rPr>
        <w:fldChar w:fldCharType="separate"/>
      </w:r>
      <w:r w:rsidR="0038451C" w:rsidRPr="009A6F69">
        <w:rPr>
          <w:rFonts w:cs="Arial"/>
          <w:noProof/>
          <w:lang w:val="en-GB"/>
        </w:rPr>
        <w:t>(“Reproductive health at a glance kenya,” 2011)</w:t>
      </w:r>
      <w:r w:rsidR="001B3B9E" w:rsidRPr="009A6F69">
        <w:rPr>
          <w:rFonts w:cs="Arial"/>
          <w:lang w:val="en-GB"/>
        </w:rPr>
        <w:fldChar w:fldCharType="end"/>
      </w:r>
      <w:r w:rsidR="00E70249" w:rsidRPr="009A6F69">
        <w:rPr>
          <w:rFonts w:cs="Arial"/>
          <w:lang w:val="en-GB"/>
        </w:rPr>
        <w:t>.</w:t>
      </w:r>
    </w:p>
    <w:p w:rsidR="00BD32B4" w:rsidRPr="009A6F69" w:rsidRDefault="00C63750" w:rsidP="005728A3">
      <w:pPr>
        <w:rPr>
          <w:rFonts w:cs="Arial"/>
          <w:lang w:val="en-GB"/>
        </w:rPr>
      </w:pPr>
      <w:r w:rsidRPr="009A6F69">
        <w:rPr>
          <w:rFonts w:cs="Arial"/>
          <w:lang w:val="en-GB"/>
        </w:rPr>
        <w:t xml:space="preserve">Kenya had a per capita gross domestic product of </w:t>
      </w:r>
      <w:r w:rsidR="00F449C2" w:rsidRPr="009A6F69">
        <w:rPr>
          <w:rFonts w:cs="Arial"/>
          <w:lang w:val="en-GB"/>
        </w:rPr>
        <w:t>Kenya shillings 38</w:t>
      </w:r>
      <w:r w:rsidR="005B1E6C" w:rsidRPr="009A6F69">
        <w:rPr>
          <w:rFonts w:cs="Arial"/>
          <w:lang w:val="en-GB"/>
        </w:rPr>
        <w:t>,</w:t>
      </w:r>
      <w:r w:rsidR="00F449C2" w:rsidRPr="009A6F69">
        <w:rPr>
          <w:rFonts w:cs="Arial"/>
          <w:lang w:val="en-GB"/>
        </w:rPr>
        <w:t>970 in 2011</w:t>
      </w:r>
      <w:r w:rsidR="001B3B9E" w:rsidRPr="009A6F69">
        <w:rPr>
          <w:rFonts w:cs="Arial"/>
          <w:lang w:val="en-GB"/>
        </w:rPr>
        <w:fldChar w:fldCharType="begin" w:fldLock="1"/>
      </w:r>
      <w:r w:rsidR="004F4010">
        <w:rPr>
          <w:rFonts w:cs="Arial"/>
          <w:lang w:val="en-GB"/>
        </w:rPr>
        <w:instrText>ADDIN CSL_CITATION { "citationItems" : [ { "id" : "ITEM-1", "itemData" : { "author" : [ { "dropping-particle" : "", "family" : "Kenya National Bureau of Statistics", "given" : "", "non-dropping-particle" : "", "parse-names" : false, "suffix" : "" } ], "id" : "ITEM-1", "issued" : { "date-parts" : [ [ "2012" ] ] }, "publisher-place" : "Nairobi", "title" : "Kenya facts and figures 2012", "type" : "report" }, "uris" : [ "http://www.mendeley.com/documents/?uuid=4aeeb2c5-09b6-45bc-870a-ae904b24c8f3" ] } ], "mendeley" : { "previouslyFormattedCitation" : "(Kenya National Bureau of Statistics, 2012)" }, "properties" : { "noteIndex" : 0 }, "schema" : "https://github.com/citation-style-language/schema/raw/master/csl-citation.json" }</w:instrText>
      </w:r>
      <w:r w:rsidR="001B3B9E" w:rsidRPr="009A6F69">
        <w:rPr>
          <w:rFonts w:cs="Arial"/>
          <w:lang w:val="en-GB"/>
        </w:rPr>
        <w:fldChar w:fldCharType="separate"/>
      </w:r>
      <w:r w:rsidR="00087AB6" w:rsidRPr="009A6F69">
        <w:rPr>
          <w:rFonts w:cs="Arial"/>
          <w:noProof/>
          <w:lang w:val="en-GB"/>
        </w:rPr>
        <w:t>(Kenya National Bureau of Statistics, 2012)</w:t>
      </w:r>
      <w:r w:rsidR="001B3B9E" w:rsidRPr="009A6F69">
        <w:rPr>
          <w:rFonts w:cs="Arial"/>
          <w:lang w:val="en-GB"/>
        </w:rPr>
        <w:fldChar w:fldCharType="end"/>
      </w:r>
      <w:r w:rsidRPr="009A6F69">
        <w:rPr>
          <w:rFonts w:cs="Arial"/>
          <w:lang w:val="en-GB"/>
        </w:rPr>
        <w:t xml:space="preserve">. Over 67% of the population lives in the rural areas and over 60% are dependent on rain-fed agriculture for survival. Kenya’s unemployment rate is estimated at 40%, which is catastrophically high for a country whose population is growing rapidly. </w:t>
      </w:r>
      <w:r w:rsidR="00C21092" w:rsidRPr="009A6F69">
        <w:rPr>
          <w:rFonts w:cs="Arial"/>
          <w:lang w:val="en-GB"/>
        </w:rPr>
        <w:t xml:space="preserve">Four out of ten </w:t>
      </w:r>
      <w:r w:rsidRPr="009A6F69">
        <w:rPr>
          <w:rFonts w:cs="Arial"/>
          <w:lang w:val="en-GB"/>
        </w:rPr>
        <w:t>Kenyans account for 13% of national economic output pointing to significa</w:t>
      </w:r>
      <w:r w:rsidR="00FC0BA4" w:rsidRPr="009A6F69">
        <w:rPr>
          <w:rFonts w:cs="Arial"/>
          <w:lang w:val="en-GB"/>
        </w:rPr>
        <w:t>nt economic disparities in the c</w:t>
      </w:r>
      <w:r w:rsidRPr="009A6F69">
        <w:rPr>
          <w:rFonts w:cs="Arial"/>
          <w:lang w:val="en-GB"/>
        </w:rPr>
        <w:t xml:space="preserve">ountry. </w:t>
      </w:r>
      <w:r w:rsidR="00980B63" w:rsidRPr="009A6F69">
        <w:rPr>
          <w:rFonts w:cs="Arial"/>
          <w:lang w:val="en-GB"/>
        </w:rPr>
        <w:t xml:space="preserve">Wealth in Kenya is also distributed inequitably, with the richest quintile earning 51.2 </w:t>
      </w:r>
      <w:r w:rsidR="00AF29E5" w:rsidRPr="009A6F69">
        <w:rPr>
          <w:rFonts w:cs="Arial"/>
          <w:lang w:val="en-GB"/>
        </w:rPr>
        <w:t>%</w:t>
      </w:r>
      <w:r w:rsidR="00980B63" w:rsidRPr="009A6F69">
        <w:rPr>
          <w:rFonts w:cs="Arial"/>
          <w:lang w:val="en-GB"/>
        </w:rPr>
        <w:t xml:space="preserve"> of national income while the poorest quintile earns only 5.6 </w:t>
      </w:r>
      <w:r w:rsidR="00AF29E5" w:rsidRPr="009A6F69">
        <w:rPr>
          <w:rFonts w:cs="Arial"/>
          <w:lang w:val="en-GB"/>
        </w:rPr>
        <w:t>%</w:t>
      </w:r>
      <w:r w:rsidR="00980B63" w:rsidRPr="009A6F69">
        <w:rPr>
          <w:rFonts w:cs="Arial"/>
          <w:lang w:val="en-GB"/>
        </w:rPr>
        <w:t xml:space="preserve"> of national income. </w:t>
      </w:r>
      <w:r w:rsidR="00F66A64" w:rsidRPr="009A6F69">
        <w:rPr>
          <w:rFonts w:cs="Arial"/>
          <w:lang w:val="en-GB"/>
        </w:rPr>
        <w:t xml:space="preserve">The majority of the very poor lives primarily in rural areas (75 </w:t>
      </w:r>
      <w:r w:rsidR="00AF29E5" w:rsidRPr="009A6F69">
        <w:rPr>
          <w:rFonts w:cs="Arial"/>
          <w:lang w:val="en-GB"/>
        </w:rPr>
        <w:t>%</w:t>
      </w:r>
      <w:r w:rsidR="00F66A64" w:rsidRPr="009A6F69">
        <w:rPr>
          <w:rFonts w:cs="Arial"/>
          <w:lang w:val="en-GB"/>
        </w:rPr>
        <w:t>),</w:t>
      </w:r>
      <w:r w:rsidR="00DF5D56" w:rsidRPr="009A6F69">
        <w:rPr>
          <w:rFonts w:cs="Arial"/>
          <w:lang w:val="en-GB"/>
        </w:rPr>
        <w:t xml:space="preserve"> </w:t>
      </w:r>
      <w:r w:rsidR="00F66A64" w:rsidRPr="009A6F69">
        <w:rPr>
          <w:rFonts w:cs="Arial"/>
          <w:lang w:val="en-GB"/>
        </w:rPr>
        <w:lastRenderedPageBreak/>
        <w:t xml:space="preserve">but there are also large numbers of urban poor living in informal </w:t>
      </w:r>
      <w:proofErr w:type="spellStart"/>
      <w:r w:rsidR="00F66A64" w:rsidRPr="009A6F69">
        <w:rPr>
          <w:rFonts w:cs="Arial"/>
          <w:lang w:val="en-GB"/>
        </w:rPr>
        <w:t>peri</w:t>
      </w:r>
      <w:proofErr w:type="spellEnd"/>
      <w:r w:rsidR="00F66A64" w:rsidRPr="009A6F69">
        <w:rPr>
          <w:rFonts w:cs="Arial"/>
          <w:lang w:val="en-GB"/>
        </w:rPr>
        <w:t>-urban settlements</w:t>
      </w:r>
      <w:r w:rsidR="001B3B9E" w:rsidRPr="009A6F69">
        <w:rPr>
          <w:rFonts w:cs="Arial"/>
          <w:lang w:val="en-GB"/>
        </w:rPr>
        <w:fldChar w:fldCharType="begin" w:fldLock="1"/>
      </w:r>
      <w:r w:rsidR="004F4010">
        <w:rPr>
          <w:rFonts w:cs="Arial"/>
          <w:lang w:val="en-GB"/>
        </w:rPr>
        <w:instrText>ADDIN CSL_CITATION { "citationItems" : [ { "id" : "ITEM-1", "itemData" : { "author" : [ { "dropping-particle" : "", "family" : "The World Bank", "given" : "", "non-dropping-particle" : "", "parse-names" : false, "suffix" : "" } ], "collection-editor" : "World Bank Working Papers", "id" : "ITEM-1", "issued" : { "date-parts" : [ [ "2010" ] ] }, "number" : "193", "page" : "1-190", "publisher-place" : "Washington DC", "title" : "Private Health Sector Assessment in Kenya", "type" : "article" }, "uris" : [ "http://www.mendeley.com/documents/?uuid=1af543fd-2640-45d9-8fa6-f8f77f9331e2" ] } ], "mendeley" : { "previouslyFormattedCitation" : "(The World Bank, 2010)" }, "properties" : { "noteIndex" : 0 }, "schema" : "https://github.com/citation-style-language/schema/raw/master/csl-citation.json" }</w:instrText>
      </w:r>
      <w:r w:rsidR="001B3B9E" w:rsidRPr="009A6F69">
        <w:rPr>
          <w:rFonts w:cs="Arial"/>
          <w:lang w:val="en-GB"/>
        </w:rPr>
        <w:fldChar w:fldCharType="separate"/>
      </w:r>
      <w:r w:rsidR="002E41C9" w:rsidRPr="009A6F69">
        <w:rPr>
          <w:rFonts w:cs="Arial"/>
          <w:noProof/>
          <w:lang w:val="en-GB"/>
        </w:rPr>
        <w:t>(The World Bank, 2010)</w:t>
      </w:r>
      <w:r w:rsidR="001B3B9E" w:rsidRPr="009A6F69">
        <w:rPr>
          <w:rFonts w:cs="Arial"/>
          <w:lang w:val="en-GB"/>
        </w:rPr>
        <w:fldChar w:fldCharType="end"/>
      </w:r>
      <w:r w:rsidR="00F66A64" w:rsidRPr="009A6F69">
        <w:rPr>
          <w:rFonts w:cs="Arial"/>
          <w:lang w:val="en-GB"/>
        </w:rPr>
        <w:t>.</w:t>
      </w:r>
    </w:p>
    <w:p w:rsidR="00E9610F" w:rsidRPr="009A6F69" w:rsidRDefault="00E9610F" w:rsidP="00E9610F">
      <w:pPr>
        <w:pStyle w:val="Heading3"/>
        <w:rPr>
          <w:lang w:val="en-GB"/>
        </w:rPr>
      </w:pPr>
      <w:bookmarkStart w:id="15" w:name="_Toc254256127"/>
      <w:r w:rsidRPr="009A6F69">
        <w:rPr>
          <w:lang w:val="en-GB"/>
        </w:rPr>
        <w:t>Devolution – changing the governance structure</w:t>
      </w:r>
      <w:bookmarkEnd w:id="15"/>
      <w:r w:rsidRPr="009A6F69">
        <w:rPr>
          <w:lang w:val="en-GB"/>
        </w:rPr>
        <w:t xml:space="preserve"> </w:t>
      </w:r>
    </w:p>
    <w:p w:rsidR="00BD32B4" w:rsidRPr="009A6F69" w:rsidRDefault="00A076EE" w:rsidP="005728A3">
      <w:pPr>
        <w:rPr>
          <w:rFonts w:cs="Arial"/>
          <w:lang w:val="en-GB"/>
        </w:rPr>
      </w:pPr>
      <w:r w:rsidRPr="009A6F69">
        <w:rPr>
          <w:rFonts w:cs="Arial"/>
          <w:lang w:val="en-GB"/>
        </w:rPr>
        <w:t xml:space="preserve">Following the promulgation of the Constitution in 2010 and the general election of 2013, Kenya is </w:t>
      </w:r>
      <w:r w:rsidR="00BD32B4" w:rsidRPr="009A6F69">
        <w:rPr>
          <w:rFonts w:cs="Arial"/>
          <w:lang w:val="en-GB"/>
        </w:rPr>
        <w:t>undergo</w:t>
      </w:r>
      <w:r w:rsidRPr="009A6F69">
        <w:rPr>
          <w:rFonts w:cs="Arial"/>
          <w:lang w:val="en-GB"/>
        </w:rPr>
        <w:t>ing</w:t>
      </w:r>
      <w:r w:rsidR="00BD32B4" w:rsidRPr="009A6F69">
        <w:rPr>
          <w:rFonts w:cs="Arial"/>
          <w:lang w:val="en-GB"/>
        </w:rPr>
        <w:t xml:space="preserve"> a dual transition: a transfer of power and resources from the </w:t>
      </w:r>
      <w:r w:rsidR="009A6F69" w:rsidRPr="009A6F69">
        <w:rPr>
          <w:rFonts w:cs="Arial"/>
          <w:lang w:val="en-GB"/>
        </w:rPr>
        <w:t>centre</w:t>
      </w:r>
      <w:r w:rsidR="00BD32B4" w:rsidRPr="009A6F69">
        <w:rPr>
          <w:rFonts w:cs="Arial"/>
          <w:lang w:val="en-GB"/>
        </w:rPr>
        <w:t xml:space="preserve"> to the sub- national level and a simultaneous reorganization of local government, with the consolidation of existing local structures into forty-seven newly- created county governments</w:t>
      </w:r>
      <w:r w:rsidR="003F33F3" w:rsidRPr="009A6F69">
        <w:rPr>
          <w:rFonts w:cs="Arial"/>
          <w:lang w:val="en-GB"/>
        </w:rPr>
        <w:t>, figure below</w:t>
      </w:r>
      <w:r w:rsidRPr="009A6F69">
        <w:rPr>
          <w:rFonts w:cs="Arial"/>
          <w:lang w:val="en-GB"/>
        </w:rPr>
        <w:t>,</w:t>
      </w:r>
      <w:r w:rsidR="001B3B9E" w:rsidRPr="009A6F69">
        <w:rPr>
          <w:rFonts w:cs="Arial"/>
          <w:lang w:val="en-GB"/>
        </w:rPr>
        <w:fldChar w:fldCharType="begin" w:fldLock="1"/>
      </w:r>
      <w:r w:rsidR="004F4010">
        <w:rPr>
          <w:rFonts w:cs="Arial"/>
          <w:lang w:val="en-GB"/>
        </w:rPr>
        <w:instrText>ADDIN CSL_CITATION { "citationItems" : [ { "id" : "ITEM-1", "itemData" : { "author" : [ { "dropping-particle" : "", "family" : "The World Bank", "given" : "", "non-dropping-particle" : "", "parse-names" : false, "suffix" : "" } ], "id" : "ITEM-1", "issued" : { "date-parts" : [ [ "2012" ] ] }, "page" : "1-26", "publisher-place" : "Nairobi", "title" : "DEVOLUTION WITHOUT DISRUPTION \u2013 PATHWAYS TO A SUCCESSFUL NEW KENYA", "type" : "report" }, "uris" : [ "http://www.mendeley.com/documents/?uuid=d998c7ac-42c2-475b-8490-05a81b24db5f" ] } ], "mendeley" : { "previouslyFormattedCitation" : "(The World Bank, 2012)" }, "properties" : { "noteIndex" : 0 }, "schema" : "https://github.com/citation-style-language/schema/raw/master/csl-citation.json" }</w:instrText>
      </w:r>
      <w:r w:rsidR="001B3B9E" w:rsidRPr="009A6F69">
        <w:rPr>
          <w:rFonts w:cs="Arial"/>
          <w:lang w:val="en-GB"/>
        </w:rPr>
        <w:fldChar w:fldCharType="separate"/>
      </w:r>
      <w:r w:rsidR="004C4846" w:rsidRPr="009A6F69">
        <w:rPr>
          <w:rFonts w:cs="Arial"/>
          <w:noProof/>
          <w:lang w:val="en-GB"/>
        </w:rPr>
        <w:t>(The World Bank, 2012)</w:t>
      </w:r>
      <w:r w:rsidR="001B3B9E" w:rsidRPr="009A6F69">
        <w:rPr>
          <w:rFonts w:cs="Arial"/>
          <w:lang w:val="en-GB"/>
        </w:rPr>
        <w:fldChar w:fldCharType="end"/>
      </w:r>
      <w:r w:rsidRPr="009A6F69">
        <w:rPr>
          <w:rFonts w:cs="Arial"/>
          <w:lang w:val="en-GB"/>
        </w:rPr>
        <w:t>.</w:t>
      </w:r>
      <w:r w:rsidR="003E6E17">
        <w:rPr>
          <w:rFonts w:cs="Arial"/>
          <w:lang w:val="en-GB"/>
        </w:rPr>
        <w:t xml:space="preserve"> The formula for financing of the new structure is done through the commission for revenue allocation based on previous health expenditure</w:t>
      </w:r>
      <w:r w:rsidR="00C709D6">
        <w:rPr>
          <w:rFonts w:cs="Arial"/>
          <w:lang w:val="en-GB"/>
        </w:rPr>
        <w:t>, population, poverty index (</w:t>
      </w:r>
      <w:r w:rsidR="001B3B9E">
        <w:rPr>
          <w:rFonts w:cs="Arial"/>
          <w:lang w:val="en-GB"/>
        </w:rPr>
        <w:fldChar w:fldCharType="begin"/>
      </w:r>
      <w:r w:rsidR="00030437">
        <w:rPr>
          <w:rFonts w:cs="Arial"/>
          <w:lang w:val="en-GB"/>
        </w:rPr>
        <w:instrText xml:space="preserve"> REF _Ref254255706 \h </w:instrText>
      </w:r>
      <w:r w:rsidR="001B3B9E">
        <w:rPr>
          <w:rFonts w:cs="Arial"/>
          <w:lang w:val="en-GB"/>
        </w:rPr>
      </w:r>
      <w:r w:rsidR="001B3B9E">
        <w:rPr>
          <w:rFonts w:cs="Arial"/>
          <w:lang w:val="en-GB"/>
        </w:rPr>
        <w:fldChar w:fldCharType="separate"/>
      </w:r>
      <w:r w:rsidR="00030437">
        <w:rPr>
          <w:lang w:val="en-GB"/>
        </w:rPr>
        <w:t>Appendix 4:</w:t>
      </w:r>
      <w:r w:rsidR="00030437" w:rsidRPr="00C709D6">
        <w:rPr>
          <w:lang w:val="en-GB"/>
        </w:rPr>
        <w:t xml:space="preserve"> Commission for Revenue Allocation formula</w:t>
      </w:r>
      <w:r w:rsidR="001B3B9E">
        <w:rPr>
          <w:rFonts w:cs="Arial"/>
          <w:lang w:val="en-GB"/>
        </w:rPr>
        <w:fldChar w:fldCharType="end"/>
      </w:r>
      <w:r w:rsidR="00030437">
        <w:rPr>
          <w:rFonts w:cs="Arial"/>
          <w:lang w:val="en-GB"/>
        </w:rPr>
        <w:t>)</w:t>
      </w:r>
      <w:r w:rsidR="00442024">
        <w:rPr>
          <w:rFonts w:cs="Arial"/>
          <w:lang w:val="en-GB"/>
        </w:rPr>
        <w:t>. It is expected that from these allocations that counties that were underserved will utilise the new money for development, the building of health infrastructure and recruitment of additional staff, (KII5).</w:t>
      </w:r>
      <w:r w:rsidR="003E6E17">
        <w:rPr>
          <w:rFonts w:cs="Arial"/>
          <w:lang w:val="en-GB"/>
        </w:rPr>
        <w:t xml:space="preserve"> </w:t>
      </w:r>
    </w:p>
    <w:p w:rsidR="0029261E" w:rsidRPr="009A6F69" w:rsidRDefault="001B3B9E" w:rsidP="0029261E">
      <w:pPr>
        <w:keepNext/>
        <w:jc w:val="center"/>
        <w:rPr>
          <w:lang w:val="en-GB"/>
        </w:rPr>
      </w:pPr>
      <w:r w:rsidRPr="001B3B9E">
        <w:rPr>
          <w:noProof/>
          <w:lang w:val="en-GB"/>
        </w:rPr>
      </w:r>
      <w:r>
        <w:rPr>
          <w:noProof/>
          <w:lang w:val="en-GB"/>
        </w:rPr>
        <w:pict>
          <v:group id="Group 15" o:spid="_x0000_s1026" style="width:291.6pt;height:233.95pt;mso-position-horizontal-relative:char;mso-position-vertical-relative:line" coordorigin="-1,-72961" coordsize="4914901,36610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">
            <v:shapetype id="_x0000_t202" coordsize="21600,21600" o:spt="202" path="m,l,21600r21600,l21600,xe">
              <v:stroke joinstyle="miter"/>
              <v:path gradientshapeok="t" o:connecttype="rect"/>
            </v:shapetype>
            <v:shape id="Text Box 7" o:spid="_x0000_s1027" type="#_x0000_t202" style="position:absolute;top:1714500;width:4914900;height:3429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MP9uwgAA&#10;ANoAAAAPAAAAZHJzL2Rvd25yZXYueG1sRI9Bi8IwFITvC/6H8AQvi6brYZVqFBEEWU/r+gMezTOp&#10;Ni+1ibX6640g7HGYmW+Y+bJzlWipCaVnBV+jDARx4XXJRsHhbzOcgggRWWPlmRTcKcBy0fuYY679&#10;jX+p3UcjEoRDjgpsjHUuZSgsOQwjXxMn7+gbhzHJxkjd4C3BXSXHWfYtHZacFizWtLZUnPdXp8CZ&#10;n+PZfF63l3Y3nTx24443J6vUoN+tZiAidfE//G5vtYIJvK6kGyAXT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sw/27CAAAA2gAAAA8AAAAAAAAAAAAAAAAAlwIAAGRycy9kb3du&#10;cmV2LnhtbFBLBQYAAAAABAAEAPUAAACGAwAAAAA=&#10;" filled="f" strokecolor="#4f81bd [3204]" strokeweight="2pt">
              <v:textbox>
                <w:txbxContent>
                  <w:p w:rsidR="000221CD" w:rsidRDefault="000221CD" w:rsidP="00CA6D58">
                    <w:pPr>
                      <w:jc w:val="center"/>
                    </w:pPr>
                    <w:r>
                      <w:t>47 Counties Health Provision</w:t>
                    </w:r>
                  </w:p>
                </w:txbxContent>
              </v:textbox>
            </v:shape>
            <v:shape id="Text Box 9" o:spid="_x0000_s1028" type="#_x0000_t202" style="position:absolute;left:-1;top:-72961;width:3392358;height:1408293;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486HwwAA&#10;ANoAAAAPAAAAZHJzL2Rvd25yZXYueG1sRI/dagIxFITvC75DOEJvimbrRaurUUQQRK/8eYDD5pis&#10;bk7WTVzXPn1TEHo5zMw3zGzRuUq01ITSs4LPYQaCuPC6ZKPgdFwPxiBCRNZYeSYFTwqwmPfeZphr&#10;/+A9tYdoRIJwyFGBjbHOpQyFJYdh6Gvi5J194zAm2RipG3wkuKvkKMu+pMOS04LFmlaWiuvh7hQ4&#10;sz1fzcd9c2t34++f3ajj9cUq9d7vllMQkbr4H361N1rBBP6upBsg57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V486HwwAAANoAAAAPAAAAAAAAAAAAAAAAAJcCAABkcnMvZG93&#10;bnJldi54bWxQSwUGAAAAAAQABAD1AAAAhwMAAAAA&#10;" filled="f" strokecolor="#4f81bd [3204]" strokeweight="2pt">
              <v:textbox>
                <w:txbxContent>
                  <w:p w:rsidR="000221CD" w:rsidRPr="00592BAA" w:rsidRDefault="000221CD" w:rsidP="00CA6D58">
                    <w:pPr>
                      <w:spacing w:line="240" w:lineRule="auto"/>
                      <w:rPr>
                        <w:sz w:val="20"/>
                        <w:szCs w:val="20"/>
                      </w:rPr>
                    </w:pPr>
                    <w:proofErr w:type="gramStart"/>
                    <w:r w:rsidRPr="00592BAA">
                      <w:rPr>
                        <w:b/>
                        <w:sz w:val="20"/>
                        <w:szCs w:val="20"/>
                      </w:rPr>
                      <w:t>8 Provincial Administrations</w:t>
                    </w:r>
                    <w:r w:rsidRPr="00592BAA">
                      <w:rPr>
                        <w:sz w:val="20"/>
                        <w:szCs w:val="20"/>
                      </w:rPr>
                      <w:t>.</w:t>
                    </w:r>
                    <w:proofErr w:type="gramEnd"/>
                  </w:p>
                  <w:p w:rsidR="000221CD" w:rsidRPr="00592BAA" w:rsidRDefault="000221CD" w:rsidP="00CA6D58">
                    <w:pPr>
                      <w:spacing w:line="240" w:lineRule="auto"/>
                      <w:rPr>
                        <w:i/>
                        <w:sz w:val="20"/>
                        <w:szCs w:val="20"/>
                      </w:rPr>
                    </w:pPr>
                    <w:r w:rsidRPr="00592BAA">
                      <w:rPr>
                        <w:i/>
                        <w:sz w:val="20"/>
                        <w:szCs w:val="20"/>
                      </w:rPr>
                      <w:t>(Coordinate and oversee the delivery of public health and sanitation services in the country; support decentralization of service planning and - provision; monitor and evaluate service delivery)</w:t>
                    </w:r>
                  </w:p>
                  <w:p w:rsidR="000221CD" w:rsidRDefault="000221CD" w:rsidP="00CA6D58"/>
                </w:txbxContent>
              </v:textbox>
            </v:shape>
            <v:shape id="Text Box 10" o:spid="_x0000_s1029" type="#_x0000_t202" style="position:absolute;left:114300;top:2514600;width:1943100;height:9144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owYuxAAA&#10;ANsAAAAPAAAAZHJzL2Rvd25yZXYueG1sRI9Bb8IwDIXvSPsPkSftgiAdh60qBIQmIaFxGuMHWI1J&#10;Co3TNaF0+/XzYdJutt7ze59XmzG0aqA+NZENPM8LUMR1tA07A6fP3awElTKyxTYyGfimBJv1w2SF&#10;lY13/qDhmJ2SEE4VGvA5d5XWqfYUMM1jRyzaOfYBs6y907bHu4SHVi+K4kUHbFgaPHb05qm+Hm/B&#10;QHDv56ub3vZfw6F8/TksRt5dvDFPj+N2CSrTmP/Nf9d7K/hCL7/IAHr9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ZqMGLsQAAADbAAAADwAAAAAAAAAAAAAAAACXAgAAZHJzL2Rv&#10;d25yZXYueG1sUEsFBgAAAAAEAAQA9QAAAIgDAAAAAA==&#10;" filled="f" strokecolor="#4f81bd [3204]" strokeweight="2pt">
              <v:textbox>
                <w:txbxContent>
                  <w:p w:rsidR="000221CD" w:rsidRPr="00592BAA" w:rsidRDefault="000221CD" w:rsidP="00592BAA">
                    <w:pPr>
                      <w:spacing w:line="240" w:lineRule="auto"/>
                      <w:jc w:val="center"/>
                      <w:rPr>
                        <w:sz w:val="20"/>
                        <w:szCs w:val="20"/>
                      </w:rPr>
                    </w:pPr>
                    <w:r w:rsidRPr="00592BAA">
                      <w:rPr>
                        <w:sz w:val="20"/>
                        <w:szCs w:val="20"/>
                      </w:rPr>
                      <w:t>280+ District Health Management Teams</w:t>
                    </w:r>
                  </w:p>
                  <w:p w:rsidR="000221CD" w:rsidRPr="00592BAA" w:rsidRDefault="000221CD" w:rsidP="00592BAA">
                    <w:pPr>
                      <w:spacing w:line="240" w:lineRule="auto"/>
                      <w:jc w:val="center"/>
                      <w:rPr>
                        <w:i/>
                        <w:sz w:val="20"/>
                        <w:szCs w:val="20"/>
                      </w:rPr>
                    </w:pPr>
                    <w:r w:rsidRPr="00592BAA">
                      <w:rPr>
                        <w:i/>
                        <w:sz w:val="20"/>
                        <w:szCs w:val="20"/>
                      </w:rPr>
                      <w:t>(Service Provision)</w:t>
                    </w:r>
                  </w:p>
                </w:txbxContent>
              </v:textbox>
            </v:shape>
            <v:shape id="Text Box 11" o:spid="_x0000_s1030" type="#_x0000_t202" style="position:absolute;left:2633574;top:2856389;width:2275842;height:731675;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76O1wAAA&#10;ANsAAAAPAAAAZHJzL2Rvd25yZXYueG1sRE/NisIwEL4v+A5hBC+LpnpwpRpFBEH0tK4PMDRjUm0m&#10;tYm1+vQbYWFv8/H9zmLVuUq01ITSs4LxKANBXHhdslFw+tkOZyBCRNZYeSYFTwqwWvY+Fphr/+Bv&#10;ao/RiBTCIUcFNsY6lzIUlhyGka+JE3f2jcOYYGOkbvCRwl0lJ1k2lQ5LTg0Wa9pYKq7Hu1PgzP58&#10;NZ/33a09zL5eh0nH24tVatDv1nMQkbr4L/5z73SaP4b3L+kAufw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J76O1wAAAANsAAAAPAAAAAAAAAAAAAAAAAJcCAABkcnMvZG93bnJl&#10;di54bWxQSwUGAAAAAAQABAD1AAAAhAMAAAAA&#10;" filled="f" strokecolor="#4f81bd [3204]" strokeweight="2pt">
              <v:textbox>
                <w:txbxContent>
                  <w:p w:rsidR="000221CD" w:rsidRPr="00587452" w:rsidRDefault="000221CD" w:rsidP="00587452">
                    <w:pPr>
                      <w:spacing w:line="240" w:lineRule="auto"/>
                      <w:jc w:val="center"/>
                      <w:rPr>
                        <w:sz w:val="20"/>
                        <w:szCs w:val="20"/>
                      </w:rPr>
                    </w:pPr>
                    <w:r w:rsidRPr="00587452">
                      <w:rPr>
                        <w:sz w:val="20"/>
                        <w:szCs w:val="20"/>
                      </w:rPr>
                      <w:t>175 Local Authorities</w:t>
                    </w:r>
                  </w:p>
                  <w:p w:rsidR="000221CD" w:rsidRPr="00A43035" w:rsidRDefault="000221CD" w:rsidP="00587452">
                    <w:pPr>
                      <w:spacing w:line="240" w:lineRule="auto"/>
                      <w:jc w:val="center"/>
                      <w:rPr>
                        <w:i/>
                      </w:rPr>
                    </w:pPr>
                    <w:r w:rsidRPr="00587452">
                      <w:rPr>
                        <w:i/>
                        <w:sz w:val="20"/>
                        <w:szCs w:val="20"/>
                      </w:rPr>
                      <w:t>(Water &amp; Waste disposal</w:t>
                    </w:r>
                    <w:r w:rsidRPr="00A43035">
                      <w:rPr>
                        <w:i/>
                      </w:rPr>
                      <w:t>)</w:t>
                    </w:r>
                  </w:p>
                  <w:p w:rsidR="000221CD" w:rsidRDefault="000221CD" w:rsidP="00CA6D58">
                    <w:pPr>
                      <w:jc w:val="center"/>
                    </w:pPr>
                  </w:p>
                </w:txbxContent>
              </v:textbox>
            </v:shap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12" o:spid="_x0000_s1031" type="#_x0000_t68" style="position:absolute;left:571500;top:2057400;width:1028700;height:45720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t/R6wQAA&#10;ANsAAAAPAAAAZHJzL2Rvd25yZXYueG1sRE/JasMwEL0H+g9iCr2EWq4PpTiWTQkk9JilBHIbrKnt&#10;xhoJS17691Gh0Ns83jpFtZheTDT4zrKClyQFQVxb3XGj4PO8e34D4QOyxt4yKfghD1X5sCow13bm&#10;I02n0IgYwj5HBW0ILpfS1y0Z9Il1xJH7soPBEOHQSD3gHMNNL7M0fZUGO44NLTratlTfTqNRcLjo&#10;81Xu++ywHZeb/HZ6PTqt1NPj8r4BEWgJ/+I/94eO8zP4/SUeIMs7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c7f0esEAAADbAAAADwAAAAAAAAAAAAAAAACXAgAAZHJzL2Rvd25y&#10;ZXYueG1sUEsFBgAAAAAEAAQA9QAAAIUDAAAAAA==&#10;" adj="10800" filled="f" strokecolor="#4f81bd [3204]" strokeweight="2pt"/>
            <v:shape id="Up Arrow 13" o:spid="_x0000_s1032" type="#_x0000_t68" style="position:absolute;left:3314700;top:2057400;width:457200;height:80010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c6U8xAAA&#10;ANsAAAAPAAAAZHJzL2Rvd25yZXYueG1sRI/dasJAEIXvC77DMkLv6kYttaSuEkRJWwSp9QGG7JgE&#10;s7NJdvPTt+8Khd7NcM6c78x6O5pK9NS60rKC+SwCQZxZXXKu4PJ9eHoF4TyyxsoyKfghB9vN5GGN&#10;sbYDf1F/9rkIIexiVFB4X8dSuqwgg25ma+KgXW1r0Ie1zaVucQjhppKLKHqRBksOhAJr2hWU3c6d&#10;uUOeu2Oz/8BLsupPn41NKW1YqcfpmLyB8DT6f/Pf9bsO9Zdw/yUMID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4HOlPMQAAADbAAAADwAAAAAAAAAAAAAAAACXAgAAZHJzL2Rv&#10;d25yZXYueG1sUEsFBgAAAAAEAAQA9QAAAIgDAAAAAA==&#10;" adj="6171" filled="f" strokecolor="#4f81bd [3204]" strokeweight="2p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4" o:spid="_x0000_s1033" type="#_x0000_t67" style="position:absolute;left:1419637;top:1262380;width:455663;height:456732;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7FrCwwAA&#10;ANsAAAAPAAAAZHJzL2Rvd25yZXYueG1sRE9NS8NAEL0L/odlBG92oxSxabelLUh7UTFKobchO80G&#10;s7MhO20Sf70rCN7m8T5nsRp8oy7UxTqwgftJBoq4DLbmysDnx/PdE6goyBabwGRgpAir5fXVAnMb&#10;en6nSyGVSiEcczTgRNpc61g68hgnoSVO3Cl0HiXBrtK2wz6F+0Y/ZNmj9lhzanDY0tZR+VWcvYF1&#10;f5bvV3Ivx2L3Nis3h3Evs9GY25thPQclNMi/+M+9t2n+FH5/SQfo5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y7FrCwwAAANsAAAAPAAAAAAAAAAAAAAAAAJcCAABkcnMvZG93&#10;bnJldi54bWxQSwUGAAAAAAQABAD1AAAAhwMAAAAA&#10;" adj="10825,6086" filled="f" strokecolor="#4f81bd [3204]" strokeweight="2pt"/>
            <w10:wrap type="none"/>
            <w10:anchorlock/>
          </v:group>
        </w:pict>
      </w:r>
    </w:p>
    <w:p w:rsidR="00BD32B4" w:rsidRPr="009A6F69" w:rsidRDefault="0029261E" w:rsidP="0029261E">
      <w:pPr>
        <w:pStyle w:val="Caption"/>
        <w:jc w:val="center"/>
        <w:rPr>
          <w:rFonts w:cs="Arial"/>
        </w:rPr>
      </w:pPr>
      <w:r w:rsidRPr="009A6F69">
        <w:t xml:space="preserve">Figure </w:t>
      </w:r>
      <w:r w:rsidR="001B3B9E" w:rsidRPr="009A6F69">
        <w:fldChar w:fldCharType="begin"/>
      </w:r>
      <w:r w:rsidRPr="009A6F69">
        <w:instrText xml:space="preserve"> SEQ Figure \* ARABIC </w:instrText>
      </w:r>
      <w:r w:rsidR="001B3B9E" w:rsidRPr="009A6F69">
        <w:fldChar w:fldCharType="separate"/>
      </w:r>
      <w:r w:rsidR="008A34D7">
        <w:rPr>
          <w:noProof/>
        </w:rPr>
        <w:t>2</w:t>
      </w:r>
      <w:r w:rsidR="001B3B9E" w:rsidRPr="009A6F69">
        <w:fldChar w:fldCharType="end"/>
      </w:r>
      <w:r w:rsidRPr="009A6F69">
        <w:t xml:space="preserve">: </w:t>
      </w:r>
      <w:r w:rsidR="00391F29" w:rsidRPr="009A6F69">
        <w:t xml:space="preserve">Devolution requires </w:t>
      </w:r>
      <w:r w:rsidR="00391F29" w:rsidRPr="009A6F69">
        <w:rPr>
          <w:bCs/>
        </w:rPr>
        <w:t>massive political and administrative restructuring</w:t>
      </w:r>
      <w:r w:rsidR="00E22742" w:rsidRPr="009A6F69">
        <w:rPr>
          <w:bCs/>
        </w:rPr>
        <w:t xml:space="preserve"> </w:t>
      </w:r>
    </w:p>
    <w:p w:rsidR="00445ABB" w:rsidRPr="009A6F69" w:rsidRDefault="00AC24D5" w:rsidP="005728A3">
      <w:pPr>
        <w:rPr>
          <w:lang w:val="en-GB"/>
        </w:rPr>
      </w:pPr>
      <w:r w:rsidRPr="009A6F69">
        <w:rPr>
          <w:lang w:val="en-GB"/>
        </w:rPr>
        <w:t>Devo</w:t>
      </w:r>
      <w:r w:rsidR="009E3730" w:rsidRPr="009A6F69">
        <w:rPr>
          <w:lang w:val="en-GB"/>
        </w:rPr>
        <w:t xml:space="preserve">lution is meant to occur along </w:t>
      </w:r>
      <w:r w:rsidRPr="009A6F69">
        <w:rPr>
          <w:lang w:val="en-GB"/>
        </w:rPr>
        <w:t xml:space="preserve">three principles; </w:t>
      </w:r>
      <w:r w:rsidR="00445ABB" w:rsidRPr="009A6F69">
        <w:rPr>
          <w:lang w:val="en-GB"/>
        </w:rPr>
        <w:t>Each level of government hav</w:t>
      </w:r>
      <w:r w:rsidRPr="009A6F69">
        <w:rPr>
          <w:lang w:val="en-GB"/>
        </w:rPr>
        <w:t>ing</w:t>
      </w:r>
      <w:r w:rsidR="00445ABB" w:rsidRPr="009A6F69">
        <w:rPr>
          <w:lang w:val="en-GB"/>
        </w:rPr>
        <w:t xml:space="preserve"> distinct boundaries, sources of resources and functions</w:t>
      </w:r>
      <w:r w:rsidRPr="009A6F69">
        <w:rPr>
          <w:lang w:val="en-GB"/>
        </w:rPr>
        <w:t>; secondly the dif</w:t>
      </w:r>
      <w:r w:rsidR="004215BA" w:rsidRPr="009A6F69">
        <w:rPr>
          <w:lang w:val="en-GB"/>
        </w:rPr>
        <w:t>ferent levels of government are</w:t>
      </w:r>
      <w:r w:rsidRPr="009A6F69">
        <w:rPr>
          <w:lang w:val="en-GB"/>
        </w:rPr>
        <w:t xml:space="preserve"> interdependent</w:t>
      </w:r>
      <w:r w:rsidR="004215BA" w:rsidRPr="009A6F69">
        <w:rPr>
          <w:lang w:val="en-GB"/>
        </w:rPr>
        <w:t>,</w:t>
      </w:r>
      <w:r w:rsidRPr="009A6F69">
        <w:rPr>
          <w:lang w:val="en-GB"/>
        </w:rPr>
        <w:t xml:space="preserve"> serving t</w:t>
      </w:r>
      <w:r w:rsidR="00EB2E36" w:rsidRPr="009A6F69">
        <w:rPr>
          <w:lang w:val="en-GB"/>
        </w:rPr>
        <w:t>h</w:t>
      </w:r>
      <w:r w:rsidR="004215BA" w:rsidRPr="009A6F69">
        <w:rPr>
          <w:lang w:val="en-GB"/>
        </w:rPr>
        <w:t xml:space="preserve">e same population; and </w:t>
      </w:r>
      <w:r w:rsidR="004215BA" w:rsidRPr="009A6F69">
        <w:rPr>
          <w:lang w:val="en-GB"/>
        </w:rPr>
        <w:lastRenderedPageBreak/>
        <w:t>thirdly o</w:t>
      </w:r>
      <w:r w:rsidR="00445ABB" w:rsidRPr="009A6F69">
        <w:rPr>
          <w:lang w:val="en-GB"/>
        </w:rPr>
        <w:t>versight is left to intergovernmental institutions such as independent offices</w:t>
      </w:r>
      <w:r w:rsidR="00EB2E36" w:rsidRPr="009A6F69">
        <w:rPr>
          <w:lang w:val="en-GB"/>
        </w:rPr>
        <w:t xml:space="preserve"> and commissions</w:t>
      </w:r>
      <w:r w:rsidR="006A3681"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"Murkomen", "given" : "Onesimus Kipchumba", "non-dropping-particle" : "", "parse-names" : false, "suffix" : "" } ], "container-title" : "Devolution and Health Consultative Meeting", "id" : "ITEM-1", "issued" : { "date-parts" : [ [ "2012" ] ] }, "publisher" : "USAID", "publisher-place" : "Nairobi", "title" : "Devolution and the Health System in Kenya", "type" : "paper-conference" }, "uris" : [ "http://www.mendeley.com/documents/?uuid=218b30b0-15ee-4eda-b43e-82b4c785aaec" ] } ], "mendeley" : { "previouslyFormattedCitation" : "(Murkomen, 2012)" }, "properties" : { "noteIndex" : 0 }, "schema" : "https://github.com/citation-style-language/schema/raw/master/csl-citation.json" }</w:instrText>
      </w:r>
      <w:r w:rsidR="001B3B9E" w:rsidRPr="009A6F69">
        <w:rPr>
          <w:lang w:val="en-GB"/>
        </w:rPr>
        <w:fldChar w:fldCharType="separate"/>
      </w:r>
      <w:r w:rsidR="006A3681" w:rsidRPr="009A6F69">
        <w:rPr>
          <w:noProof/>
          <w:lang w:val="en-GB"/>
        </w:rPr>
        <w:t>(</w:t>
      </w:r>
      <w:proofErr w:type="spellStart"/>
      <w:r w:rsidR="006A3681" w:rsidRPr="009A6F69">
        <w:rPr>
          <w:noProof/>
          <w:lang w:val="en-GB"/>
        </w:rPr>
        <w:t>Murkomen</w:t>
      </w:r>
      <w:proofErr w:type="spellEnd"/>
      <w:r w:rsidR="006A3681" w:rsidRPr="009A6F69">
        <w:rPr>
          <w:noProof/>
          <w:lang w:val="en-GB"/>
        </w:rPr>
        <w:t>, 2012)</w:t>
      </w:r>
      <w:r w:rsidR="001B3B9E" w:rsidRPr="009A6F69">
        <w:rPr>
          <w:lang w:val="en-GB"/>
        </w:rPr>
        <w:fldChar w:fldCharType="end"/>
      </w:r>
      <w:r w:rsidR="00EB2E36" w:rsidRPr="009A6F69">
        <w:rPr>
          <w:lang w:val="en-GB"/>
        </w:rPr>
        <w:t xml:space="preserve">. </w:t>
      </w:r>
      <w:r w:rsidR="0004777E" w:rsidRPr="009A6F69">
        <w:rPr>
          <w:lang w:val="en-GB"/>
        </w:rPr>
        <w:t xml:space="preserve">However the transition phase </w:t>
      </w:r>
      <w:r w:rsidR="009C7103" w:rsidRPr="009A6F69">
        <w:rPr>
          <w:lang w:val="en-GB"/>
        </w:rPr>
        <w:t>is c</w:t>
      </w:r>
      <w:r w:rsidR="00D91CAC" w:rsidRPr="009A6F69">
        <w:rPr>
          <w:lang w:val="en-GB"/>
        </w:rPr>
        <w:t xml:space="preserve">ritical </w:t>
      </w:r>
      <w:r w:rsidR="009C7103" w:rsidRPr="009A6F69">
        <w:rPr>
          <w:lang w:val="en-GB"/>
        </w:rPr>
        <w:t>with political will, enough resources, i</w:t>
      </w:r>
      <w:r w:rsidR="009E3730" w:rsidRPr="009A6F69">
        <w:rPr>
          <w:lang w:val="en-GB"/>
        </w:rPr>
        <w:t>nstitutional competence and capacity</w:t>
      </w:r>
      <w:r w:rsidR="009C7103" w:rsidRPr="009A6F69">
        <w:rPr>
          <w:lang w:val="en-GB"/>
        </w:rPr>
        <w:t xml:space="preserve"> needed to avert a crisis within the health sector. </w:t>
      </w:r>
      <w:r w:rsidR="00680D7B" w:rsidRPr="009A6F69">
        <w:rPr>
          <w:lang w:val="en-GB"/>
        </w:rPr>
        <w:t>Of importance is dealing with potential human resource brain drain that has been experienced elsewhere,</w:t>
      </w:r>
      <w:r w:rsidR="001B3B9E" w:rsidRPr="009A6F69">
        <w:rPr>
          <w:lang w:val="en-GB"/>
        </w:rPr>
        <w:fldChar w:fldCharType="begin" w:fldLock="1"/>
      </w:r>
      <w:r w:rsidR="004F4010">
        <w:rPr>
          <w:lang w:val="en-GB"/>
        </w:rPr>
        <w:instrText>ADDIN CSL_CITATION { "citationItems" : [ { "id" : "ITEM-1", "itemData" : { "author" : [ { "dropping-particle" : "", "family" : "Nayyar-stone", "given" : "Ritu", "non-dropping-particle" : "", "parse-names" : false, "suffix" : "" }, { "dropping-particle" : "", "family" : "Street", "given" : "M", "non-dropping-particle" : "", "parse-names" : false, "suffix" : "" } ], "id" : "ITEM-1", "issue" : "February", "issued" : { "date-parts" : [ [ "2006" ] ] }, "publisher-place" : "Washington DC", "title" : "ASSESSING THE IMPACT OF DEVOLUTION ON HEALTHCARE AND EDUCATION IN PAKISTAN Prepared for Prepared by Robert Ebel Sonia Ignatova Khalid Rashid with United States Agency for International Development Contract No . DFD-I-00", "type" : "report", "volume" : "1" }, "uris" : [ "http://www.mendeley.com/documents/?uuid=47375406-677a-4b56-84f9-4213e9ef8925" ] } ], "mendeley" : { "previouslyFormattedCitation" : "(Nayyar-stone &amp; Street, 2006)" }, "properties" : { "noteIndex" : 0 }, "schema" : "https://github.com/citation-style-language/schema/raw/master/csl-citation.json" }</w:instrText>
      </w:r>
      <w:r w:rsidR="001B3B9E" w:rsidRPr="009A6F69">
        <w:rPr>
          <w:lang w:val="en-GB"/>
        </w:rPr>
        <w:fldChar w:fldCharType="separate"/>
      </w:r>
      <w:r w:rsidR="00680D7B" w:rsidRPr="009A6F69">
        <w:rPr>
          <w:noProof/>
          <w:lang w:val="en-GB"/>
        </w:rPr>
        <w:t>(</w:t>
      </w:r>
      <w:proofErr w:type="spellStart"/>
      <w:r w:rsidR="00680D7B" w:rsidRPr="009A6F69">
        <w:rPr>
          <w:noProof/>
          <w:lang w:val="en-GB"/>
        </w:rPr>
        <w:t>Nayyar</w:t>
      </w:r>
      <w:proofErr w:type="spellEnd"/>
      <w:r w:rsidR="00680D7B" w:rsidRPr="009A6F69">
        <w:rPr>
          <w:noProof/>
          <w:lang w:val="en-GB"/>
        </w:rPr>
        <w:t>-stone &amp; Street, 2006)</w:t>
      </w:r>
      <w:r w:rsidR="001B3B9E" w:rsidRPr="009A6F69">
        <w:rPr>
          <w:lang w:val="en-GB"/>
        </w:rPr>
        <w:fldChar w:fldCharType="end"/>
      </w:r>
      <w:r w:rsidR="00680D7B" w:rsidRPr="009A6F69">
        <w:rPr>
          <w:lang w:val="en-GB"/>
        </w:rPr>
        <w:t>.</w:t>
      </w:r>
      <w:r w:rsidR="00431E6F">
        <w:rPr>
          <w:lang w:val="en-GB"/>
        </w:rPr>
        <w:t xml:space="preserve"> </w:t>
      </w:r>
      <w:r w:rsidR="00D112A4">
        <w:t>Two cases studies of devolution illustrate the difficulties. In</w:t>
      </w:r>
      <w:r w:rsidR="00431E6F" w:rsidRPr="00431E6F">
        <w:t xml:space="preserve"> Philippines and Uganda, local governments </w:t>
      </w:r>
      <w:r w:rsidR="00D112A4">
        <w:t>were</w:t>
      </w:r>
      <w:r w:rsidR="00431E6F" w:rsidRPr="00431E6F">
        <w:t xml:space="preserve"> given authority to h</w:t>
      </w:r>
      <w:r w:rsidR="00D112A4">
        <w:t xml:space="preserve">ire and fire devolved personnel. However in Uganda </w:t>
      </w:r>
      <w:r w:rsidR="00354EA5" w:rsidRPr="00354EA5">
        <w:t>the health sector is heavily dependent on foreign aid and technical assistance. Local government capacity—fiscal, administrative, and technical—is much more limited in this context, and exerts significant constraints on effective local health sector management and autonomy</w:t>
      </w:r>
      <w:r w:rsidR="00213ED5">
        <w:t>,</w:t>
      </w:r>
      <w:r w:rsidR="001B3B9E">
        <w:fldChar w:fldCharType="begin" w:fldLock="1"/>
      </w:r>
      <w:r w:rsidR="004F4010">
        <w:instrText>ADDIN CSL_CITATION { "citationItems" : [ { "id" : "ITEM-1", "itemData" : { "ISSN" : "0268-1080", "PMID" : "11861583", "abstract" : "This study reviews the experience of decentralization in four developing countries: Ghana, Uganda, Zambia and the Philippines. It uses two analytical frameworks to describe and compare the types and degrees of decentralization in each country. The first framework specifies three types of decentralization: deconcentration, delegation and devolution. The second framework uses a principal agent approach and innovative maps of 'decision space' to define the range of choice for different functions that is transferred from the centre to the periphery of the system. The analysis finds a variety of different types and degrees of decentralization, with the Philippines demonstrating the widest range of choice over many functions that were devolved to local government units. The least choice was transferred through delegation to an autonomous health service in Ghana. Uganda and Zambia display variations between these extremes. There was insufficient evidence of the impact of decentralization to assess how these differences in 'decision space' influenced the performance of each health system. The authors suggest that this is a major area for future research.", "author" : [ { "dropping-particle" : "", "family" : "Bossert", "given" : "Thomas J", "non-dropping-particle" : "", "parse-names" : false, "suffix" : "" }, { "dropping-particle" : "", "family" : "Beauvais", "given" : "Joel C", "non-dropping-particle" : "", "parse-names" : false, "suffix" : "" } ], "container-title" : "Health policy and planning", "id" : "ITEM-1", "issue" : "1", "issued" : { "date-parts" : [ [ "2002", "3" ] ] }, "page" : "14-31", "title" : "Decentralization of health systems in Ghana, Zambia, Uganda and the Philippines: a comparative analysis of decision space.", "type" : "article-journal", "volume" : "17" }, "uris" : [ "http://www.mendeley.com/documents/?uuid=a793bbdf-80c3-4e50-b516-5ba7342f9bc8" ] } ], "mendeley" : { "previouslyFormattedCitation" : "(Bossert &amp; Beauvais, 2002)" }, "properties" : { "noteIndex" : 0 }, "schema" : "https://github.com/citation-style-language/schema/raw/master/csl-citation.json" }</w:instrText>
      </w:r>
      <w:r w:rsidR="001B3B9E">
        <w:fldChar w:fldCharType="separate"/>
      </w:r>
      <w:r w:rsidR="00213ED5" w:rsidRPr="00213ED5">
        <w:rPr>
          <w:noProof/>
        </w:rPr>
        <w:t>(</w:t>
      </w:r>
      <w:proofErr w:type="spellStart"/>
      <w:r w:rsidR="00213ED5" w:rsidRPr="00213ED5">
        <w:rPr>
          <w:noProof/>
        </w:rPr>
        <w:t>Bossert</w:t>
      </w:r>
      <w:proofErr w:type="spellEnd"/>
      <w:r w:rsidR="00213ED5" w:rsidRPr="00213ED5">
        <w:rPr>
          <w:noProof/>
        </w:rPr>
        <w:t xml:space="preserve"> &amp; Beauvais, 2002)</w:t>
      </w:r>
      <w:r w:rsidR="001B3B9E">
        <w:fldChar w:fldCharType="end"/>
      </w:r>
      <w:r w:rsidR="00354EA5" w:rsidRPr="00354EA5">
        <w:t>.</w:t>
      </w:r>
      <w:r w:rsidR="00A67B4C">
        <w:t xml:space="preserve"> The problems are already manifesting in Kenya. </w:t>
      </w:r>
      <w:r w:rsidR="00A67B4C" w:rsidRPr="00A67B4C">
        <w:rPr>
          <w:i/>
        </w:rPr>
        <w:t>“The district (sub-county) medical office is poorly funded. In the last six months we have not done any support supervision. We have to ask donor partners for assistance to fund supervision,</w:t>
      </w:r>
      <w:proofErr w:type="gramStart"/>
      <w:r w:rsidR="00A67B4C" w:rsidRPr="00A67B4C">
        <w:rPr>
          <w:i/>
        </w:rPr>
        <w:t>”(</w:t>
      </w:r>
      <w:proofErr w:type="gramEnd"/>
      <w:r w:rsidR="00A67B4C">
        <w:t>KII4)</w:t>
      </w:r>
    </w:p>
    <w:p w:rsidR="005B6DB4" w:rsidRPr="009A6F69" w:rsidRDefault="00AA7034" w:rsidP="005728A3">
      <w:pPr>
        <w:rPr>
          <w:lang w:val="en-GB"/>
        </w:rPr>
      </w:pPr>
      <w:r w:rsidRPr="009A6F69">
        <w:rPr>
          <w:lang w:val="en-GB"/>
        </w:rPr>
        <w:t xml:space="preserve">Kenya’s health sector is currently guided by Kenya Heath Policy </w:t>
      </w:r>
      <w:r w:rsidR="00772FE2" w:rsidRPr="009A6F69">
        <w:rPr>
          <w:lang w:val="en-GB"/>
        </w:rPr>
        <w:t xml:space="preserve">(KHP </w:t>
      </w:r>
      <w:r w:rsidRPr="009A6F69">
        <w:rPr>
          <w:lang w:val="en-GB"/>
        </w:rPr>
        <w:t>2012-2030</w:t>
      </w:r>
      <w:r w:rsidR="00772FE2" w:rsidRPr="009A6F69">
        <w:rPr>
          <w:lang w:val="en-GB"/>
        </w:rPr>
        <w:t>)</w:t>
      </w:r>
      <w:r w:rsidRPr="009A6F69">
        <w:rPr>
          <w:lang w:val="en-GB"/>
        </w:rPr>
        <w:t xml:space="preserve">, the follow up to Kenya Health Policy Framework (KHPF 1994-2010). </w:t>
      </w:r>
      <w:r w:rsidR="00076F0D" w:rsidRPr="009A6F69">
        <w:rPr>
          <w:lang w:val="en-GB"/>
        </w:rPr>
        <w:t xml:space="preserve">The current policy is guided by </w:t>
      </w:r>
      <w:r w:rsidRPr="009A6F69">
        <w:rPr>
          <w:lang w:val="en-GB"/>
        </w:rPr>
        <w:t>Visio</w:t>
      </w:r>
      <w:r w:rsidR="00076F0D" w:rsidRPr="009A6F69">
        <w:rPr>
          <w:lang w:val="en-GB"/>
        </w:rPr>
        <w:t xml:space="preserve">n 2030 and the new Constitution 2010. </w:t>
      </w:r>
      <w:r w:rsidR="003C64F9" w:rsidRPr="009A6F69">
        <w:rPr>
          <w:lang w:val="en-GB"/>
        </w:rPr>
        <w:t xml:space="preserve">KHP 2012-2030 focuses on </w:t>
      </w:r>
      <w:r w:rsidR="007F1F34" w:rsidRPr="009A6F69">
        <w:rPr>
          <w:lang w:val="en-GB"/>
        </w:rPr>
        <w:t>six objectives</w:t>
      </w:r>
      <w:r w:rsidR="00BB3A17" w:rsidRPr="009A6F69">
        <w:rPr>
          <w:lang w:val="en-GB"/>
        </w:rPr>
        <w:t xml:space="preserve"> (</w:t>
      </w:r>
      <w:r w:rsidR="001B3B9E" w:rsidRPr="009A6F69">
        <w:rPr>
          <w:lang w:val="en-GB"/>
        </w:rPr>
        <w:fldChar w:fldCharType="begin"/>
      </w:r>
      <w:r w:rsidR="00E04B17" w:rsidRPr="009A6F69">
        <w:rPr>
          <w:lang w:val="en-GB"/>
        </w:rPr>
        <w:instrText xml:space="preserve"> REF _Ref242450921 \h </w:instrText>
      </w:r>
      <w:r w:rsidR="001B3B9E" w:rsidRPr="009A6F69">
        <w:rPr>
          <w:lang w:val="en-GB"/>
        </w:rPr>
      </w:r>
      <w:r w:rsidR="001B3B9E" w:rsidRPr="009A6F69">
        <w:rPr>
          <w:lang w:val="en-GB"/>
        </w:rPr>
        <w:fldChar w:fldCharType="separate"/>
      </w:r>
      <w:r w:rsidR="008A34D7" w:rsidRPr="009A6F69">
        <w:t xml:space="preserve">Table </w:t>
      </w:r>
      <w:r w:rsidR="008A34D7">
        <w:rPr>
          <w:noProof/>
        </w:rPr>
        <w:t>2</w:t>
      </w:r>
      <w:r w:rsidR="001B3B9E" w:rsidRPr="009A6F69">
        <w:rPr>
          <w:lang w:val="en-GB"/>
        </w:rPr>
        <w:fldChar w:fldCharType="end"/>
      </w:r>
      <w:r w:rsidR="00BB3A17" w:rsidRPr="009A6F69">
        <w:rPr>
          <w:lang w:val="en-GB"/>
        </w:rPr>
        <w:t>)</w:t>
      </w:r>
      <w:r w:rsidR="007F1F34" w:rsidRPr="009A6F69">
        <w:rPr>
          <w:lang w:val="en-GB"/>
        </w:rPr>
        <w:t xml:space="preserve">, </w:t>
      </w:r>
      <w:r w:rsidR="00772FE2" w:rsidRPr="009A6F69">
        <w:rPr>
          <w:lang w:val="en-GB"/>
        </w:rPr>
        <w:t>to attain the overall government’s goals i</w:t>
      </w:r>
      <w:r w:rsidR="003C64F9" w:rsidRPr="009A6F69">
        <w:rPr>
          <w:lang w:val="en-GB"/>
        </w:rPr>
        <w:t>n health taking into account the different roles of county and national levels of government in health service delivery</w:t>
      </w:r>
      <w:r w:rsidR="00643EC6" w:rsidRPr="009A6F69">
        <w:rPr>
          <w:lang w:val="en-GB"/>
        </w:rPr>
        <w:t xml:space="preserve"> </w:t>
      </w:r>
      <w:r w:rsidR="001B3B9E" w:rsidRPr="009A6F69">
        <w:rPr>
          <w:lang w:val="en-GB"/>
        </w:rPr>
        <w:fldChar w:fldCharType="begin" w:fldLock="1"/>
      </w:r>
      <w:r w:rsidR="004F4010">
        <w:rPr>
          <w:lang w:val="en-GB"/>
        </w:rPr>
        <w:instrText>ADDIN CSL_CITATION { "citationItems" : [ { "id" : "ITEM-1", "itemData" : { "author" : [ { "dropping-particle" : "", "family" : "Ministry of Medical Services &amp; Ministry of Public Health and Sanitation", "given" : "", "non-dropping-particle" : "", "parse-names" : false, "suffix" : "" } ], "id" : "ITEM-1", "issued" : { "date-parts" : [ [ "2012" ] ] }, "page" : "43", "publisher-place" : "Nairobi", "title" : "Kenya Health Policy 2012-2030", "type" : "report" }, "uris" : [ "http://www.mendeley.com/documents/?uuid=4a37ebe2-89c2-4ceb-aec0-5b88f3499b85" ] } ], "mendeley" : { "previouslyFormattedCitation" : "(Ministry of Medical Services &amp; Ministry of Public Health and Sanitation, 2012)" }, "properties" : { "noteIndex" : 0 }, "schema" : "https://github.com/citation-style-language/schema/raw/master/csl-citation.json" }</w:instrText>
      </w:r>
      <w:r w:rsidR="001B3B9E" w:rsidRPr="009A6F69">
        <w:rPr>
          <w:lang w:val="en-GB"/>
        </w:rPr>
        <w:fldChar w:fldCharType="separate"/>
      </w:r>
      <w:r w:rsidR="000142E7" w:rsidRPr="009A6F69">
        <w:rPr>
          <w:noProof/>
          <w:lang w:val="en-GB"/>
        </w:rPr>
        <w:t>(Ministry of Medical Services &amp; Ministry of Public Health and Sanitation, 2012)</w:t>
      </w:r>
      <w:r w:rsidR="001B3B9E" w:rsidRPr="009A6F69">
        <w:rPr>
          <w:lang w:val="en-GB"/>
        </w:rPr>
        <w:fldChar w:fldCharType="end"/>
      </w:r>
      <w:r w:rsidR="003C64F9" w:rsidRPr="009A6F69">
        <w:rPr>
          <w:lang w:val="en-GB"/>
        </w:rPr>
        <w:t>.</w:t>
      </w:r>
      <w:r w:rsidR="00254D8A" w:rsidRPr="009A6F69">
        <w:rPr>
          <w:lang w:val="en-GB"/>
        </w:rPr>
        <w:t xml:space="preserve"> </w:t>
      </w:r>
    </w:p>
    <w:p w:rsidR="00C339A0" w:rsidRPr="009A6F69" w:rsidRDefault="00C339A0" w:rsidP="00F06B4B">
      <w:pPr>
        <w:pStyle w:val="Caption"/>
        <w:spacing w:after="0"/>
      </w:pPr>
      <w:bookmarkStart w:id="16" w:name="_Ref242450921"/>
      <w:r w:rsidRPr="009A6F69">
        <w:t xml:space="preserve">Table </w:t>
      </w:r>
      <w:r w:rsidR="001B3B9E" w:rsidRPr="009A6F69">
        <w:fldChar w:fldCharType="begin"/>
      </w:r>
      <w:r w:rsidR="009B2FBE" w:rsidRPr="009A6F69">
        <w:instrText xml:space="preserve"> SEQ Table \* ARABIC </w:instrText>
      </w:r>
      <w:r w:rsidR="001B3B9E" w:rsidRPr="009A6F69">
        <w:fldChar w:fldCharType="separate"/>
      </w:r>
      <w:r w:rsidR="00564A16">
        <w:rPr>
          <w:noProof/>
        </w:rPr>
        <w:t>2</w:t>
      </w:r>
      <w:r w:rsidR="001B3B9E" w:rsidRPr="009A6F69">
        <w:fldChar w:fldCharType="end"/>
      </w:r>
      <w:bookmarkEnd w:id="16"/>
      <w:r w:rsidRPr="009A6F69">
        <w:t xml:space="preserve">: Six Policy Objectives of Kenya Health Policy 2012 – 2030 </w:t>
      </w:r>
    </w:p>
    <w:tbl>
      <w:tblPr>
        <w:tblW w:w="5000" w:type="pct"/>
        <w:tblLook w:val="04A0"/>
      </w:tblPr>
      <w:tblGrid>
        <w:gridCol w:w="2953"/>
        <w:gridCol w:w="5903"/>
      </w:tblGrid>
      <w:tr w:rsidR="007F1F34" w:rsidRPr="009A6F69" w:rsidTr="00452043">
        <w:trPr>
          <w:tblHeader/>
        </w:trPr>
        <w:tc>
          <w:tcPr>
            <w:tcW w:w="1667" w:type="pct"/>
          </w:tcPr>
          <w:p w:rsidR="007F1F34" w:rsidRPr="009A6F69" w:rsidRDefault="007F1F34" w:rsidP="00F06B4B">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Policy Objectives</w:t>
            </w:r>
          </w:p>
        </w:tc>
        <w:tc>
          <w:tcPr>
            <w:tcW w:w="3333" w:type="pct"/>
          </w:tcPr>
          <w:p w:rsidR="007F1F34" w:rsidRPr="009A6F69" w:rsidRDefault="007F1F34" w:rsidP="00F06B4B">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Select Strategies</w:t>
            </w:r>
          </w:p>
        </w:tc>
      </w:tr>
      <w:tr w:rsidR="007F1F34" w:rsidRPr="009A6F69" w:rsidTr="000D30D6">
        <w:tc>
          <w:tcPr>
            <w:tcW w:w="1667"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Eliminate communicable conditions </w:t>
            </w:r>
          </w:p>
          <w:p w:rsidR="007F1F34" w:rsidRPr="009A6F69" w:rsidRDefault="007F1F34" w:rsidP="001D4938">
            <w:pPr>
              <w:spacing w:line="240" w:lineRule="auto"/>
              <w:rPr>
                <w:rFonts w:ascii="Times New Roman" w:hAnsi="Times New Roman" w:cs="Times New Roman"/>
                <w:sz w:val="20"/>
                <w:szCs w:val="20"/>
                <w:lang w:val="en-GB"/>
              </w:rPr>
            </w:pPr>
          </w:p>
        </w:tc>
        <w:tc>
          <w:tcPr>
            <w:tcW w:w="3333"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Attain universal access to preventive health services addressing major causes of the disease burden due to communicable conditions;</w:t>
            </w:r>
          </w:p>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Ensure quality of care in provision of the preventive and </w:t>
            </w:r>
            <w:proofErr w:type="spellStart"/>
            <w:r w:rsidRPr="009A6F69">
              <w:rPr>
                <w:rFonts w:ascii="Times New Roman" w:hAnsi="Times New Roman" w:cs="Times New Roman"/>
                <w:sz w:val="20"/>
                <w:szCs w:val="20"/>
                <w:lang w:val="en-GB"/>
              </w:rPr>
              <w:t>promotive</w:t>
            </w:r>
            <w:proofErr w:type="spellEnd"/>
            <w:r w:rsidRPr="009A6F69">
              <w:rPr>
                <w:rFonts w:ascii="Times New Roman" w:hAnsi="Times New Roman" w:cs="Times New Roman"/>
                <w:sz w:val="20"/>
                <w:szCs w:val="20"/>
                <w:lang w:val="en-GB"/>
              </w:rPr>
              <w:t xml:space="preserve"> services addressing major causes of the burden due to communicable conditions;</w:t>
            </w:r>
          </w:p>
        </w:tc>
      </w:tr>
      <w:tr w:rsidR="007F1F34" w:rsidRPr="009A6F69" w:rsidTr="000D30D6">
        <w:tc>
          <w:tcPr>
            <w:tcW w:w="1667"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Halt and reverse the rising burden of non communicable conditions </w:t>
            </w:r>
          </w:p>
        </w:tc>
        <w:tc>
          <w:tcPr>
            <w:tcW w:w="3333"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Ensure universal access to interventions addressing recognized non communicable conditions in the country</w:t>
            </w:r>
          </w:p>
        </w:tc>
      </w:tr>
      <w:tr w:rsidR="007F1F34" w:rsidRPr="009A6F69" w:rsidTr="000D30D6">
        <w:tc>
          <w:tcPr>
            <w:tcW w:w="1667"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Reduce the burden of violence and injuries</w:t>
            </w:r>
          </w:p>
        </w:tc>
        <w:tc>
          <w:tcPr>
            <w:tcW w:w="3333"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Ensure universal access to quality emergency care (curative and rehabilitative)</w:t>
            </w:r>
          </w:p>
        </w:tc>
      </w:tr>
      <w:tr w:rsidR="007F1F34" w:rsidRPr="009A6F69" w:rsidTr="000D30D6">
        <w:tc>
          <w:tcPr>
            <w:tcW w:w="1667"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Provide essential health care</w:t>
            </w:r>
          </w:p>
        </w:tc>
        <w:tc>
          <w:tcPr>
            <w:tcW w:w="3333"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Scale up physical access to person-</w:t>
            </w:r>
            <w:r w:rsidR="000D20B3" w:rsidRPr="009A6F69">
              <w:rPr>
                <w:rFonts w:ascii="Times New Roman" w:hAnsi="Times New Roman" w:cs="Times New Roman"/>
                <w:sz w:val="20"/>
                <w:szCs w:val="20"/>
                <w:lang w:val="en-GB"/>
              </w:rPr>
              <w:t>centred</w:t>
            </w:r>
            <w:r w:rsidRPr="009A6F69">
              <w:rPr>
                <w:rFonts w:ascii="Times New Roman" w:hAnsi="Times New Roman" w:cs="Times New Roman"/>
                <w:sz w:val="20"/>
                <w:szCs w:val="20"/>
                <w:lang w:val="en-GB"/>
              </w:rPr>
              <w:t xml:space="preserve"> health care by prioritizing </w:t>
            </w:r>
            <w:r w:rsidRPr="009A6F69">
              <w:rPr>
                <w:rFonts w:ascii="Times New Roman" w:hAnsi="Times New Roman" w:cs="Times New Roman"/>
                <w:sz w:val="20"/>
                <w:szCs w:val="20"/>
                <w:lang w:val="en-GB"/>
              </w:rPr>
              <w:lastRenderedPageBreak/>
              <w:t>solutions targeting hard to reach, or vulnerable populations;</w:t>
            </w:r>
          </w:p>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Ensure provision of quality health care, as defined in the norms and standards and guidelines, and by users;</w:t>
            </w:r>
          </w:p>
        </w:tc>
      </w:tr>
      <w:tr w:rsidR="007F1F34" w:rsidRPr="009A6F69" w:rsidTr="000D30D6">
        <w:tc>
          <w:tcPr>
            <w:tcW w:w="1667"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lastRenderedPageBreak/>
              <w:t>Minimize exposure to health risk factors</w:t>
            </w:r>
          </w:p>
        </w:tc>
        <w:tc>
          <w:tcPr>
            <w:tcW w:w="3333"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Strengthen mechanisms for screening and management of conditions arising from health risk factors at all levels;</w:t>
            </w:r>
          </w:p>
        </w:tc>
      </w:tr>
      <w:tr w:rsidR="007F1F34" w:rsidRPr="009A6F69" w:rsidTr="000D30D6">
        <w:tc>
          <w:tcPr>
            <w:tcW w:w="1667"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Strengthen collaboration with other sectors t</w:t>
            </w:r>
            <w:r w:rsidR="00490355" w:rsidRPr="009A6F69">
              <w:rPr>
                <w:rFonts w:ascii="Times New Roman" w:hAnsi="Times New Roman" w:cs="Times New Roman"/>
                <w:sz w:val="20"/>
                <w:szCs w:val="20"/>
                <w:lang w:val="en-GB"/>
              </w:rPr>
              <w:t>hat have an impact on health.</w:t>
            </w:r>
          </w:p>
        </w:tc>
        <w:tc>
          <w:tcPr>
            <w:tcW w:w="3333" w:type="pct"/>
          </w:tcPr>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Security and justice: ensure enhanced security and fair justice system important in managing access to food, water and sanitation, housing, employment opportunities, and other determinants of wellbeing; </w:t>
            </w:r>
          </w:p>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Education and early life: enhance education of both women and men to promote their abilities to address challenges relating to health;</w:t>
            </w:r>
          </w:p>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Agriculture and food: promote considerations of safety in food production systems, manufacturing, marketing and distribution;</w:t>
            </w:r>
          </w:p>
          <w:p w:rsidR="007F1F34" w:rsidRPr="009A6F69" w:rsidRDefault="007F1F34" w:rsidP="001D4938">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Nutrition: ensure adequate nutrition for the whole population through promotion of proper nutrition practices;</w:t>
            </w:r>
          </w:p>
        </w:tc>
      </w:tr>
    </w:tbl>
    <w:p w:rsidR="007F1F34" w:rsidRPr="009A6F69" w:rsidRDefault="007F1F34" w:rsidP="005728A3">
      <w:pPr>
        <w:rPr>
          <w:lang w:val="en-GB"/>
        </w:rPr>
      </w:pPr>
    </w:p>
    <w:p w:rsidR="00384F9C" w:rsidRPr="009A6F69" w:rsidRDefault="00384F9C" w:rsidP="005728A3">
      <w:pPr>
        <w:rPr>
          <w:lang w:val="en-GB"/>
        </w:rPr>
      </w:pPr>
      <w:r w:rsidRPr="009A6F69">
        <w:rPr>
          <w:lang w:val="en-GB"/>
        </w:rPr>
        <w:t xml:space="preserve">The theme running through the policy objectives is the need for universal coverage in achieving the required health status as envisioned in Vision 2030 </w:t>
      </w:r>
      <w:r w:rsidR="001B3B9E" w:rsidRPr="009A6F69">
        <w:rPr>
          <w:lang w:val="en-GB"/>
        </w:rPr>
        <w:fldChar w:fldCharType="begin" w:fldLock="1"/>
      </w:r>
      <w:r w:rsidR="004F4010">
        <w:rPr>
          <w:lang w:val="en-GB"/>
        </w:rPr>
        <w:instrText>ADDIN CSL_CITATION { "citationItems" : [ { "id" : "ITEM-1", "itemData" : { "author" : [ { "dropping-particle" : "", "family" : "Ministry of Planning and National Development", "given" : "", "non-dropping-particle" : "", "parse-names" : false, "suffix" : "" } ], "id" : "ITEM-1", "issue" : "November", "issued" : { "date-parts" : [ [ "2007" ] ] }, "page" : "1-14", "publisher" : "The National Economic and Social Council of Kenya (NESC) Office of the President, Ministry of Planning and National Development", "publisher-place" : "Nairobi", "title" : "Kenya Vision 2030", "type" : "article" }, "uris" : [ "http://www.mendeley.com/documents/?uuid=734a6d71-0b7c-4e3b-9b3d-b3c8902ceedc" ] } ], "mendeley" : { "previouslyFormattedCitation" : "(Ministry of Planning and National Development, 2007)" }, "properties" : { "noteIndex" : 0 }, "schema" : "https://github.com/citation-style-language/schema/raw/master/csl-citation.json" }</w:instrText>
      </w:r>
      <w:r w:rsidR="001B3B9E" w:rsidRPr="009A6F69">
        <w:rPr>
          <w:lang w:val="en-GB"/>
        </w:rPr>
        <w:fldChar w:fldCharType="separate"/>
      </w:r>
      <w:r w:rsidRPr="009A6F69">
        <w:rPr>
          <w:noProof/>
          <w:lang w:val="en-GB"/>
        </w:rPr>
        <w:t>(Ministry of Planning and National Development, 2007)</w:t>
      </w:r>
      <w:r w:rsidR="001B3B9E" w:rsidRPr="009A6F69">
        <w:rPr>
          <w:lang w:val="en-GB"/>
        </w:rPr>
        <w:fldChar w:fldCharType="end"/>
      </w:r>
      <w:r w:rsidRPr="009A6F69">
        <w:rPr>
          <w:lang w:val="en-GB"/>
        </w:rPr>
        <w:t>.</w:t>
      </w:r>
    </w:p>
    <w:p w:rsidR="00460C8D" w:rsidRPr="009A6F69" w:rsidRDefault="00460C8D" w:rsidP="005728A3">
      <w:pPr>
        <w:rPr>
          <w:lang w:val="en-GB"/>
        </w:rPr>
      </w:pPr>
    </w:p>
    <w:p w:rsidR="00C12894" w:rsidRPr="009A6F69" w:rsidRDefault="005B2AA4" w:rsidP="005728A3">
      <w:pPr>
        <w:rPr>
          <w:lang w:val="en-GB"/>
        </w:rPr>
      </w:pPr>
      <w:r w:rsidRPr="009A6F69">
        <w:rPr>
          <w:lang w:val="en-GB"/>
        </w:rPr>
        <w:t xml:space="preserve">The KHP 2012-2030 is intended to build on the earlier </w:t>
      </w:r>
      <w:r w:rsidR="00AE28D3" w:rsidRPr="009A6F69">
        <w:rPr>
          <w:lang w:val="en-GB"/>
        </w:rPr>
        <w:t>health policy framework</w:t>
      </w:r>
      <w:r w:rsidR="00AF6B53" w:rsidRPr="009A6F69">
        <w:rPr>
          <w:lang w:val="en-GB"/>
        </w:rPr>
        <w:t>,</w:t>
      </w:r>
      <w:r w:rsidR="00AE28D3" w:rsidRPr="009A6F69">
        <w:rPr>
          <w:lang w:val="en-GB"/>
        </w:rPr>
        <w:t xml:space="preserve"> a review of which brought out a number of weaknesses in its’ implementation. Key among these weaknesses</w:t>
      </w:r>
      <w:r w:rsidR="00FE2C60" w:rsidRPr="009A6F69">
        <w:rPr>
          <w:lang w:val="en-GB"/>
        </w:rPr>
        <w:t>,</w:t>
      </w:r>
      <w:r w:rsidR="00AE28D3" w:rsidRPr="009A6F69">
        <w:rPr>
          <w:lang w:val="en-GB"/>
        </w:rPr>
        <w:t xml:space="preserve"> were a lack of critical mass and other inputs at central MOH to develop and facilitate the implementation of health policy.</w:t>
      </w:r>
      <w:r w:rsidR="00BE0823" w:rsidRPr="009A6F69">
        <w:rPr>
          <w:lang w:val="en-GB"/>
        </w:rPr>
        <w:t xml:space="preserve"> In addition</w:t>
      </w:r>
      <w:r w:rsidR="00920E8A" w:rsidRPr="009A6F69">
        <w:rPr>
          <w:lang w:val="en-GB"/>
        </w:rPr>
        <w:t xml:space="preserve"> accountability and democratic participation in health policy dialogue was weak leading to poor dissemination and implementation of new policies and guidelines</w:t>
      </w:r>
      <w:r w:rsidR="0002248D"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"Kenya Institute for Public Policy Research and Analysis", "given" : "", "non-dropping-particle" : "", "parse-names" : false, "suffix" : "" } ], "container-title" : "In Health", "id" : "ITEM-1", "issue" : "October", "issued" : { "date-parts" : [ [ "2010" ] ] }, "page" : "249keny", "publisher-place" : "Nairobi", "title" : "Review of the Kenya Health Policy Framework 1994 - 2010", "type" : "report" }, "uris" : [ "http://www.mendeley.com/documents/?uuid=4f12717f-dde8-4f66-899d-96337205ed8e" ] } ], "mendeley" : { "previouslyFormattedCitation" : "(Kenya Institute for Public Policy Research and Analysis, 2010)" }, "properties" : { "noteIndex" : 0 }, "schema" : "https://github.com/citation-style-language/schema/raw/master/csl-citation.json" }</w:instrText>
      </w:r>
      <w:r w:rsidR="001B3B9E" w:rsidRPr="009A6F69">
        <w:rPr>
          <w:lang w:val="en-GB"/>
        </w:rPr>
        <w:fldChar w:fldCharType="separate"/>
      </w:r>
      <w:r w:rsidR="0077781E" w:rsidRPr="009A6F69">
        <w:rPr>
          <w:noProof/>
          <w:lang w:val="en-GB"/>
        </w:rPr>
        <w:t>(Kenya Institute for Public Policy Research and Analysis, 2010)</w:t>
      </w:r>
      <w:r w:rsidR="001B3B9E" w:rsidRPr="009A6F69">
        <w:rPr>
          <w:lang w:val="en-GB"/>
        </w:rPr>
        <w:fldChar w:fldCharType="end"/>
      </w:r>
      <w:r w:rsidR="00920E8A" w:rsidRPr="009A6F69">
        <w:rPr>
          <w:lang w:val="en-GB"/>
        </w:rPr>
        <w:t xml:space="preserve">. </w:t>
      </w:r>
      <w:r w:rsidR="0027507C" w:rsidRPr="009A6F69">
        <w:rPr>
          <w:lang w:val="en-GB"/>
        </w:rPr>
        <w:t xml:space="preserve">The KHPF 1994-2010 </w:t>
      </w:r>
      <w:r w:rsidR="00B9178E" w:rsidRPr="009A6F69">
        <w:rPr>
          <w:lang w:val="en-GB"/>
        </w:rPr>
        <w:t xml:space="preserve">with a strategic theme of ‘investing in health’ </w:t>
      </w:r>
      <w:r w:rsidR="00C12894" w:rsidRPr="009A6F69">
        <w:rPr>
          <w:lang w:val="en-GB"/>
        </w:rPr>
        <w:t>was implemented through three successive five-year strategic plans</w:t>
      </w:r>
      <w:r w:rsidR="001076B6" w:rsidRPr="009A6F69">
        <w:rPr>
          <w:lang w:val="en-GB"/>
        </w:rPr>
        <w:t>, (</w:t>
      </w:r>
      <w:r w:rsidR="001B3B9E" w:rsidRPr="009A6F69">
        <w:rPr>
          <w:lang w:val="en-GB"/>
        </w:rPr>
        <w:fldChar w:fldCharType="begin"/>
      </w:r>
      <w:r w:rsidR="001076B6" w:rsidRPr="009A6F69">
        <w:rPr>
          <w:lang w:val="en-GB"/>
        </w:rPr>
        <w:instrText xml:space="preserve"> REF _Ref242525168 \h </w:instrText>
      </w:r>
      <w:r w:rsidR="001B3B9E" w:rsidRPr="009A6F69">
        <w:rPr>
          <w:lang w:val="en-GB"/>
        </w:rPr>
      </w:r>
      <w:r w:rsidR="001B3B9E" w:rsidRPr="009A6F69">
        <w:rPr>
          <w:lang w:val="en-GB"/>
        </w:rPr>
        <w:fldChar w:fldCharType="separate"/>
      </w:r>
      <w:r w:rsidR="008A34D7" w:rsidRPr="009A6F69">
        <w:t xml:space="preserve">Table </w:t>
      </w:r>
      <w:r w:rsidR="008A34D7">
        <w:rPr>
          <w:noProof/>
        </w:rPr>
        <w:t>3</w:t>
      </w:r>
      <w:r w:rsidR="001B3B9E" w:rsidRPr="009A6F69">
        <w:rPr>
          <w:lang w:val="en-GB"/>
        </w:rPr>
        <w:fldChar w:fldCharType="end"/>
      </w:r>
      <w:r w:rsidR="001076B6" w:rsidRPr="009A6F69">
        <w:rPr>
          <w:lang w:val="en-GB"/>
        </w:rPr>
        <w:t>)</w:t>
      </w:r>
      <w:r w:rsidR="00C12894" w:rsidRPr="009A6F69">
        <w:rPr>
          <w:lang w:val="en-GB"/>
        </w:rPr>
        <w:t>.</w:t>
      </w:r>
    </w:p>
    <w:p w:rsidR="009D3767" w:rsidRPr="009A6F69" w:rsidRDefault="009D3767" w:rsidP="002C6F47">
      <w:pPr>
        <w:pStyle w:val="Caption"/>
        <w:spacing w:after="0"/>
      </w:pPr>
      <w:bookmarkStart w:id="17" w:name="_Ref242525168"/>
      <w:r w:rsidRPr="009A6F69">
        <w:t xml:space="preserve">Table </w:t>
      </w:r>
      <w:r w:rsidR="001B3B9E" w:rsidRPr="009A6F69">
        <w:fldChar w:fldCharType="begin"/>
      </w:r>
      <w:r w:rsidR="009B2FBE" w:rsidRPr="009A6F69">
        <w:instrText xml:space="preserve"> SEQ Table \* ARABIC </w:instrText>
      </w:r>
      <w:r w:rsidR="001B3B9E" w:rsidRPr="009A6F69">
        <w:fldChar w:fldCharType="separate"/>
      </w:r>
      <w:r w:rsidR="00564A16">
        <w:rPr>
          <w:noProof/>
        </w:rPr>
        <w:t>3</w:t>
      </w:r>
      <w:r w:rsidR="001B3B9E" w:rsidRPr="009A6F69">
        <w:rPr>
          <w:noProof/>
        </w:rPr>
        <w:fldChar w:fldCharType="end"/>
      </w:r>
      <w:bookmarkEnd w:id="17"/>
      <w:r w:rsidRPr="009A6F69">
        <w:t>: Strategies in Implementing Kenya Health Policy Framework 1994 -2010</w:t>
      </w:r>
    </w:p>
    <w:tbl>
      <w:tblPr>
        <w:tblW w:w="5000" w:type="pct"/>
        <w:tblLook w:val="04A0"/>
      </w:tblPr>
      <w:tblGrid>
        <w:gridCol w:w="2123"/>
        <w:gridCol w:w="2487"/>
        <w:gridCol w:w="2124"/>
        <w:gridCol w:w="2122"/>
      </w:tblGrid>
      <w:tr w:rsidR="00200DD8" w:rsidRPr="009A6F69" w:rsidTr="00D92DBC">
        <w:tc>
          <w:tcPr>
            <w:tcW w:w="1199" w:type="pct"/>
          </w:tcPr>
          <w:p w:rsidR="00200DD8" w:rsidRPr="009A6F69" w:rsidRDefault="00200DD8" w:rsidP="002C6F47">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 xml:space="preserve">Policy </w:t>
            </w:r>
          </w:p>
        </w:tc>
        <w:tc>
          <w:tcPr>
            <w:tcW w:w="3801" w:type="pct"/>
            <w:gridSpan w:val="3"/>
          </w:tcPr>
          <w:p w:rsidR="00200DD8" w:rsidRPr="009A6F69" w:rsidRDefault="00200DD8" w:rsidP="002C6F47">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Kenya Health Policy Framework 1994 2010</w:t>
            </w:r>
          </w:p>
        </w:tc>
      </w:tr>
      <w:tr w:rsidR="00C12894" w:rsidRPr="009A6F69" w:rsidTr="00D92DBC">
        <w:tc>
          <w:tcPr>
            <w:tcW w:w="1199" w:type="pct"/>
          </w:tcPr>
          <w:p w:rsidR="00C12894" w:rsidRPr="009A6F69" w:rsidRDefault="00C12894" w:rsidP="0064588B">
            <w:pPr>
              <w:spacing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 xml:space="preserve">Strategic Plan </w:t>
            </w:r>
          </w:p>
        </w:tc>
        <w:tc>
          <w:tcPr>
            <w:tcW w:w="1404" w:type="pct"/>
          </w:tcPr>
          <w:p w:rsidR="00C12894" w:rsidRPr="009A6F69" w:rsidRDefault="00C12894" w:rsidP="009B0D7B">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KHPF Implementation Plan 1996 - 1999</w:t>
            </w:r>
          </w:p>
        </w:tc>
        <w:tc>
          <w:tcPr>
            <w:tcW w:w="1199" w:type="pct"/>
          </w:tcPr>
          <w:p w:rsidR="00583162" w:rsidRPr="009A6F69" w:rsidRDefault="00583162" w:rsidP="009B0D7B">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National Health Sector Strategic Plan I</w:t>
            </w:r>
          </w:p>
          <w:p w:rsidR="00C12894" w:rsidRPr="009A6F69" w:rsidRDefault="00583162" w:rsidP="009B0D7B">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1999 - 2004</w:t>
            </w:r>
          </w:p>
        </w:tc>
        <w:tc>
          <w:tcPr>
            <w:tcW w:w="1198" w:type="pct"/>
          </w:tcPr>
          <w:p w:rsidR="00583162" w:rsidRPr="009A6F69" w:rsidRDefault="00583162" w:rsidP="009B0D7B">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National Health Sector Strategic Plan II</w:t>
            </w:r>
          </w:p>
          <w:p w:rsidR="00C12894" w:rsidRPr="009A6F69" w:rsidRDefault="00583162" w:rsidP="009B0D7B">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2005 - 2010</w:t>
            </w:r>
          </w:p>
        </w:tc>
      </w:tr>
      <w:tr w:rsidR="00B10840" w:rsidRPr="009A6F69" w:rsidTr="00D92DBC">
        <w:tc>
          <w:tcPr>
            <w:tcW w:w="1199" w:type="pct"/>
          </w:tcPr>
          <w:p w:rsidR="00B10840" w:rsidRPr="009A6F69" w:rsidRDefault="00B10840" w:rsidP="0064588B">
            <w:pPr>
              <w:spacing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 xml:space="preserve">Key Achievements </w:t>
            </w:r>
          </w:p>
        </w:tc>
        <w:tc>
          <w:tcPr>
            <w:tcW w:w="1404" w:type="pct"/>
          </w:tcPr>
          <w:p w:rsidR="00B10840" w:rsidRPr="009A6F69" w:rsidRDefault="00B10840" w:rsidP="009B0D7B">
            <w:pPr>
              <w:spacing w:line="240" w:lineRule="auto"/>
              <w:rPr>
                <w:rFonts w:ascii="Times New Roman" w:hAnsi="Times New Roman" w:cs="Times New Roman"/>
                <w:sz w:val="20"/>
                <w:szCs w:val="20"/>
                <w:lang w:val="en-GB"/>
              </w:rPr>
            </w:pPr>
          </w:p>
        </w:tc>
        <w:tc>
          <w:tcPr>
            <w:tcW w:w="1199" w:type="pct"/>
          </w:tcPr>
          <w:p w:rsidR="00B10840" w:rsidRPr="009A6F69" w:rsidRDefault="00B10840" w:rsidP="009B0D7B">
            <w:pPr>
              <w:spacing w:line="240" w:lineRule="auto"/>
              <w:rPr>
                <w:rFonts w:ascii="Times New Roman" w:hAnsi="Times New Roman" w:cs="Times New Roman"/>
                <w:sz w:val="20"/>
                <w:szCs w:val="20"/>
                <w:lang w:val="en-GB"/>
              </w:rPr>
            </w:pPr>
          </w:p>
        </w:tc>
        <w:tc>
          <w:tcPr>
            <w:tcW w:w="1198" w:type="pct"/>
          </w:tcPr>
          <w:p w:rsidR="00B10840" w:rsidRPr="009A6F69" w:rsidRDefault="00812AAE" w:rsidP="009B0D7B">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Development of Kenya Essential Package for Health (KEPH)</w:t>
            </w:r>
          </w:p>
        </w:tc>
      </w:tr>
    </w:tbl>
    <w:p w:rsidR="00C12894" w:rsidRPr="009A6F69" w:rsidRDefault="00C12894" w:rsidP="005728A3">
      <w:pPr>
        <w:rPr>
          <w:lang w:val="en-GB"/>
        </w:rPr>
      </w:pPr>
    </w:p>
    <w:p w:rsidR="0027507C" w:rsidRPr="009A6F69" w:rsidRDefault="00241118" w:rsidP="005728A3">
      <w:pPr>
        <w:rPr>
          <w:lang w:val="en-GB"/>
        </w:rPr>
      </w:pPr>
      <w:r w:rsidRPr="009A6F69">
        <w:rPr>
          <w:lang w:val="en-GB"/>
        </w:rPr>
        <w:t xml:space="preserve">The results of these plans have been a modest achievement in health goals as outlined in the Kenya demographic Health Survey 2009. </w:t>
      </w:r>
      <w:r w:rsidR="00C83548" w:rsidRPr="009A6F69">
        <w:rPr>
          <w:lang w:val="en-GB"/>
        </w:rPr>
        <w:t xml:space="preserve">Mortality levels and trends provide good measures of the health status of a population. </w:t>
      </w:r>
      <w:r w:rsidR="00C038EA" w:rsidRPr="009A6F69">
        <w:rPr>
          <w:lang w:val="en-GB"/>
        </w:rPr>
        <w:t>Under-five mortality</w:t>
      </w:r>
      <w:r w:rsidR="003E54E4" w:rsidRPr="009A6F69">
        <w:rPr>
          <w:lang w:val="en-GB"/>
        </w:rPr>
        <w:t xml:space="preserve"> dropped from 115</w:t>
      </w:r>
      <w:r w:rsidRPr="009A6F69">
        <w:rPr>
          <w:lang w:val="en-GB"/>
        </w:rPr>
        <w:t xml:space="preserve"> deaths per 1,000 births in 2003 to 52 deaths per 1,000 live births in 2009. HIV/AIDS </w:t>
      </w:r>
      <w:r w:rsidR="00C038EA" w:rsidRPr="009A6F69">
        <w:rPr>
          <w:lang w:val="en-GB"/>
        </w:rPr>
        <w:t>remains</w:t>
      </w:r>
      <w:r w:rsidRPr="009A6F69">
        <w:rPr>
          <w:lang w:val="en-GB"/>
        </w:rPr>
        <w:t xml:space="preserve"> the leading cause of death accounting for about 30% of all deaths reported</w:t>
      </w:r>
      <w:r w:rsidR="00CE49B4"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001B3B9E" w:rsidRPr="009A6F69">
        <w:rPr>
          <w:lang w:val="en-GB"/>
        </w:rPr>
        <w:fldChar w:fldCharType="separate"/>
      </w:r>
      <w:r w:rsidR="00AC27A6" w:rsidRPr="009A6F69">
        <w:rPr>
          <w:noProof/>
          <w:lang w:val="en-GB"/>
        </w:rPr>
        <w:t>(Kenya National Bureau of Statistics and ICF Macro, 2010)</w:t>
      </w:r>
      <w:r w:rsidR="001B3B9E" w:rsidRPr="009A6F69">
        <w:rPr>
          <w:lang w:val="en-GB"/>
        </w:rPr>
        <w:fldChar w:fldCharType="end"/>
      </w:r>
      <w:r w:rsidRPr="009A6F69">
        <w:rPr>
          <w:lang w:val="en-GB"/>
        </w:rPr>
        <w:t>.</w:t>
      </w:r>
      <w:r w:rsidR="00446545" w:rsidRPr="009A6F69">
        <w:rPr>
          <w:lang w:val="en-GB"/>
        </w:rPr>
        <w:t xml:space="preserve"> I</w:t>
      </w:r>
      <w:r w:rsidR="00786FB5" w:rsidRPr="009A6F69">
        <w:rPr>
          <w:lang w:val="en-GB"/>
        </w:rPr>
        <w:t>n</w:t>
      </w:r>
      <w:r w:rsidR="00446545" w:rsidRPr="009A6F69">
        <w:rPr>
          <w:lang w:val="en-GB"/>
        </w:rPr>
        <w:t xml:space="preserve"> terms of disease, HIV/AIDS remains the biggest problem, responsible for up to 29 </w:t>
      </w:r>
      <w:r w:rsidR="00AF29E5" w:rsidRPr="009A6F69">
        <w:rPr>
          <w:lang w:val="en-GB"/>
        </w:rPr>
        <w:t>%</w:t>
      </w:r>
      <w:r w:rsidR="00446545" w:rsidRPr="009A6F69">
        <w:rPr>
          <w:lang w:val="en-GB"/>
        </w:rPr>
        <w:t xml:space="preserve"> of all deaths and 24 </w:t>
      </w:r>
      <w:r w:rsidR="00AF29E5" w:rsidRPr="009A6F69">
        <w:rPr>
          <w:lang w:val="en-GB"/>
        </w:rPr>
        <w:t>%</w:t>
      </w:r>
      <w:r w:rsidR="00446545" w:rsidRPr="009A6F69">
        <w:rPr>
          <w:lang w:val="en-GB"/>
        </w:rPr>
        <w:t xml:space="preserve"> of all disabilities in the country. Other causes of death include conditions during and just after birth (9 </w:t>
      </w:r>
      <w:r w:rsidR="0074355C" w:rsidRPr="009A6F69">
        <w:rPr>
          <w:lang w:val="en-GB"/>
        </w:rPr>
        <w:t xml:space="preserve">% </w:t>
      </w:r>
      <w:r w:rsidR="00446545" w:rsidRPr="009A6F69">
        <w:rPr>
          <w:lang w:val="en-GB"/>
        </w:rPr>
        <w:t xml:space="preserve">of deaths), respiratory (chest) infections including tuberculosis (14 </w:t>
      </w:r>
      <w:r w:rsidR="0074355C" w:rsidRPr="009A6F69">
        <w:rPr>
          <w:lang w:val="en-GB"/>
        </w:rPr>
        <w:t>%</w:t>
      </w:r>
      <w:r w:rsidR="00446545" w:rsidRPr="009A6F69">
        <w:rPr>
          <w:lang w:val="en-GB"/>
        </w:rPr>
        <w:t xml:space="preserve">of deaths), diarrhoeal diseases (6 </w:t>
      </w:r>
      <w:r w:rsidR="0074355C" w:rsidRPr="009A6F69">
        <w:rPr>
          <w:lang w:val="en-GB"/>
        </w:rPr>
        <w:t>%</w:t>
      </w:r>
      <w:r w:rsidR="00446545" w:rsidRPr="009A6F69">
        <w:rPr>
          <w:lang w:val="en-GB"/>
        </w:rPr>
        <w:t xml:space="preserve">), malaria (5.8 </w:t>
      </w:r>
      <w:r w:rsidR="0074355C" w:rsidRPr="009A6F69">
        <w:rPr>
          <w:lang w:val="en-GB"/>
        </w:rPr>
        <w:t>%</w:t>
      </w:r>
      <w:r w:rsidR="00446545" w:rsidRPr="009A6F69">
        <w:rPr>
          <w:lang w:val="en-GB"/>
        </w:rPr>
        <w:t xml:space="preserve">), stroke (3.3 </w:t>
      </w:r>
      <w:r w:rsidR="0074355C" w:rsidRPr="009A6F69">
        <w:rPr>
          <w:lang w:val="en-GB"/>
        </w:rPr>
        <w:t>%</w:t>
      </w:r>
      <w:r w:rsidR="00446545" w:rsidRPr="009A6F69">
        <w:rPr>
          <w:lang w:val="en-GB"/>
        </w:rPr>
        <w:t xml:space="preserve">), heart attack (2.8 </w:t>
      </w:r>
      <w:r w:rsidR="0074355C" w:rsidRPr="009A6F69">
        <w:rPr>
          <w:lang w:val="en-GB"/>
        </w:rPr>
        <w:t>%</w:t>
      </w:r>
      <w:r w:rsidR="00446545" w:rsidRPr="009A6F69">
        <w:rPr>
          <w:lang w:val="en-GB"/>
        </w:rPr>
        <w:t xml:space="preserve">), road traffic accidents (1.9 </w:t>
      </w:r>
      <w:r w:rsidR="0074355C" w:rsidRPr="009A6F69">
        <w:rPr>
          <w:lang w:val="en-GB"/>
        </w:rPr>
        <w:t>%</w:t>
      </w:r>
      <w:r w:rsidR="00446545" w:rsidRPr="009A6F69">
        <w:rPr>
          <w:lang w:val="en-GB"/>
        </w:rPr>
        <w:t xml:space="preserve">), and violence (1.6 </w:t>
      </w:r>
      <w:r w:rsidR="0074355C" w:rsidRPr="009A6F69">
        <w:rPr>
          <w:lang w:val="en-GB"/>
        </w:rPr>
        <w:t>%</w:t>
      </w:r>
      <w:r w:rsidR="00446545" w:rsidRPr="009A6F69">
        <w:rPr>
          <w:lang w:val="en-GB"/>
        </w:rPr>
        <w:t>)</w:t>
      </w:r>
      <w:r w:rsidR="002E378A" w:rsidRPr="009A6F69">
        <w:rPr>
          <w:lang w:val="en-GB"/>
        </w:rPr>
        <w:t xml:space="preserve">, </w:t>
      </w:r>
      <w:r w:rsidR="001B3B9E" w:rsidRPr="009A6F69">
        <w:rPr>
          <w:lang w:val="en-GB"/>
        </w:rPr>
        <w:fldChar w:fldCharType="begin" w:fldLock="1"/>
      </w:r>
      <w:r w:rsidR="004F4010">
        <w:rPr>
          <w:lang w:val="en-GB"/>
        </w:rPr>
        <w:instrText>ADDIN CSL_CITATION { "citationItems" : [ { "id" : "ITEM-1", "itemData" : { "author" : [ { "dropping-particle" : "", "family" : "National Coordinating Agency for Population and Development", "given" : "", "non-dropping-particle" : "", "parse-names" : false, "suffix" : "" } ], "container-title" : "Public Health", "id" : "ITEM-1", "issued" : { "date-parts" : [ [ "2010" ] ] }, "page" : "1-695", "publisher-place" : "Nairobi", "title" : "Kenya Service Provision Assessment (SPA) 2010", "type" : "report" }, "uris" : [ "http://www.mendeley.com/documents/?uuid=2f0f29f5-9e2e-4a3e-b321-b77c90b73e57" ] } ], "mendeley" : { "previouslyFormattedCitation" : "(National Coordinating Agency for Population and Development, 2010)" }, "properties" : { "noteIndex" : 0 }, "schema" : "https://github.com/citation-style-language/schema/raw/master/csl-citation.json" }</w:instrText>
      </w:r>
      <w:r w:rsidR="001B3B9E" w:rsidRPr="009A6F69">
        <w:rPr>
          <w:lang w:val="en-GB"/>
        </w:rPr>
        <w:fldChar w:fldCharType="separate"/>
      </w:r>
      <w:r w:rsidR="002E378A" w:rsidRPr="009A6F69">
        <w:rPr>
          <w:noProof/>
          <w:lang w:val="en-GB"/>
        </w:rPr>
        <w:t>(National Coordinating Agency for Population and Development, 2010)</w:t>
      </w:r>
      <w:r w:rsidR="001B3B9E" w:rsidRPr="009A6F69">
        <w:rPr>
          <w:lang w:val="en-GB"/>
        </w:rPr>
        <w:fldChar w:fldCharType="end"/>
      </w:r>
      <w:r w:rsidR="00446545" w:rsidRPr="009A6F69">
        <w:rPr>
          <w:lang w:val="en-GB"/>
        </w:rPr>
        <w:t>.</w:t>
      </w:r>
    </w:p>
    <w:p w:rsidR="00797643" w:rsidRPr="009A6F69" w:rsidRDefault="00797643" w:rsidP="00E33AB9">
      <w:pPr>
        <w:rPr>
          <w:lang w:val="en-GB"/>
        </w:rPr>
      </w:pPr>
    </w:p>
    <w:p w:rsidR="003F5C1D" w:rsidRPr="009A6F69" w:rsidRDefault="003F5C1D" w:rsidP="009B0D7B">
      <w:pPr>
        <w:pStyle w:val="Heading2"/>
        <w:rPr>
          <w:lang w:val="en-GB"/>
        </w:rPr>
      </w:pPr>
      <w:bookmarkStart w:id="18" w:name="_Toc254256128"/>
      <w:r w:rsidRPr="009A6F69">
        <w:rPr>
          <w:lang w:val="en-GB"/>
        </w:rPr>
        <w:t>Kenya’s Health System</w:t>
      </w:r>
      <w:bookmarkEnd w:id="18"/>
    </w:p>
    <w:p w:rsidR="00760025" w:rsidRDefault="005B78A8" w:rsidP="006765B8">
      <w:pPr>
        <w:rPr>
          <w:lang w:val="en-GB"/>
        </w:rPr>
      </w:pPr>
      <w:r w:rsidRPr="009A6F69">
        <w:rPr>
          <w:lang w:val="en-GB"/>
        </w:rPr>
        <w:t>Kenya’s health system is a mixed one in terms of ownership of health facilities. The</w:t>
      </w:r>
      <w:r w:rsidR="00F807C5" w:rsidRPr="009A6F69">
        <w:rPr>
          <w:lang w:val="en-GB"/>
        </w:rPr>
        <w:t xml:space="preserve"> private sector (both for-profit and not-for-profit) contributes over 40 </w:t>
      </w:r>
      <w:r w:rsidR="00AF29E5" w:rsidRPr="009A6F69">
        <w:rPr>
          <w:lang w:val="en-GB"/>
        </w:rPr>
        <w:t>%</w:t>
      </w:r>
      <w:r w:rsidR="00F807C5" w:rsidRPr="009A6F69">
        <w:rPr>
          <w:lang w:val="en-GB"/>
        </w:rPr>
        <w:t xml:space="preserve"> of health services in the country, providing mainly curative health services but very few preventive services.</w:t>
      </w:r>
      <w:r w:rsidR="00FB40B8" w:rsidRPr="009A6F69">
        <w:rPr>
          <w:lang w:val="en-GB"/>
        </w:rPr>
        <w:t xml:space="preserve"> </w:t>
      </w:r>
      <w:r w:rsidR="00005981" w:rsidRPr="009A6F69">
        <w:rPr>
          <w:lang w:val="en-GB"/>
        </w:rPr>
        <w:t>Health facilities are categorised into various levels depending</w:t>
      </w:r>
      <w:r w:rsidR="0064796D" w:rsidRPr="009A6F69">
        <w:rPr>
          <w:lang w:val="en-GB"/>
        </w:rPr>
        <w:t xml:space="preserve"> on the type of service offered</w:t>
      </w:r>
      <w:r w:rsidR="009A6F69" w:rsidRPr="009A6F69">
        <w:rPr>
          <w:lang w:val="en-GB"/>
        </w:rPr>
        <w:t>, (</w:t>
      </w:r>
      <w:r w:rsidR="001B3B9E" w:rsidRPr="009A6F69">
        <w:rPr>
          <w:lang w:val="en-GB"/>
        </w:rPr>
        <w:fldChar w:fldCharType="begin"/>
      </w:r>
      <w:r w:rsidR="007A1097" w:rsidRPr="009A6F69">
        <w:rPr>
          <w:lang w:val="en-GB"/>
        </w:rPr>
        <w:instrText xml:space="preserve"> REF _Ref246062242 \h </w:instrText>
      </w:r>
      <w:r w:rsidR="001B3B9E" w:rsidRPr="009A6F69">
        <w:rPr>
          <w:lang w:val="en-GB"/>
        </w:rPr>
      </w:r>
      <w:r w:rsidR="001B3B9E" w:rsidRPr="009A6F69">
        <w:rPr>
          <w:lang w:val="en-GB"/>
        </w:rPr>
        <w:fldChar w:fldCharType="separate"/>
      </w:r>
      <w:r w:rsidR="008A34D7" w:rsidRPr="009A6F69">
        <w:t xml:space="preserve">Table </w:t>
      </w:r>
      <w:r w:rsidR="008A34D7">
        <w:rPr>
          <w:noProof/>
        </w:rPr>
        <w:t>4</w:t>
      </w:r>
      <w:r w:rsidR="001B3B9E" w:rsidRPr="009A6F69">
        <w:rPr>
          <w:lang w:val="en-GB"/>
        </w:rPr>
        <w:fldChar w:fldCharType="end"/>
      </w:r>
      <w:r w:rsidR="007A1097" w:rsidRPr="009A6F69">
        <w:rPr>
          <w:lang w:val="en-GB"/>
        </w:rPr>
        <w:t>)</w:t>
      </w:r>
      <w:r w:rsidR="00005981" w:rsidRPr="009A6F69">
        <w:rPr>
          <w:lang w:val="en-GB"/>
        </w:rPr>
        <w:t xml:space="preserve">. </w:t>
      </w:r>
      <w:r w:rsidR="003F5C1D" w:rsidRPr="009A6F69">
        <w:rPr>
          <w:lang w:val="en-GB"/>
        </w:rPr>
        <w:t>The levels hav</w:t>
      </w:r>
      <w:r w:rsidR="00724F49" w:rsidRPr="009A6F69">
        <w:rPr>
          <w:lang w:val="en-GB"/>
        </w:rPr>
        <w:t xml:space="preserve">e different responsibilities: Level 1, the community level; </w:t>
      </w:r>
      <w:r w:rsidR="003F5C1D" w:rsidRPr="009A6F69">
        <w:rPr>
          <w:lang w:val="en-GB"/>
        </w:rPr>
        <w:t xml:space="preserve">Levels 2 and 3, which are, respectively, the dispensaries and clinics and the health centres, maternities, and maternity/nursing homes, handle primarily </w:t>
      </w:r>
      <w:proofErr w:type="spellStart"/>
      <w:r w:rsidR="003F5C1D" w:rsidRPr="009A6F69">
        <w:rPr>
          <w:lang w:val="en-GB"/>
        </w:rPr>
        <w:t>promotive</w:t>
      </w:r>
      <w:proofErr w:type="spellEnd"/>
      <w:r w:rsidR="003F5C1D" w:rsidRPr="009A6F69">
        <w:rPr>
          <w:lang w:val="en-GB"/>
        </w:rPr>
        <w:t xml:space="preserve"> and preventive care but</w:t>
      </w:r>
      <w:r w:rsidR="0061012D" w:rsidRPr="009A6F69">
        <w:rPr>
          <w:lang w:val="en-GB"/>
        </w:rPr>
        <w:t xml:space="preserve"> also some curative services; </w:t>
      </w:r>
      <w:r w:rsidR="003F5C1D" w:rsidRPr="009A6F69">
        <w:rPr>
          <w:lang w:val="en-GB"/>
        </w:rPr>
        <w:t>Levels 4 through 6 are the primary, secondary, and tertiary hospitals, which focus mainly on the curative and rehabilitative aspects of t</w:t>
      </w:r>
      <w:r w:rsidR="00B45994" w:rsidRPr="009A6F69">
        <w:rPr>
          <w:lang w:val="en-GB"/>
        </w:rPr>
        <w:t>he service delivery package</w:t>
      </w:r>
      <w:r w:rsidR="00424AF9"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"Ministry of Public Health and Sanitation", "given" : "", "non-dropping-particle" : "", "parse-names" : false, "suffix" : "" } ], "id" : "ITEM-1", "issue" : "December 2008", "issued" : { "date-parts" : [ [ "2011" ] ] }, "title" : "Ministry of Public Health and Sanitation Strategic plan 2008- 2012", "type" : "report" }, "uris" : [ "http://www.mendeley.com/documents/?uuid=1d0c7c2e-5d35-4b60-bb51-102971538c2a" ] } ], "mendeley" : { "previouslyFormattedCitation" : "(Ministry of Public Health and Sanitation, 2011)" }, "properties" : { "noteIndex" : 0 }, "schema" : "https://github.com/citation-style-language/schema/raw/master/csl-citation.json" }</w:instrText>
      </w:r>
      <w:r w:rsidR="001B3B9E" w:rsidRPr="009A6F69">
        <w:rPr>
          <w:lang w:val="en-GB"/>
        </w:rPr>
        <w:fldChar w:fldCharType="separate"/>
      </w:r>
      <w:r w:rsidR="00424AF9" w:rsidRPr="009A6F69">
        <w:rPr>
          <w:noProof/>
          <w:lang w:val="en-GB"/>
        </w:rPr>
        <w:t>(Ministry of Public Health and Sanitation, 2011)</w:t>
      </w:r>
      <w:r w:rsidR="001B3B9E" w:rsidRPr="009A6F69">
        <w:rPr>
          <w:lang w:val="en-GB"/>
        </w:rPr>
        <w:fldChar w:fldCharType="end"/>
      </w:r>
      <w:r w:rsidR="00B45994" w:rsidRPr="009A6F69">
        <w:rPr>
          <w:lang w:val="en-GB"/>
        </w:rPr>
        <w:t xml:space="preserve">. </w:t>
      </w:r>
    </w:p>
    <w:p w:rsidR="0079423E" w:rsidRDefault="0079423E" w:rsidP="006765B8">
      <w:pPr>
        <w:rPr>
          <w:lang w:val="en-GB"/>
        </w:rPr>
      </w:pPr>
    </w:p>
    <w:p w:rsidR="0079423E" w:rsidRDefault="0079423E" w:rsidP="006765B8">
      <w:pPr>
        <w:rPr>
          <w:lang w:val="en-GB"/>
        </w:rPr>
      </w:pPr>
    </w:p>
    <w:p w:rsidR="0079423E" w:rsidRPr="009A6F69" w:rsidRDefault="0079423E" w:rsidP="006765B8">
      <w:pPr>
        <w:rPr>
          <w:lang w:val="en-GB"/>
        </w:rPr>
      </w:pPr>
    </w:p>
    <w:p w:rsidR="0029411A" w:rsidRPr="009A6F69" w:rsidRDefault="0029411A" w:rsidP="00357BC9">
      <w:pPr>
        <w:pStyle w:val="Caption"/>
        <w:spacing w:after="0"/>
      </w:pPr>
      <w:bookmarkStart w:id="19" w:name="_Ref246062242"/>
      <w:r w:rsidRPr="009A6F69">
        <w:lastRenderedPageBreak/>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4</w:t>
      </w:r>
      <w:r w:rsidR="001B3B9E" w:rsidRPr="009A6F69">
        <w:fldChar w:fldCharType="end"/>
      </w:r>
      <w:bookmarkEnd w:id="19"/>
      <w:r w:rsidRPr="009A6F69">
        <w:t xml:space="preserve">: Health facilities by management type </w:t>
      </w:r>
    </w:p>
    <w:tbl>
      <w:tblPr>
        <w:tblStyle w:val="TableGrid"/>
        <w:tblW w:w="5000" w:type="pct"/>
        <w:tblLook w:val="04A0"/>
      </w:tblPr>
      <w:tblGrid>
        <w:gridCol w:w="1692"/>
        <w:gridCol w:w="848"/>
        <w:gridCol w:w="1080"/>
        <w:gridCol w:w="1079"/>
        <w:gridCol w:w="1849"/>
        <w:gridCol w:w="1164"/>
        <w:gridCol w:w="1144"/>
      </w:tblGrid>
      <w:tr w:rsidR="004C1B39" w:rsidRPr="009A6F69" w:rsidTr="00B0227A">
        <w:tc>
          <w:tcPr>
            <w:tcW w:w="955" w:type="pct"/>
          </w:tcPr>
          <w:p w:rsidR="00FE7368" w:rsidRPr="009A6F69" w:rsidRDefault="00FE7368" w:rsidP="00357BC9">
            <w:pPr>
              <w:spacing w:after="0" w:line="240" w:lineRule="auto"/>
              <w:rPr>
                <w:rFonts w:ascii="Times New Roman" w:hAnsi="Times New Roman" w:cs="Times New Roman"/>
                <w:sz w:val="20"/>
                <w:szCs w:val="20"/>
                <w:lang w:val="en-GB"/>
              </w:rPr>
            </w:pPr>
          </w:p>
        </w:tc>
        <w:tc>
          <w:tcPr>
            <w:tcW w:w="479" w:type="pct"/>
            <w:vMerge w:val="restart"/>
            <w:vAlign w:val="center"/>
          </w:tcPr>
          <w:p w:rsidR="00FE7368" w:rsidRPr="009A6F69" w:rsidRDefault="00FE7368" w:rsidP="00357BC9">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Public</w:t>
            </w:r>
          </w:p>
        </w:tc>
        <w:tc>
          <w:tcPr>
            <w:tcW w:w="2920" w:type="pct"/>
            <w:gridSpan w:val="4"/>
          </w:tcPr>
          <w:p w:rsidR="00FE7368" w:rsidRPr="009A6F69" w:rsidRDefault="00FE7368" w:rsidP="00357BC9">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Private</w:t>
            </w:r>
          </w:p>
        </w:tc>
        <w:tc>
          <w:tcPr>
            <w:tcW w:w="646" w:type="pct"/>
            <w:vMerge w:val="restart"/>
            <w:vAlign w:val="center"/>
          </w:tcPr>
          <w:p w:rsidR="00FE7368" w:rsidRPr="009A6F69" w:rsidRDefault="00FE7368" w:rsidP="00357BC9">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Total</w:t>
            </w:r>
          </w:p>
        </w:tc>
      </w:tr>
      <w:tr w:rsidR="004C1B39" w:rsidRPr="009A6F69" w:rsidTr="00B0227A">
        <w:tc>
          <w:tcPr>
            <w:tcW w:w="955" w:type="pct"/>
          </w:tcPr>
          <w:p w:rsidR="00FE7368" w:rsidRPr="009A6F69" w:rsidRDefault="00FE7368"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Type of Service</w:t>
            </w:r>
          </w:p>
        </w:tc>
        <w:tc>
          <w:tcPr>
            <w:tcW w:w="479" w:type="pct"/>
            <w:vMerge/>
          </w:tcPr>
          <w:p w:rsidR="00FE7368" w:rsidRPr="009A6F69" w:rsidRDefault="00FE7368" w:rsidP="00CB7293">
            <w:pPr>
              <w:spacing w:line="240" w:lineRule="auto"/>
              <w:rPr>
                <w:rFonts w:ascii="Times New Roman" w:hAnsi="Times New Roman" w:cs="Times New Roman"/>
                <w:sz w:val="20"/>
                <w:szCs w:val="20"/>
                <w:lang w:val="en-GB"/>
              </w:rPr>
            </w:pPr>
          </w:p>
        </w:tc>
        <w:tc>
          <w:tcPr>
            <w:tcW w:w="610" w:type="pct"/>
          </w:tcPr>
          <w:p w:rsidR="00FE7368" w:rsidRPr="009A6F69" w:rsidRDefault="00FE7368"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For profit</w:t>
            </w:r>
          </w:p>
        </w:tc>
        <w:tc>
          <w:tcPr>
            <w:tcW w:w="609" w:type="pct"/>
          </w:tcPr>
          <w:p w:rsidR="00FE7368" w:rsidRPr="009A6F69" w:rsidRDefault="00FE7368"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Not for Profit </w:t>
            </w:r>
          </w:p>
        </w:tc>
        <w:tc>
          <w:tcPr>
            <w:tcW w:w="1044" w:type="pct"/>
          </w:tcPr>
          <w:p w:rsidR="00FE7368" w:rsidRPr="009A6F69" w:rsidRDefault="00FE7368"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Faith-based organizations</w:t>
            </w:r>
          </w:p>
        </w:tc>
        <w:tc>
          <w:tcPr>
            <w:tcW w:w="657" w:type="pct"/>
          </w:tcPr>
          <w:p w:rsidR="00FE7368" w:rsidRPr="009A6F69" w:rsidRDefault="00053FC0"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Total private</w:t>
            </w:r>
          </w:p>
        </w:tc>
        <w:tc>
          <w:tcPr>
            <w:tcW w:w="646" w:type="pct"/>
            <w:vMerge/>
          </w:tcPr>
          <w:p w:rsidR="00FE7368" w:rsidRPr="009A6F69" w:rsidRDefault="00FE7368" w:rsidP="00CB7293">
            <w:pPr>
              <w:spacing w:line="240" w:lineRule="auto"/>
              <w:rPr>
                <w:rFonts w:ascii="Times New Roman" w:hAnsi="Times New Roman" w:cs="Times New Roman"/>
                <w:sz w:val="20"/>
                <w:szCs w:val="20"/>
                <w:lang w:val="en-GB"/>
              </w:rPr>
            </w:pPr>
          </w:p>
        </w:tc>
      </w:tr>
      <w:tr w:rsidR="004C1B39" w:rsidRPr="009A6F69" w:rsidTr="00B0227A">
        <w:tc>
          <w:tcPr>
            <w:tcW w:w="955" w:type="pct"/>
          </w:tcPr>
          <w:p w:rsidR="00760025"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Tertiary Hospital</w:t>
            </w:r>
          </w:p>
        </w:tc>
        <w:tc>
          <w:tcPr>
            <w:tcW w:w="479" w:type="pct"/>
          </w:tcPr>
          <w:p w:rsidR="00760025" w:rsidRPr="009A6F69" w:rsidRDefault="00B1205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4</w:t>
            </w:r>
          </w:p>
        </w:tc>
        <w:tc>
          <w:tcPr>
            <w:tcW w:w="610" w:type="pct"/>
          </w:tcPr>
          <w:p w:rsidR="00760025"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09" w:type="pct"/>
          </w:tcPr>
          <w:p w:rsidR="00760025"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1044" w:type="pct"/>
          </w:tcPr>
          <w:p w:rsidR="00760025"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57" w:type="pct"/>
          </w:tcPr>
          <w:p w:rsidR="00760025"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46" w:type="pct"/>
          </w:tcPr>
          <w:p w:rsidR="00760025"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4</w:t>
            </w:r>
          </w:p>
        </w:tc>
      </w:tr>
      <w:tr w:rsidR="004C1B39" w:rsidRPr="009A6F69" w:rsidTr="00B0227A">
        <w:tc>
          <w:tcPr>
            <w:tcW w:w="955" w:type="pct"/>
          </w:tcPr>
          <w:p w:rsidR="00101324"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Secondary Hospital</w:t>
            </w:r>
          </w:p>
        </w:tc>
        <w:tc>
          <w:tcPr>
            <w:tcW w:w="479" w:type="pct"/>
          </w:tcPr>
          <w:p w:rsidR="00101324" w:rsidRPr="009A6F69" w:rsidRDefault="00B1205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10</w:t>
            </w:r>
          </w:p>
        </w:tc>
        <w:tc>
          <w:tcPr>
            <w:tcW w:w="610" w:type="pct"/>
          </w:tcPr>
          <w:p w:rsidR="00101324"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09" w:type="pct"/>
          </w:tcPr>
          <w:p w:rsidR="00101324"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1044" w:type="pct"/>
          </w:tcPr>
          <w:p w:rsidR="00101324"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57" w:type="pct"/>
          </w:tcPr>
          <w:p w:rsidR="00101324"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46" w:type="pct"/>
          </w:tcPr>
          <w:p w:rsidR="00101324"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10</w:t>
            </w:r>
          </w:p>
        </w:tc>
      </w:tr>
      <w:tr w:rsidR="004C1B39" w:rsidRPr="009A6F69" w:rsidTr="00B0227A">
        <w:tc>
          <w:tcPr>
            <w:tcW w:w="955" w:type="pct"/>
          </w:tcPr>
          <w:p w:rsidR="00101324"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Primary Hospital </w:t>
            </w:r>
          </w:p>
        </w:tc>
        <w:tc>
          <w:tcPr>
            <w:tcW w:w="479" w:type="pct"/>
          </w:tcPr>
          <w:p w:rsidR="00101324" w:rsidRPr="009A6F69" w:rsidRDefault="00B1205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225</w:t>
            </w:r>
          </w:p>
        </w:tc>
        <w:tc>
          <w:tcPr>
            <w:tcW w:w="610" w:type="pct"/>
          </w:tcPr>
          <w:p w:rsidR="00101324"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12</w:t>
            </w:r>
          </w:p>
        </w:tc>
        <w:tc>
          <w:tcPr>
            <w:tcW w:w="609" w:type="pct"/>
          </w:tcPr>
          <w:p w:rsidR="00101324"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12</w:t>
            </w:r>
          </w:p>
        </w:tc>
        <w:tc>
          <w:tcPr>
            <w:tcW w:w="1044" w:type="pct"/>
          </w:tcPr>
          <w:p w:rsidR="00101324"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w:t>
            </w:r>
          </w:p>
        </w:tc>
        <w:tc>
          <w:tcPr>
            <w:tcW w:w="657" w:type="pct"/>
          </w:tcPr>
          <w:p w:rsidR="00101324"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23</w:t>
            </w:r>
          </w:p>
        </w:tc>
        <w:tc>
          <w:tcPr>
            <w:tcW w:w="646" w:type="pct"/>
          </w:tcPr>
          <w:p w:rsidR="00101324" w:rsidRPr="009A6F69" w:rsidRDefault="003B4DE2"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40</w:t>
            </w:r>
          </w:p>
        </w:tc>
      </w:tr>
      <w:tr w:rsidR="004C1B39" w:rsidRPr="009A6F69" w:rsidTr="00B0227A">
        <w:tc>
          <w:tcPr>
            <w:tcW w:w="955" w:type="pct"/>
          </w:tcPr>
          <w:p w:rsidR="00760025"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Other Hospital </w:t>
            </w:r>
          </w:p>
        </w:tc>
        <w:tc>
          <w:tcPr>
            <w:tcW w:w="479" w:type="pct"/>
          </w:tcPr>
          <w:p w:rsidR="00760025" w:rsidRPr="009A6F69" w:rsidRDefault="00DE665D"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22</w:t>
            </w:r>
          </w:p>
        </w:tc>
        <w:tc>
          <w:tcPr>
            <w:tcW w:w="610" w:type="pct"/>
          </w:tcPr>
          <w:p w:rsidR="00760025"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41</w:t>
            </w:r>
          </w:p>
        </w:tc>
        <w:tc>
          <w:tcPr>
            <w:tcW w:w="609" w:type="pct"/>
          </w:tcPr>
          <w:p w:rsidR="00760025"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59</w:t>
            </w:r>
          </w:p>
        </w:tc>
        <w:tc>
          <w:tcPr>
            <w:tcW w:w="1044" w:type="pct"/>
          </w:tcPr>
          <w:p w:rsidR="00760025"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52</w:t>
            </w:r>
          </w:p>
        </w:tc>
        <w:tc>
          <w:tcPr>
            <w:tcW w:w="657" w:type="pct"/>
          </w:tcPr>
          <w:p w:rsidR="00760025"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152</w:t>
            </w:r>
          </w:p>
        </w:tc>
        <w:tc>
          <w:tcPr>
            <w:tcW w:w="646" w:type="pct"/>
          </w:tcPr>
          <w:p w:rsidR="00760025"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174</w:t>
            </w:r>
          </w:p>
        </w:tc>
      </w:tr>
      <w:tr w:rsidR="004C1B39" w:rsidRPr="009A6F69" w:rsidTr="00B0227A">
        <w:tc>
          <w:tcPr>
            <w:tcW w:w="955" w:type="pct"/>
          </w:tcPr>
          <w:p w:rsidR="00760025"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Health Centre</w:t>
            </w:r>
          </w:p>
        </w:tc>
        <w:tc>
          <w:tcPr>
            <w:tcW w:w="479" w:type="pct"/>
          </w:tcPr>
          <w:p w:rsidR="00760025" w:rsidRPr="009A6F69" w:rsidRDefault="00DE665D"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473</w:t>
            </w:r>
          </w:p>
        </w:tc>
        <w:tc>
          <w:tcPr>
            <w:tcW w:w="610" w:type="pct"/>
          </w:tcPr>
          <w:p w:rsidR="00760025"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21</w:t>
            </w:r>
          </w:p>
        </w:tc>
        <w:tc>
          <w:tcPr>
            <w:tcW w:w="609" w:type="pct"/>
          </w:tcPr>
          <w:p w:rsidR="00760025"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88</w:t>
            </w:r>
          </w:p>
        </w:tc>
        <w:tc>
          <w:tcPr>
            <w:tcW w:w="1044" w:type="pct"/>
          </w:tcPr>
          <w:p w:rsidR="00760025"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139</w:t>
            </w:r>
          </w:p>
        </w:tc>
        <w:tc>
          <w:tcPr>
            <w:tcW w:w="657" w:type="pct"/>
          </w:tcPr>
          <w:p w:rsidR="00760025"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248</w:t>
            </w:r>
          </w:p>
        </w:tc>
        <w:tc>
          <w:tcPr>
            <w:tcW w:w="646" w:type="pct"/>
          </w:tcPr>
          <w:p w:rsidR="00760025"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721</w:t>
            </w:r>
          </w:p>
        </w:tc>
      </w:tr>
      <w:tr w:rsidR="004C1B39" w:rsidRPr="009A6F69" w:rsidTr="00B0227A">
        <w:tc>
          <w:tcPr>
            <w:tcW w:w="955" w:type="pct"/>
          </w:tcPr>
          <w:p w:rsidR="00101324"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Nursing Home </w:t>
            </w:r>
          </w:p>
        </w:tc>
        <w:tc>
          <w:tcPr>
            <w:tcW w:w="479" w:type="pct"/>
          </w:tcPr>
          <w:p w:rsidR="00101324" w:rsidRPr="009A6F69" w:rsidRDefault="00DE665D"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3</w:t>
            </w:r>
          </w:p>
        </w:tc>
        <w:tc>
          <w:tcPr>
            <w:tcW w:w="610" w:type="pct"/>
          </w:tcPr>
          <w:p w:rsidR="00101324"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89</w:t>
            </w:r>
          </w:p>
        </w:tc>
        <w:tc>
          <w:tcPr>
            <w:tcW w:w="609"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54</w:t>
            </w:r>
          </w:p>
        </w:tc>
        <w:tc>
          <w:tcPr>
            <w:tcW w:w="1044"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9</w:t>
            </w:r>
          </w:p>
        </w:tc>
        <w:tc>
          <w:tcPr>
            <w:tcW w:w="657"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152</w:t>
            </w:r>
          </w:p>
        </w:tc>
        <w:tc>
          <w:tcPr>
            <w:tcW w:w="646" w:type="pct"/>
          </w:tcPr>
          <w:p w:rsidR="00101324"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155</w:t>
            </w:r>
          </w:p>
        </w:tc>
      </w:tr>
      <w:tr w:rsidR="004C1B39" w:rsidRPr="009A6F69" w:rsidTr="00B0227A">
        <w:tc>
          <w:tcPr>
            <w:tcW w:w="955" w:type="pct"/>
          </w:tcPr>
          <w:p w:rsidR="00760025"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Dispensaries</w:t>
            </w:r>
          </w:p>
        </w:tc>
        <w:tc>
          <w:tcPr>
            <w:tcW w:w="479" w:type="pct"/>
          </w:tcPr>
          <w:p w:rsidR="00760025" w:rsidRPr="009A6F69" w:rsidRDefault="00DE665D"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w:t>
            </w:r>
            <w:r w:rsidR="001727EF" w:rsidRPr="009A6F69">
              <w:rPr>
                <w:rFonts w:ascii="Times New Roman" w:hAnsi="Times New Roman" w:cs="Times New Roman"/>
                <w:sz w:val="20"/>
                <w:szCs w:val="20"/>
                <w:lang w:val="en-GB"/>
              </w:rPr>
              <w:t>,</w:t>
            </w:r>
            <w:r w:rsidRPr="009A6F69">
              <w:rPr>
                <w:rFonts w:ascii="Times New Roman" w:hAnsi="Times New Roman" w:cs="Times New Roman"/>
                <w:sz w:val="20"/>
                <w:szCs w:val="20"/>
                <w:lang w:val="en-GB"/>
              </w:rPr>
              <w:t>393</w:t>
            </w:r>
          </w:p>
        </w:tc>
        <w:tc>
          <w:tcPr>
            <w:tcW w:w="610" w:type="pct"/>
          </w:tcPr>
          <w:p w:rsidR="00760025"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74</w:t>
            </w:r>
          </w:p>
        </w:tc>
        <w:tc>
          <w:tcPr>
            <w:tcW w:w="609" w:type="pct"/>
          </w:tcPr>
          <w:p w:rsidR="00760025"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380</w:t>
            </w:r>
          </w:p>
        </w:tc>
        <w:tc>
          <w:tcPr>
            <w:tcW w:w="1044" w:type="pct"/>
          </w:tcPr>
          <w:p w:rsidR="00760025"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509</w:t>
            </w:r>
          </w:p>
        </w:tc>
        <w:tc>
          <w:tcPr>
            <w:tcW w:w="657" w:type="pct"/>
          </w:tcPr>
          <w:p w:rsidR="00760025"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963</w:t>
            </w:r>
          </w:p>
        </w:tc>
        <w:tc>
          <w:tcPr>
            <w:tcW w:w="646" w:type="pct"/>
          </w:tcPr>
          <w:p w:rsidR="00760025"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3,356</w:t>
            </w:r>
          </w:p>
        </w:tc>
      </w:tr>
      <w:tr w:rsidR="004C1B39" w:rsidRPr="009A6F69" w:rsidTr="00B0227A">
        <w:tc>
          <w:tcPr>
            <w:tcW w:w="955" w:type="pct"/>
          </w:tcPr>
          <w:p w:rsidR="00101324"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Clinics </w:t>
            </w:r>
          </w:p>
        </w:tc>
        <w:tc>
          <w:tcPr>
            <w:tcW w:w="479" w:type="pct"/>
          </w:tcPr>
          <w:p w:rsidR="00101324" w:rsidRPr="009A6F69" w:rsidRDefault="00DE665D"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20</w:t>
            </w:r>
          </w:p>
        </w:tc>
        <w:tc>
          <w:tcPr>
            <w:tcW w:w="610" w:type="pct"/>
          </w:tcPr>
          <w:p w:rsidR="00101324"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w:t>
            </w:r>
            <w:r w:rsidR="001727EF" w:rsidRPr="009A6F69">
              <w:rPr>
                <w:rFonts w:ascii="Times New Roman" w:hAnsi="Times New Roman" w:cs="Times New Roman"/>
                <w:sz w:val="20"/>
                <w:szCs w:val="20"/>
                <w:lang w:val="en-GB"/>
              </w:rPr>
              <w:t>,</w:t>
            </w:r>
            <w:r w:rsidRPr="009A6F69">
              <w:rPr>
                <w:rFonts w:ascii="Times New Roman" w:hAnsi="Times New Roman" w:cs="Times New Roman"/>
                <w:sz w:val="20"/>
                <w:szCs w:val="20"/>
                <w:lang w:val="en-GB"/>
              </w:rPr>
              <w:t>126</w:t>
            </w:r>
          </w:p>
        </w:tc>
        <w:tc>
          <w:tcPr>
            <w:tcW w:w="609"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693</w:t>
            </w:r>
          </w:p>
        </w:tc>
        <w:tc>
          <w:tcPr>
            <w:tcW w:w="1044"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102</w:t>
            </w:r>
          </w:p>
        </w:tc>
        <w:tc>
          <w:tcPr>
            <w:tcW w:w="657"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1,921</w:t>
            </w:r>
          </w:p>
        </w:tc>
        <w:tc>
          <w:tcPr>
            <w:tcW w:w="646" w:type="pct"/>
          </w:tcPr>
          <w:p w:rsidR="00101324" w:rsidRPr="009A6F69" w:rsidRDefault="00005CA5"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1,941</w:t>
            </w:r>
          </w:p>
        </w:tc>
      </w:tr>
      <w:tr w:rsidR="004C1B39" w:rsidRPr="009A6F69" w:rsidTr="00B0227A">
        <w:tc>
          <w:tcPr>
            <w:tcW w:w="955" w:type="pct"/>
          </w:tcPr>
          <w:p w:rsidR="00101324"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Laboratory (stand-alone)</w:t>
            </w:r>
          </w:p>
        </w:tc>
        <w:tc>
          <w:tcPr>
            <w:tcW w:w="479" w:type="pct"/>
          </w:tcPr>
          <w:p w:rsidR="00101324" w:rsidRPr="009A6F69" w:rsidRDefault="00DE665D"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10" w:type="pct"/>
          </w:tcPr>
          <w:p w:rsidR="00101324"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52</w:t>
            </w:r>
          </w:p>
        </w:tc>
        <w:tc>
          <w:tcPr>
            <w:tcW w:w="609"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w:t>
            </w:r>
          </w:p>
        </w:tc>
        <w:tc>
          <w:tcPr>
            <w:tcW w:w="1044"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57"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54</w:t>
            </w:r>
          </w:p>
        </w:tc>
        <w:tc>
          <w:tcPr>
            <w:tcW w:w="646"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54</w:t>
            </w:r>
          </w:p>
        </w:tc>
      </w:tr>
      <w:tr w:rsidR="004C1B39" w:rsidRPr="009A6F69" w:rsidTr="00B0227A">
        <w:tc>
          <w:tcPr>
            <w:tcW w:w="955" w:type="pct"/>
          </w:tcPr>
          <w:p w:rsidR="00101324" w:rsidRPr="009A6F69" w:rsidRDefault="00101324"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Dental Clinics </w:t>
            </w:r>
          </w:p>
        </w:tc>
        <w:tc>
          <w:tcPr>
            <w:tcW w:w="479" w:type="pct"/>
          </w:tcPr>
          <w:p w:rsidR="00101324" w:rsidRPr="009A6F69" w:rsidRDefault="00DE665D"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10" w:type="pct"/>
          </w:tcPr>
          <w:p w:rsidR="00101324" w:rsidRPr="009A6F69" w:rsidRDefault="00532437"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10</w:t>
            </w:r>
          </w:p>
        </w:tc>
        <w:tc>
          <w:tcPr>
            <w:tcW w:w="609"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w:t>
            </w:r>
          </w:p>
        </w:tc>
        <w:tc>
          <w:tcPr>
            <w:tcW w:w="1044"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0</w:t>
            </w:r>
          </w:p>
        </w:tc>
        <w:tc>
          <w:tcPr>
            <w:tcW w:w="657"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11</w:t>
            </w:r>
          </w:p>
        </w:tc>
        <w:tc>
          <w:tcPr>
            <w:tcW w:w="646" w:type="pct"/>
          </w:tcPr>
          <w:p w:rsidR="00101324" w:rsidRPr="009A6F69" w:rsidRDefault="008553FC"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11</w:t>
            </w:r>
          </w:p>
        </w:tc>
      </w:tr>
      <w:tr w:rsidR="00DA1A91" w:rsidRPr="009A6F69" w:rsidTr="00DA1A91">
        <w:tc>
          <w:tcPr>
            <w:tcW w:w="5000" w:type="pct"/>
            <w:gridSpan w:val="7"/>
          </w:tcPr>
          <w:p w:rsidR="00DA1A91" w:rsidRPr="009A6F69" w:rsidRDefault="00DA1A91" w:rsidP="00CB7293">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Adapted from </w:t>
            </w:r>
            <w:r w:rsidR="001B3B9E" w:rsidRPr="009A6F69">
              <w:rPr>
                <w:rFonts w:ascii="Times New Roman" w:hAnsi="Times New Roman" w:cs="Times New Roman"/>
                <w:sz w:val="20"/>
                <w:szCs w:val="20"/>
                <w:lang w:val="en-GB"/>
              </w:rPr>
              <w:fldChar w:fldCharType="begin" w:fldLock="1"/>
            </w:r>
            <w:r w:rsidR="004F4010">
              <w:rPr>
                <w:rFonts w:ascii="Times New Roman" w:hAnsi="Times New Roman" w:cs="Times New Roman"/>
                <w:sz w:val="20"/>
                <w:szCs w:val="20"/>
                <w:lang w:val="en-GB"/>
              </w:rPr>
              <w:instrText>ADDIN CSL_CITATION { "citationItems" : [ { "id" : "ITEM-1", "itemData" : { "author" : [ { "dropping-particle" : "", "family" : "National Coordinating Agency for Population and Development", "given" : "", "non-dropping-particle" : "", "parse-names" : false, "suffix" : "" } ], "container-title" : "Public Health", "id" : "ITEM-1", "issued" : { "date-parts" : [ [ "2010" ] ] }, "page" : "1-695", "publisher-place" : "Nairobi", "title" : "Kenya Service Provision Assessment (SPA) 2010", "type" : "report" }, "uris" : [ "http://www.mendeley.com/documents/?uuid=2f0f29f5-9e2e-4a3e-b321-b77c90b73e57" ] } ], "mendeley" : { "previouslyFormattedCitation" : "(National Coordinating Agency for Population and Development, 2010)" }, "properties" : { "noteIndex" : 0 }, "schema" : "https://github.com/citation-style-language/schema/raw/master/csl-citation.json" }</w:instrText>
            </w:r>
            <w:r w:rsidR="001B3B9E" w:rsidRPr="009A6F69">
              <w:rPr>
                <w:rFonts w:ascii="Times New Roman" w:hAnsi="Times New Roman" w:cs="Times New Roman"/>
                <w:sz w:val="20"/>
                <w:szCs w:val="20"/>
                <w:lang w:val="en-GB"/>
              </w:rPr>
              <w:fldChar w:fldCharType="separate"/>
            </w:r>
            <w:r w:rsidRPr="009A6F69">
              <w:rPr>
                <w:rFonts w:ascii="Times New Roman" w:hAnsi="Times New Roman" w:cs="Times New Roman"/>
                <w:noProof/>
                <w:sz w:val="20"/>
                <w:szCs w:val="20"/>
                <w:lang w:val="en-GB"/>
              </w:rPr>
              <w:t>(National Coordinating Agency for Population and Development, 2010)</w:t>
            </w:r>
            <w:r w:rsidR="001B3B9E" w:rsidRPr="009A6F69">
              <w:rPr>
                <w:rFonts w:ascii="Times New Roman" w:hAnsi="Times New Roman" w:cs="Times New Roman"/>
                <w:sz w:val="20"/>
                <w:szCs w:val="20"/>
                <w:lang w:val="en-GB"/>
              </w:rPr>
              <w:fldChar w:fldCharType="end"/>
            </w:r>
          </w:p>
        </w:tc>
      </w:tr>
    </w:tbl>
    <w:p w:rsidR="00760025" w:rsidRPr="009A6F69" w:rsidRDefault="00760025" w:rsidP="006765B8">
      <w:pPr>
        <w:rPr>
          <w:lang w:val="en-GB"/>
        </w:rPr>
      </w:pPr>
    </w:p>
    <w:p w:rsidR="000A19EE" w:rsidRPr="009A6F69" w:rsidRDefault="001D4224" w:rsidP="00170369">
      <w:pPr>
        <w:rPr>
          <w:lang w:val="en-GB"/>
        </w:rPr>
      </w:pPr>
      <w:r w:rsidRPr="009A6F69">
        <w:rPr>
          <w:lang w:val="en-GB"/>
        </w:rPr>
        <w:t>The proportion of health facilities that offer basic health services at the minimum prescribed level</w:t>
      </w:r>
      <w:r w:rsidR="008941A0" w:rsidRPr="009A6F69">
        <w:rPr>
          <w:lang w:val="en-GB"/>
        </w:rPr>
        <w:t xml:space="preserve"> with qualified staff are indicated below. </w:t>
      </w:r>
      <w:r w:rsidR="00FF1AAF" w:rsidRPr="009A6F69">
        <w:rPr>
          <w:lang w:val="en-GB"/>
        </w:rPr>
        <w:t>Dispensaries</w:t>
      </w:r>
      <w:r w:rsidR="005F345A" w:rsidRPr="009A6F69">
        <w:rPr>
          <w:lang w:val="en-GB"/>
        </w:rPr>
        <w:t>,</w:t>
      </w:r>
      <w:r w:rsidR="00FF1AAF" w:rsidRPr="009A6F69">
        <w:rPr>
          <w:lang w:val="en-GB"/>
        </w:rPr>
        <w:t xml:space="preserve"> the entry point into the health system, offer the lowest level of quality of care.</w:t>
      </w:r>
      <w:r w:rsidR="00DC0249" w:rsidRPr="009A6F69">
        <w:rPr>
          <w:lang w:val="en-GB"/>
        </w:rPr>
        <w:t xml:space="preserve"> Only</w:t>
      </w:r>
      <w:r w:rsidR="00016482" w:rsidRPr="009A6F69">
        <w:rPr>
          <w:lang w:val="en-GB"/>
        </w:rPr>
        <w:t xml:space="preserve"> 20%</w:t>
      </w:r>
      <w:r w:rsidR="00DC0249" w:rsidRPr="009A6F69">
        <w:rPr>
          <w:lang w:val="en-GB"/>
        </w:rPr>
        <w:t xml:space="preserve"> of dispensaries offer basic services above the minimum frequency required. </w:t>
      </w:r>
      <w:r w:rsidR="003B3C30" w:rsidRPr="009A6F69">
        <w:rPr>
          <w:lang w:val="en-GB"/>
        </w:rPr>
        <w:t>Government h</w:t>
      </w:r>
      <w:r w:rsidR="00016482" w:rsidRPr="009A6F69">
        <w:rPr>
          <w:lang w:val="en-GB"/>
        </w:rPr>
        <w:t>ealth facilities</w:t>
      </w:r>
      <w:r w:rsidR="003B3C30" w:rsidRPr="009A6F69">
        <w:rPr>
          <w:lang w:val="en-GB"/>
        </w:rPr>
        <w:t xml:space="preserve"> generally offer all the basic services required compared to just </w:t>
      </w:r>
      <w:r w:rsidR="00016482" w:rsidRPr="009A6F69">
        <w:rPr>
          <w:lang w:val="en-GB"/>
        </w:rPr>
        <w:t>28% for private for profit</w:t>
      </w:r>
      <w:r w:rsidR="009A6F69" w:rsidRPr="009A6F69">
        <w:rPr>
          <w:lang w:val="en-GB"/>
        </w:rPr>
        <w:t>, (</w:t>
      </w:r>
      <w:r w:rsidR="001B3B9E" w:rsidRPr="009A6F69">
        <w:rPr>
          <w:lang w:val="en-GB"/>
        </w:rPr>
        <w:fldChar w:fldCharType="begin"/>
      </w:r>
      <w:r w:rsidR="00A57E88" w:rsidRPr="009A6F69">
        <w:rPr>
          <w:lang w:val="en-GB"/>
        </w:rPr>
        <w:instrText xml:space="preserve"> REF _Ref246063919 \h </w:instrText>
      </w:r>
      <w:r w:rsidR="001B3B9E" w:rsidRPr="009A6F69">
        <w:rPr>
          <w:lang w:val="en-GB"/>
        </w:rPr>
      </w:r>
      <w:r w:rsidR="001B3B9E" w:rsidRPr="009A6F69">
        <w:rPr>
          <w:lang w:val="en-GB"/>
        </w:rPr>
        <w:fldChar w:fldCharType="separate"/>
      </w:r>
      <w:r w:rsidR="008A34D7" w:rsidRPr="009A6F69">
        <w:t xml:space="preserve">Table </w:t>
      </w:r>
      <w:r w:rsidR="008A34D7">
        <w:rPr>
          <w:noProof/>
        </w:rPr>
        <w:t>5</w:t>
      </w:r>
      <w:r w:rsidR="001B3B9E" w:rsidRPr="009A6F69">
        <w:rPr>
          <w:lang w:val="en-GB"/>
        </w:rPr>
        <w:fldChar w:fldCharType="end"/>
      </w:r>
      <w:r w:rsidR="00A57E88" w:rsidRPr="009A6F69">
        <w:rPr>
          <w:lang w:val="en-GB"/>
        </w:rPr>
        <w:t>)</w:t>
      </w:r>
      <w:r w:rsidR="00016482" w:rsidRPr="009A6F69">
        <w:rPr>
          <w:lang w:val="en-GB"/>
        </w:rPr>
        <w:t xml:space="preserve">. </w:t>
      </w:r>
      <w:r w:rsidR="0043486B" w:rsidRPr="009A6F69">
        <w:rPr>
          <w:lang w:val="en-GB"/>
        </w:rPr>
        <w:t>This perhaps explains the relative low number of facilities (46%) in Nairobi where private for profit health facilities dominate serv</w:t>
      </w:r>
      <w:r w:rsidR="00E771E1" w:rsidRPr="009A6F69">
        <w:rPr>
          <w:lang w:val="en-GB"/>
        </w:rPr>
        <w:t xml:space="preserve">ice delivery and where private health insurance is found. </w:t>
      </w:r>
    </w:p>
    <w:p w:rsidR="007B2B88" w:rsidRPr="009A6F69" w:rsidRDefault="007B2B88" w:rsidP="005F345A">
      <w:pPr>
        <w:pStyle w:val="Caption"/>
      </w:pPr>
      <w:bookmarkStart w:id="20" w:name="_Ref246063919"/>
      <w:r w:rsidRPr="009A6F69">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5</w:t>
      </w:r>
      <w:r w:rsidR="001B3B9E" w:rsidRPr="009A6F69">
        <w:fldChar w:fldCharType="end"/>
      </w:r>
      <w:bookmarkEnd w:id="20"/>
      <w:r w:rsidRPr="009A6F69">
        <w:t>: Availability of basic health services and qualified staff</w:t>
      </w:r>
    </w:p>
    <w:tbl>
      <w:tblPr>
        <w:tblStyle w:val="TableGrid"/>
        <w:tblW w:w="0" w:type="auto"/>
        <w:tblLook w:val="04A0"/>
      </w:tblPr>
      <w:tblGrid>
        <w:gridCol w:w="2496"/>
        <w:gridCol w:w="1608"/>
        <w:gridCol w:w="1749"/>
      </w:tblGrid>
      <w:tr w:rsidR="007F35F4" w:rsidRPr="009A6F69" w:rsidTr="0079423E">
        <w:trPr>
          <w:tblHeader/>
        </w:trPr>
        <w:tc>
          <w:tcPr>
            <w:tcW w:w="2496" w:type="dxa"/>
            <w:vAlign w:val="bottom"/>
          </w:tcPr>
          <w:p w:rsidR="007F35F4" w:rsidRPr="009A6F69" w:rsidRDefault="007F35F4" w:rsidP="005F345A">
            <w:pPr>
              <w:spacing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Type of Facility</w:t>
            </w:r>
          </w:p>
        </w:tc>
        <w:tc>
          <w:tcPr>
            <w:tcW w:w="1608" w:type="dxa"/>
          </w:tcPr>
          <w:p w:rsidR="007F35F4" w:rsidRPr="009A6F69" w:rsidRDefault="007F35F4" w:rsidP="000F2487">
            <w:pPr>
              <w:spacing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All basic services</w:t>
            </w:r>
          </w:p>
        </w:tc>
        <w:tc>
          <w:tcPr>
            <w:tcW w:w="1749" w:type="dxa"/>
          </w:tcPr>
          <w:p w:rsidR="007F35F4" w:rsidRPr="009A6F69" w:rsidRDefault="007F35F4" w:rsidP="000F2487">
            <w:pPr>
              <w:spacing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All basic services provided at/or above minimum frequencies</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Hospital</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85</w:t>
            </w:r>
          </w:p>
        </w:tc>
        <w:tc>
          <w:tcPr>
            <w:tcW w:w="1749"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82</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Health Centre</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81</w:t>
            </w:r>
          </w:p>
        </w:tc>
        <w:tc>
          <w:tcPr>
            <w:tcW w:w="1749"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77</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Maternity</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69</w:t>
            </w:r>
          </w:p>
        </w:tc>
        <w:tc>
          <w:tcPr>
            <w:tcW w:w="1749"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59</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Dispensaries</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21</w:t>
            </w:r>
          </w:p>
        </w:tc>
        <w:tc>
          <w:tcPr>
            <w:tcW w:w="1749"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20</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Clinic</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73</w:t>
            </w:r>
          </w:p>
        </w:tc>
        <w:tc>
          <w:tcPr>
            <w:tcW w:w="1749"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68</w:t>
            </w:r>
          </w:p>
        </w:tc>
      </w:tr>
      <w:tr w:rsidR="00CA43B0" w:rsidRPr="009A6F69" w:rsidTr="00464954">
        <w:tc>
          <w:tcPr>
            <w:tcW w:w="5853" w:type="dxa"/>
            <w:gridSpan w:val="3"/>
          </w:tcPr>
          <w:p w:rsidR="00CA43B0" w:rsidRPr="009A6F69" w:rsidRDefault="00CA43B0" w:rsidP="000F2487">
            <w:pPr>
              <w:spacing w:line="240" w:lineRule="auto"/>
              <w:rPr>
                <w:rFonts w:ascii="Times New Roman" w:hAnsi="Times New Roman" w:cs="Times New Roman"/>
                <w:sz w:val="20"/>
                <w:szCs w:val="20"/>
                <w:lang w:val="en-GB"/>
              </w:rPr>
            </w:pPr>
            <w:r w:rsidRPr="009A6F69">
              <w:rPr>
                <w:rFonts w:ascii="Times New Roman" w:hAnsi="Times New Roman" w:cs="Times New Roman"/>
                <w:b/>
                <w:sz w:val="20"/>
                <w:szCs w:val="20"/>
                <w:lang w:val="en-GB"/>
              </w:rPr>
              <w:lastRenderedPageBreak/>
              <w:t xml:space="preserve">Managing Authority </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Government </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82</w:t>
            </w:r>
          </w:p>
        </w:tc>
        <w:tc>
          <w:tcPr>
            <w:tcW w:w="1749"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77</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NGO</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72</w:t>
            </w:r>
          </w:p>
        </w:tc>
        <w:tc>
          <w:tcPr>
            <w:tcW w:w="1749"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68</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Private for Profit</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28</w:t>
            </w:r>
          </w:p>
        </w:tc>
        <w:tc>
          <w:tcPr>
            <w:tcW w:w="1749"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24</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Faith Based Organization</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54</w:t>
            </w:r>
          </w:p>
        </w:tc>
        <w:tc>
          <w:tcPr>
            <w:tcW w:w="1749"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54</w:t>
            </w:r>
          </w:p>
        </w:tc>
      </w:tr>
      <w:tr w:rsidR="00CA43B0" w:rsidRPr="009A6F69" w:rsidTr="00464954">
        <w:tc>
          <w:tcPr>
            <w:tcW w:w="5853" w:type="dxa"/>
            <w:gridSpan w:val="3"/>
          </w:tcPr>
          <w:p w:rsidR="00CA43B0" w:rsidRPr="009A6F69" w:rsidRDefault="00CA43B0" w:rsidP="000F2487">
            <w:pPr>
              <w:spacing w:line="240" w:lineRule="auto"/>
              <w:rPr>
                <w:rFonts w:ascii="Times New Roman" w:hAnsi="Times New Roman" w:cs="Times New Roman"/>
                <w:sz w:val="20"/>
                <w:szCs w:val="20"/>
                <w:lang w:val="en-GB"/>
              </w:rPr>
            </w:pPr>
            <w:r w:rsidRPr="009A6F69">
              <w:rPr>
                <w:rFonts w:ascii="Times New Roman" w:hAnsi="Times New Roman" w:cs="Times New Roman"/>
                <w:b/>
                <w:sz w:val="20"/>
                <w:szCs w:val="20"/>
                <w:lang w:val="en-GB"/>
              </w:rPr>
              <w:t>Province</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Nairobi</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46</w:t>
            </w:r>
          </w:p>
        </w:tc>
        <w:tc>
          <w:tcPr>
            <w:tcW w:w="1749"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41</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Central</w:t>
            </w:r>
          </w:p>
        </w:tc>
        <w:tc>
          <w:tcPr>
            <w:tcW w:w="1608" w:type="dxa"/>
          </w:tcPr>
          <w:p w:rsidR="007F35F4" w:rsidRPr="009A6F69" w:rsidRDefault="007F35F4"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39</w:t>
            </w:r>
          </w:p>
        </w:tc>
        <w:tc>
          <w:tcPr>
            <w:tcW w:w="1749"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39</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Coast</w:t>
            </w:r>
          </w:p>
        </w:tc>
        <w:tc>
          <w:tcPr>
            <w:tcW w:w="1608"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53</w:t>
            </w:r>
          </w:p>
        </w:tc>
        <w:tc>
          <w:tcPr>
            <w:tcW w:w="1749"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53</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Eastern</w:t>
            </w:r>
          </w:p>
        </w:tc>
        <w:tc>
          <w:tcPr>
            <w:tcW w:w="1608"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57</w:t>
            </w:r>
          </w:p>
        </w:tc>
        <w:tc>
          <w:tcPr>
            <w:tcW w:w="1749"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56</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North-Eastern</w:t>
            </w:r>
          </w:p>
        </w:tc>
        <w:tc>
          <w:tcPr>
            <w:tcW w:w="1608"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61</w:t>
            </w:r>
          </w:p>
        </w:tc>
        <w:tc>
          <w:tcPr>
            <w:tcW w:w="1749"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61</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Nyanza</w:t>
            </w:r>
          </w:p>
        </w:tc>
        <w:tc>
          <w:tcPr>
            <w:tcW w:w="1608"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85</w:t>
            </w:r>
          </w:p>
        </w:tc>
        <w:tc>
          <w:tcPr>
            <w:tcW w:w="1749"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77</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Rift Valley</w:t>
            </w:r>
          </w:p>
        </w:tc>
        <w:tc>
          <w:tcPr>
            <w:tcW w:w="1608"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63</w:t>
            </w:r>
          </w:p>
        </w:tc>
        <w:tc>
          <w:tcPr>
            <w:tcW w:w="1749"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55</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Western</w:t>
            </w:r>
          </w:p>
        </w:tc>
        <w:tc>
          <w:tcPr>
            <w:tcW w:w="1608"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85</w:t>
            </w:r>
          </w:p>
        </w:tc>
        <w:tc>
          <w:tcPr>
            <w:tcW w:w="1749"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78</w:t>
            </w:r>
          </w:p>
        </w:tc>
      </w:tr>
      <w:tr w:rsidR="007F35F4" w:rsidRPr="009A6F69" w:rsidTr="00BD6A22">
        <w:tc>
          <w:tcPr>
            <w:tcW w:w="2496" w:type="dxa"/>
          </w:tcPr>
          <w:p w:rsidR="007F35F4" w:rsidRPr="009A6F69" w:rsidRDefault="007F35F4"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Total</w:t>
            </w:r>
          </w:p>
        </w:tc>
        <w:tc>
          <w:tcPr>
            <w:tcW w:w="1608"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59</w:t>
            </w:r>
          </w:p>
        </w:tc>
        <w:tc>
          <w:tcPr>
            <w:tcW w:w="1749" w:type="dxa"/>
          </w:tcPr>
          <w:p w:rsidR="007F35F4" w:rsidRPr="009A6F69" w:rsidRDefault="00497083" w:rsidP="000F2487">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55</w:t>
            </w:r>
          </w:p>
        </w:tc>
      </w:tr>
      <w:tr w:rsidR="002155B9" w:rsidRPr="009A6F69" w:rsidTr="003B3C30">
        <w:tc>
          <w:tcPr>
            <w:tcW w:w="5853" w:type="dxa"/>
            <w:gridSpan w:val="3"/>
          </w:tcPr>
          <w:p w:rsidR="002155B9" w:rsidRPr="009A6F69" w:rsidRDefault="002155B9" w:rsidP="005F345A">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Adapted from </w:t>
            </w:r>
            <w:r w:rsidR="001B3B9E" w:rsidRPr="009A6F69">
              <w:rPr>
                <w:rFonts w:ascii="Times New Roman" w:hAnsi="Times New Roman" w:cs="Times New Roman"/>
                <w:sz w:val="20"/>
                <w:szCs w:val="20"/>
                <w:lang w:val="en-GB"/>
              </w:rPr>
              <w:fldChar w:fldCharType="begin" w:fldLock="1"/>
            </w:r>
            <w:r w:rsidR="004F4010">
              <w:rPr>
                <w:rFonts w:ascii="Times New Roman" w:hAnsi="Times New Roman" w:cs="Times New Roman"/>
                <w:sz w:val="20"/>
                <w:szCs w:val="20"/>
                <w:lang w:val="en-GB"/>
              </w:rPr>
              <w:instrText>ADDIN CSL_CITATION { "citationItems" : [ { "id" : "ITEM-1", "itemData" : { "author" : [ { "dropping-particle" : "", "family" : "National Coordinating Agency for Population and Development", "given" : "", "non-dropping-particle" : "", "parse-names" : false, "suffix" : "" } ], "container-title" : "Public Health", "id" : "ITEM-1", "issued" : { "date-parts" : [ [ "2010" ] ] }, "page" : "1-695", "publisher-place" : "Nairobi", "title" : "Kenya Service Provision Assessment (SPA) 2010", "type" : "report" }, "uris" : [ "http://www.mendeley.com/documents/?uuid=2f0f29f5-9e2e-4a3e-b321-b77c90b73e57" ] } ], "mendeley" : { "previouslyFormattedCitation" : "(National Coordinating Agency for Population and Development, 2010)" }, "properties" : { "noteIndex" : 0 }, "schema" : "https://github.com/citation-style-language/schema/raw/master/csl-citation.json" }</w:instrText>
            </w:r>
            <w:r w:rsidR="001B3B9E" w:rsidRPr="009A6F69">
              <w:rPr>
                <w:rFonts w:ascii="Times New Roman" w:hAnsi="Times New Roman" w:cs="Times New Roman"/>
                <w:sz w:val="20"/>
                <w:szCs w:val="20"/>
                <w:lang w:val="en-GB"/>
              </w:rPr>
              <w:fldChar w:fldCharType="separate"/>
            </w:r>
            <w:r w:rsidRPr="009A6F69">
              <w:rPr>
                <w:rFonts w:ascii="Times New Roman" w:hAnsi="Times New Roman" w:cs="Times New Roman"/>
                <w:noProof/>
                <w:sz w:val="20"/>
                <w:szCs w:val="20"/>
                <w:lang w:val="en-GB"/>
              </w:rPr>
              <w:t>(National Coordinating Agency for Population and Development, 2010)</w:t>
            </w:r>
            <w:r w:rsidR="001B3B9E" w:rsidRPr="009A6F69">
              <w:rPr>
                <w:rFonts w:ascii="Times New Roman" w:hAnsi="Times New Roman" w:cs="Times New Roman"/>
                <w:sz w:val="20"/>
                <w:szCs w:val="20"/>
                <w:lang w:val="en-GB"/>
              </w:rPr>
              <w:fldChar w:fldCharType="end"/>
            </w:r>
          </w:p>
        </w:tc>
      </w:tr>
      <w:tr w:rsidR="002155B9" w:rsidRPr="009A6F69" w:rsidTr="003B3C30">
        <w:tc>
          <w:tcPr>
            <w:tcW w:w="5853" w:type="dxa"/>
            <w:gridSpan w:val="3"/>
          </w:tcPr>
          <w:p w:rsidR="002155B9" w:rsidRPr="009A6F69" w:rsidRDefault="002155B9" w:rsidP="000F2487">
            <w:pPr>
              <w:spacing w:line="240" w:lineRule="auto"/>
              <w:rPr>
                <w:rFonts w:ascii="Times New Roman" w:hAnsi="Times New Roman" w:cs="Times New Roman"/>
                <w:sz w:val="20"/>
                <w:szCs w:val="20"/>
                <w:lang w:val="en-GB"/>
              </w:rPr>
            </w:pPr>
          </w:p>
        </w:tc>
      </w:tr>
    </w:tbl>
    <w:p w:rsidR="00B45994" w:rsidRPr="009A6F69" w:rsidRDefault="001D4224" w:rsidP="006765B8">
      <w:pPr>
        <w:rPr>
          <w:lang w:val="en-GB"/>
        </w:rPr>
      </w:pPr>
      <w:r w:rsidRPr="009A6F69">
        <w:rPr>
          <w:lang w:val="en-GB"/>
        </w:rPr>
        <w:t xml:space="preserve"> </w:t>
      </w:r>
    </w:p>
    <w:p w:rsidR="00ED4DF9" w:rsidRPr="009A6F69" w:rsidRDefault="00AF4D54" w:rsidP="00170369">
      <w:pPr>
        <w:rPr>
          <w:lang w:val="en-GB"/>
        </w:rPr>
      </w:pPr>
      <w:r w:rsidRPr="009A6F69">
        <w:rPr>
          <w:lang w:val="en-GB"/>
        </w:rPr>
        <w:t>One of the key building blocks of t</w:t>
      </w:r>
      <w:r w:rsidR="00AD6F17" w:rsidRPr="009A6F69">
        <w:rPr>
          <w:lang w:val="en-GB"/>
        </w:rPr>
        <w:t>he health system is governance, defined by the world bank institute as “</w:t>
      </w:r>
      <w:r w:rsidR="00D54BEE" w:rsidRPr="009A6F69">
        <w:rPr>
          <w:lang w:val="en-GB"/>
        </w:rPr>
        <w:t>the traditions and institutions by which authority in a country is exercised for the common good</w:t>
      </w:r>
      <w:r w:rsidR="00BA6C74" w:rsidRPr="009A6F69">
        <w:rPr>
          <w:lang w:val="en-GB"/>
        </w:rPr>
        <w:t>,</w:t>
      </w:r>
      <w:r w:rsidR="00D54BEE"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"USAID LMG PROJECT", "given" : "", "non-dropping-particle" : "", "parse-names" : false, "suffix" : "" } ], "id" : "ITEM-1", "issue" : "May 2012", "issued" : { "date-parts" : [ [ "2012" ] ] }, "page" : "1-58", "publisher-place" : "Cambridge, MA", "title" : "Governing for Better Health: A targeted literature review", "type" : "report" }, "uris" : [ "http://www.mendeley.com/documents/?uuid=a523e54a-4f8e-45cb-8bf1-2416917dbf2e" ] } ], "mendeley" : { "previouslyFormattedCitation" : "(USAID LMG PROJECT, 2012)" }, "properties" : { "noteIndex" : 0 }, "schema" : "https://github.com/citation-style-language/schema/raw/master/csl-citation.json" }</w:instrText>
      </w:r>
      <w:r w:rsidR="001B3B9E" w:rsidRPr="009A6F69">
        <w:rPr>
          <w:lang w:val="en-GB"/>
        </w:rPr>
        <w:fldChar w:fldCharType="separate"/>
      </w:r>
      <w:r w:rsidR="00BA6C74" w:rsidRPr="009A6F69">
        <w:rPr>
          <w:noProof/>
          <w:lang w:val="en-GB"/>
        </w:rPr>
        <w:t>(USAID LMG PROJECT, 2012)</w:t>
      </w:r>
      <w:r w:rsidR="001B3B9E" w:rsidRPr="009A6F69">
        <w:rPr>
          <w:lang w:val="en-GB"/>
        </w:rPr>
        <w:fldChar w:fldCharType="end"/>
      </w:r>
      <w:r w:rsidR="00BA6C74" w:rsidRPr="009A6F69">
        <w:rPr>
          <w:lang w:val="en-GB"/>
        </w:rPr>
        <w:t>.</w:t>
      </w:r>
      <w:r w:rsidR="00D54BEE" w:rsidRPr="009A6F69">
        <w:rPr>
          <w:lang w:val="en-GB"/>
        </w:rPr>
        <w:t xml:space="preserve"> </w:t>
      </w:r>
      <w:r w:rsidR="000C3F37" w:rsidRPr="009A6F69">
        <w:rPr>
          <w:lang w:val="en-GB"/>
        </w:rPr>
        <w:t xml:space="preserve">Governance can be viewed in terms of stewardship and corporate governance, undertaken at organizational level.  </w:t>
      </w:r>
      <w:r w:rsidR="004C5990" w:rsidRPr="009A6F69">
        <w:rPr>
          <w:lang w:val="en-GB"/>
        </w:rPr>
        <w:t>A well governed health system should have clear goals based on a certain degree of participation of relevant stakeholders especially those from disadvantaged groups or who may have less power to influence polices, and from which transparent policies are designed and adhered to by promoting accountability and reducing the risk of corruption</w:t>
      </w:r>
      <w:r w:rsidR="00B4437C" w:rsidRPr="009A6F69">
        <w:rPr>
          <w:lang w:val="en-GB"/>
        </w:rPr>
        <w:t>,</w:t>
      </w:r>
      <w:r w:rsidR="001B3B9E" w:rsidRPr="009A6F69">
        <w:rPr>
          <w:lang w:val="en-GB"/>
        </w:rPr>
        <w:fldChar w:fldCharType="begin" w:fldLock="1"/>
      </w:r>
      <w:r w:rsidR="004F4010">
        <w:rPr>
          <w:lang w:val="en-GB"/>
        </w:rPr>
        <w:instrText>ADDIN CSL_CITATION { "citationItems" : [ { "id" : "ITEM-1", "itemData" : { "DOI" : "10.1186/1472-698X-11-13", "ISSN" : "1472-698X", "PMID" : "22136318", "abstract" : "As countries strive to strengthen their health systems in resource constrained contexts, policy makers need to know how best to improve the performance of their health systems. To aid these decisions, health system stewards should have a good understanding of how health systems operate in order to govern them appropriately. While a number of frameworks for assessing governance in the health sector have been proposed, their application is often hindered by unrealistic indicators or they are overly complex resulting in limited empirical work on governance in health systems. This paper reviews contemporary health sector frameworks which have focused on defining and developing indicators to assess governance in the health sector. Based on these, we propose a simplified approach to look at governance within a common health system framework which encourages stewards to take a systematic perspective when assessing governance. Although systems thinking is not unique to health, examples of its application within health systems has been limited. We also provide an example of how this approach could be applied to illuminate areas of governance weaknesses which are potentially addressable by targeted interventions and policies. This approach is built largely on prior literature, but is original in that it is problem-driven and promotes an outward application taking into consideration the major health system building blocks at various levels in order to ensure a more complete assessment of a governance issue rather than a simple input-output approach. Based on an assessment of contemporary literature we propose a practical approach which we believe will facilitate a more comprehensive assessment of governance in health systems leading to the development of governance interventions to strengthen system performance and improve health as a basic human right.", "author" : [ { "dropping-particle" : "", "family" : "Mikkelsen-Lopez", "given" : "Inez", "non-dropping-particle" : "", "parse-names" : false, "suffix" : "" }, { "dropping-particle" : "", "family" : "Wyss", "given" : "Kaspar", "non-dropping-particle" : "", "parse-names" : false, "suffix" : "" }, { "dropping-particle" : "", "family" : "Savigny", "given" : "Don", "non-dropping-particle" : "de", "parse-names" : false, "suffix" : "" } ], "container-title" : "BMC international health and human rights", "id" : "ITEM-1", "issued" : { "date-parts" : [ [ "2011", "1" ] ] }, "page" : "13", "title" : "An approach to addressing governance from a health system framework perspective.", "type" : "article-journal", "volume" : "11" }, "uris" : [ "http://www.mendeley.com/documents/?uuid=4cda83d7-a2ae-484c-ad4d-b06df13beca0" ] } ], "mendeley" : { "previouslyFormattedCitation" : "(Mikkelsen-Lopez, Wyss, &amp; de Savigny, 2011)" }, "properties" : { "noteIndex" : 0 }, "schema" : "https://github.com/citation-style-language/schema/raw/master/csl-citation.json" }</w:instrText>
      </w:r>
      <w:r w:rsidR="001B3B9E" w:rsidRPr="009A6F69">
        <w:rPr>
          <w:lang w:val="en-GB"/>
        </w:rPr>
        <w:fldChar w:fldCharType="separate"/>
      </w:r>
      <w:r w:rsidR="00BA6C74" w:rsidRPr="009A6F69">
        <w:rPr>
          <w:noProof/>
          <w:lang w:val="en-GB"/>
        </w:rPr>
        <w:t>(</w:t>
      </w:r>
      <w:proofErr w:type="spellStart"/>
      <w:r w:rsidR="00BA6C74" w:rsidRPr="009A6F69">
        <w:rPr>
          <w:noProof/>
          <w:lang w:val="en-GB"/>
        </w:rPr>
        <w:t>Mikkelsen</w:t>
      </w:r>
      <w:proofErr w:type="spellEnd"/>
      <w:r w:rsidR="00BA6C74" w:rsidRPr="009A6F69">
        <w:rPr>
          <w:noProof/>
          <w:lang w:val="en-GB"/>
        </w:rPr>
        <w:t>-Lopez, Wyss, &amp; de Savigny, 2011)</w:t>
      </w:r>
      <w:r w:rsidR="001B3B9E" w:rsidRPr="009A6F69">
        <w:rPr>
          <w:lang w:val="en-GB"/>
        </w:rPr>
        <w:fldChar w:fldCharType="end"/>
      </w:r>
      <w:r w:rsidR="004C5990" w:rsidRPr="009A6F69">
        <w:rPr>
          <w:lang w:val="en-GB"/>
        </w:rPr>
        <w:t>.</w:t>
      </w:r>
      <w:r w:rsidR="000C5001" w:rsidRPr="009A6F69">
        <w:rPr>
          <w:lang w:val="en-GB"/>
        </w:rPr>
        <w:t xml:space="preserve"> It is likely that large-scale corruption has important impacts on access to and the quality of health services and that that these </w:t>
      </w:r>
      <w:r w:rsidR="007A3867" w:rsidRPr="009A6F69">
        <w:rPr>
          <w:lang w:val="en-GB"/>
        </w:rPr>
        <w:t>in turn affect health outcomes</w:t>
      </w:r>
      <w:r w:rsidR="004D3E0D" w:rsidRPr="009A6F69">
        <w:rPr>
          <w:lang w:val="en-GB"/>
        </w:rPr>
        <w:t xml:space="preserve">. </w:t>
      </w:r>
      <w:r w:rsidR="007010F5" w:rsidRPr="009A6F69">
        <w:rPr>
          <w:lang w:val="en-GB"/>
        </w:rPr>
        <w:t>A number of strateg</w:t>
      </w:r>
      <w:r w:rsidR="004D3E0D" w:rsidRPr="009A6F69">
        <w:rPr>
          <w:lang w:val="en-GB"/>
        </w:rPr>
        <w:t xml:space="preserve">ies exist to reduce corruption among </w:t>
      </w:r>
      <w:r w:rsidR="004D3E0D" w:rsidRPr="009A6F69">
        <w:rPr>
          <w:lang w:val="en-GB"/>
        </w:rPr>
        <w:lastRenderedPageBreak/>
        <w:t xml:space="preserve">then increased transparency and accountability </w:t>
      </w:r>
      <w:r w:rsidR="009A6F69" w:rsidRPr="009A6F69">
        <w:rPr>
          <w:lang w:val="en-GB"/>
        </w:rPr>
        <w:t>of health</w:t>
      </w:r>
      <w:r w:rsidR="004D3E0D" w:rsidRPr="009A6F69">
        <w:rPr>
          <w:lang w:val="en-GB"/>
        </w:rPr>
        <w:t xml:space="preserve"> system processes, </w:t>
      </w:r>
      <w:r w:rsidR="001B3B9E" w:rsidRPr="009A6F69">
        <w:rPr>
          <w:lang w:val="en-GB"/>
        </w:rPr>
        <w:fldChar w:fldCharType="begin" w:fldLock="1"/>
      </w:r>
      <w:r w:rsidR="004F4010">
        <w:rPr>
          <w:lang w:val="en-GB"/>
        </w:rPr>
        <w:instrText>ADDIN CSL_CITATION { "citationItems" : [ { "id" : "ITEM-1", "itemData" : { "author" : [ { "dropping-particle" : "", "family" : "USAID LMG PROJECT", "given" : "", "non-dropping-particle" : "", "parse-names" : false, "suffix" : "" } ], "id" : "ITEM-1", "issue" : "May 2012", "issued" : { "date-parts" : [ [ "2012" ] ] }, "page" : "1-58", "publisher-place" : "Cambridge, MA", "title" : "Governing for Better Health: A targeted literature review", "type" : "report" }, "uris" : [ "http://www.mendeley.com/documents/?uuid=a523e54a-4f8e-45cb-8bf1-2416917dbf2e" ] } ], "mendeley" : { "previouslyFormattedCitation" : "(USAID LMG PROJECT, 2012)" }, "properties" : { "noteIndex" : 0 }, "schema" : "https://github.com/citation-style-language/schema/raw/master/csl-citation.json" }</w:instrText>
      </w:r>
      <w:r w:rsidR="001B3B9E" w:rsidRPr="009A6F69">
        <w:rPr>
          <w:lang w:val="en-GB"/>
        </w:rPr>
        <w:fldChar w:fldCharType="separate"/>
      </w:r>
      <w:r w:rsidR="007A3867" w:rsidRPr="009A6F69">
        <w:rPr>
          <w:noProof/>
          <w:lang w:val="en-GB"/>
        </w:rPr>
        <w:t>(USAID LMG PROJECT, 2012)</w:t>
      </w:r>
      <w:r w:rsidR="001B3B9E" w:rsidRPr="009A6F69">
        <w:rPr>
          <w:lang w:val="en-GB"/>
        </w:rPr>
        <w:fldChar w:fldCharType="end"/>
      </w:r>
      <w:r w:rsidR="007A3867" w:rsidRPr="009A6F69">
        <w:rPr>
          <w:lang w:val="en-GB"/>
        </w:rPr>
        <w:t>.</w:t>
      </w:r>
      <w:r w:rsidR="00ED4DF9" w:rsidRPr="009A6F69">
        <w:rPr>
          <w:lang w:val="en-GB"/>
        </w:rPr>
        <w:t xml:space="preserve"> </w:t>
      </w:r>
    </w:p>
    <w:p w:rsidR="004D7F79" w:rsidRPr="009A6F69" w:rsidRDefault="00ED4DF9" w:rsidP="00E5462F">
      <w:pPr>
        <w:rPr>
          <w:lang w:val="en-GB"/>
        </w:rPr>
      </w:pPr>
      <w:r w:rsidRPr="009A6F69">
        <w:rPr>
          <w:lang w:val="en-GB"/>
        </w:rPr>
        <w:t>According to one study by Transparency International (TI), 83% of the facility in-charges and heads of departments interviewed</w:t>
      </w:r>
      <w:r w:rsidR="00217639" w:rsidRPr="009A6F69">
        <w:rPr>
          <w:lang w:val="en-GB"/>
        </w:rPr>
        <w:t xml:space="preserve">, </w:t>
      </w:r>
      <w:r w:rsidRPr="009A6F69">
        <w:rPr>
          <w:lang w:val="en-GB"/>
        </w:rPr>
        <w:t>reported that the ministry of health regularly communicate with their constituencies and partners at all levels (national, provincial, district and local) on priority health needs.</w:t>
      </w:r>
      <w:r w:rsidR="00D52881" w:rsidRPr="009A6F69">
        <w:rPr>
          <w:lang w:val="en-GB"/>
        </w:rPr>
        <w:t xml:space="preserve"> The </w:t>
      </w:r>
      <w:r w:rsidR="00380E43" w:rsidRPr="009A6F69">
        <w:rPr>
          <w:lang w:val="en-GB"/>
        </w:rPr>
        <w:t xml:space="preserve">respondents reported being held accountable </w:t>
      </w:r>
      <w:r w:rsidR="00D52881" w:rsidRPr="009A6F69">
        <w:rPr>
          <w:lang w:val="en-GB"/>
        </w:rPr>
        <w:t>for facility level spending by; production of monthly financial reports (72%), periodic auditing (61%), periodic supervision by national authorities (47%) and monthly dissemination meetings (30.6%)</w:t>
      </w:r>
      <w:r w:rsidR="006B469A" w:rsidRPr="009A6F69">
        <w:rPr>
          <w:lang w:val="en-GB"/>
        </w:rPr>
        <w:t xml:space="preserve">. </w:t>
      </w:r>
      <w:r w:rsidR="00854AB8" w:rsidRPr="009A6F69">
        <w:rPr>
          <w:lang w:val="en-GB"/>
        </w:rPr>
        <w:t>However only a third of the</w:t>
      </w:r>
      <w:r w:rsidR="002F536D" w:rsidRPr="009A6F69">
        <w:rPr>
          <w:lang w:val="en-GB"/>
        </w:rPr>
        <w:t>m</w:t>
      </w:r>
      <w:r w:rsidR="00854AB8" w:rsidRPr="009A6F69">
        <w:rPr>
          <w:lang w:val="en-GB"/>
        </w:rPr>
        <w:t xml:space="preserve"> had (in the past two years) seen their health facility budgets and expenditure documents since the records are not based at the health facilities. </w:t>
      </w:r>
      <w:r w:rsidR="00E46D22" w:rsidRPr="009A6F69">
        <w:rPr>
          <w:lang w:val="en-GB"/>
        </w:rPr>
        <w:t xml:space="preserve">Further </w:t>
      </w:r>
      <w:r w:rsidR="006B469A" w:rsidRPr="009A6F69">
        <w:rPr>
          <w:lang w:val="en-GB"/>
        </w:rPr>
        <w:t xml:space="preserve">bottlenecks and delays in the transfer of funds was a common feature 64.7% </w:t>
      </w:r>
      <w:r w:rsidR="00E46D22" w:rsidRPr="009A6F69">
        <w:rPr>
          <w:lang w:val="en-GB"/>
        </w:rPr>
        <w:t xml:space="preserve">of respondents </w:t>
      </w:r>
      <w:r w:rsidR="006B469A" w:rsidRPr="009A6F69">
        <w:rPr>
          <w:lang w:val="en-GB"/>
        </w:rPr>
        <w:t>reported having experienced such delays in the past two years</w:t>
      </w:r>
      <w:r w:rsidR="002E22FA"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"Transparency International-Kenya", "given" : "", "non-dropping-particle" : "", "parse-names" : false, "suffix" : "" } ], "id" : "ITEM-1", "issued" : { "date-parts" : [ [ "2011" ] ] }, "publisher-place" : "Nairobi", "title" : "The Kenya Health Sector Integrity Study Report", "type" : "report" }, "uris" : [ "http://www.mendeley.com/documents/?uuid=bbd11863-edaf-421e-b540-5ae968ce019e" ] } ], "mendeley" : { "previouslyFormattedCitation" : "(Transparency International-Kenya, 2011)" }, "properties" : { "noteIndex" : 0 }, "schema" : "https://github.com/citation-style-language/schema/raw/master/csl-citation.json" }</w:instrText>
      </w:r>
      <w:r w:rsidR="001B3B9E" w:rsidRPr="009A6F69">
        <w:rPr>
          <w:lang w:val="en-GB"/>
        </w:rPr>
        <w:fldChar w:fldCharType="separate"/>
      </w:r>
      <w:r w:rsidR="002E22FA" w:rsidRPr="009A6F69">
        <w:rPr>
          <w:noProof/>
          <w:lang w:val="en-GB"/>
        </w:rPr>
        <w:t>(Transparency International-Kenya, 2011)</w:t>
      </w:r>
      <w:r w:rsidR="001B3B9E" w:rsidRPr="009A6F69">
        <w:rPr>
          <w:lang w:val="en-GB"/>
        </w:rPr>
        <w:fldChar w:fldCharType="end"/>
      </w:r>
      <w:r w:rsidR="006B469A" w:rsidRPr="009A6F69">
        <w:rPr>
          <w:lang w:val="en-GB"/>
        </w:rPr>
        <w:t>.</w:t>
      </w:r>
      <w:r w:rsidR="007A7E7E" w:rsidRPr="009A6F69">
        <w:rPr>
          <w:lang w:val="en-GB"/>
        </w:rPr>
        <w:t xml:space="preserve"> </w:t>
      </w:r>
    </w:p>
    <w:p w:rsidR="00A259A2" w:rsidRPr="009A6F69" w:rsidRDefault="000850B7" w:rsidP="0081549F">
      <w:pPr>
        <w:pStyle w:val="Heading2"/>
        <w:rPr>
          <w:lang w:val="en-GB"/>
        </w:rPr>
      </w:pPr>
      <w:bookmarkStart w:id="21" w:name="_Toc254256129"/>
      <w:r w:rsidRPr="009A6F69">
        <w:rPr>
          <w:lang w:val="en-GB"/>
        </w:rPr>
        <w:t>Equity in access to health services</w:t>
      </w:r>
      <w:bookmarkEnd w:id="21"/>
      <w:r w:rsidRPr="009A6F69">
        <w:rPr>
          <w:lang w:val="en-GB"/>
        </w:rPr>
        <w:t xml:space="preserve"> </w:t>
      </w:r>
    </w:p>
    <w:p w:rsidR="003271DE" w:rsidRPr="009A6F69" w:rsidRDefault="002C0C5A" w:rsidP="000850B7">
      <w:pPr>
        <w:rPr>
          <w:bCs/>
          <w:lang w:val="en-GB"/>
        </w:rPr>
      </w:pPr>
      <w:r w:rsidRPr="009A6F69">
        <w:rPr>
          <w:bCs/>
          <w:lang w:val="en-GB"/>
        </w:rPr>
        <w:t xml:space="preserve">There is no single, universal theory of equity, but it is widely agreed that equity implies equality. </w:t>
      </w:r>
      <w:r w:rsidR="00FA416D" w:rsidRPr="009A6F69">
        <w:rPr>
          <w:bCs/>
          <w:lang w:val="en-GB"/>
        </w:rPr>
        <w:t>Equity in health care requires that patients who are alike in relevant respects be treated in like fashion; and that patients who are unlike in relevant respects be treated in appropriately unlike fashion, horizontal and vertical equity respectively</w:t>
      </w:r>
      <w:r w:rsidR="001B3B9E" w:rsidRPr="009A6F69">
        <w:rPr>
          <w:bCs/>
          <w:lang w:val="en-GB"/>
        </w:rPr>
        <w:fldChar w:fldCharType="begin" w:fldLock="1"/>
      </w:r>
      <w:r w:rsidR="004F4010">
        <w:rPr>
          <w:bCs/>
          <w:lang w:val="en-GB"/>
        </w:rPr>
        <w:instrText>ADDIN CSL_CITATION { "citationItems" : [ { "id" : "ITEM-1", "itemData" : { "author" : [ { "dropping-particle" : "", "family" : "Culyer", "given" : "Anthony J", "non-dropping-particle" : "", "parse-names" : false, "suffix" : "" } ], "container-title" : "Journal of Medical Ethics", "id" : "ITEM-1", "issued" : { "date-parts" : [ [ "2001" ] ] }, "page" : "275-283", "title" : "Equity - some theory and its policy implications", "type" : "article-journal" }, "uris" : [ "http://www.mendeley.com/documents/?uuid=c38a6efc-fb53-4ffa-891f-fb586f5b404e" ] } ], "mendeley" : { "previouslyFormattedCitation" : "(Culyer, 2001)" }, "properties" : { "noteIndex" : 0 }, "schema" : "https://github.com/citation-style-language/schema/raw/master/csl-citation.json" }</w:instrText>
      </w:r>
      <w:r w:rsidR="001B3B9E" w:rsidRPr="009A6F69">
        <w:rPr>
          <w:bCs/>
          <w:lang w:val="en-GB"/>
        </w:rPr>
        <w:fldChar w:fldCharType="separate"/>
      </w:r>
      <w:r w:rsidR="0005521E" w:rsidRPr="009A6F69">
        <w:rPr>
          <w:bCs/>
          <w:noProof/>
          <w:lang w:val="en-GB"/>
        </w:rPr>
        <w:t>(</w:t>
      </w:r>
      <w:proofErr w:type="spellStart"/>
      <w:r w:rsidR="0005521E" w:rsidRPr="009A6F69">
        <w:rPr>
          <w:bCs/>
          <w:noProof/>
          <w:lang w:val="en-GB"/>
        </w:rPr>
        <w:t>Culyer</w:t>
      </w:r>
      <w:proofErr w:type="spellEnd"/>
      <w:r w:rsidR="0005521E" w:rsidRPr="009A6F69">
        <w:rPr>
          <w:bCs/>
          <w:noProof/>
          <w:lang w:val="en-GB"/>
        </w:rPr>
        <w:t>, 2001)</w:t>
      </w:r>
      <w:r w:rsidR="001B3B9E" w:rsidRPr="009A6F69">
        <w:rPr>
          <w:bCs/>
          <w:lang w:val="en-GB"/>
        </w:rPr>
        <w:fldChar w:fldCharType="end"/>
      </w:r>
      <w:r w:rsidR="00FA416D" w:rsidRPr="009A6F69">
        <w:rPr>
          <w:bCs/>
          <w:lang w:val="en-GB"/>
        </w:rPr>
        <w:t xml:space="preserve">. </w:t>
      </w:r>
      <w:r w:rsidR="00A50643" w:rsidRPr="009A6F69">
        <w:rPr>
          <w:bCs/>
          <w:lang w:val="en-GB"/>
        </w:rPr>
        <w:t xml:space="preserve">Every person should be able to achieve his/her optimal health status, without discrimination. </w:t>
      </w:r>
      <w:r w:rsidR="00001558" w:rsidRPr="009A6F69">
        <w:rPr>
          <w:bCs/>
          <w:lang w:val="en-GB"/>
        </w:rPr>
        <w:t>Disparities in health and its determinants are the metric for assessing health equity, the principle underlying a commitment to reducing disparities in health and its determinants; health equity is social justice in health</w:t>
      </w:r>
      <w:r w:rsidR="001B3B9E" w:rsidRPr="009A6F69">
        <w:rPr>
          <w:bCs/>
          <w:lang w:val="en-GB"/>
        </w:rPr>
        <w:fldChar w:fldCharType="begin" w:fldLock="1"/>
      </w:r>
      <w:r w:rsidR="004F4010">
        <w:rPr>
          <w:bCs/>
          <w:lang w:val="en-GB"/>
        </w:rPr>
        <w:instrText>ADDIN CSL_CITATION { "citationItems" : [ { "id" : "ITEM-1", "itemData" : { "DOI" : "10.2105/AJPH.2010.300062", "author" : [ { "dropping-particle" : "", "family" : "Braveman", "given" : "Paula A.", "non-dropping-particle" : "", "parse-names" : false, "suffix" : "" }, { "dropping-particle" : "", "family" : "Kumanyika", "given" : "Shiriki", "non-dropping-particle" : "", "parse-names" : false, "suffix" : "" }, { "dropping-particle" : "", "family" : "Fielding", "given" : "Jonathan", "non-dropping-particle" : "", "parse-names" : false, "suffix" : "" }, { "dropping-particle" : "", "family" : "LaVeist", "given" : "Thomas", "non-dropping-particle" : "", "parse-names" : false, "suffix" : "" }, { "dropping-particle" : "", "family" : "Borrell", "given" : "Luisa N", "non-dropping-particle" : "", "parse-names" : false, "suffix" : "" }, { "dropping-particle" : "", "family" : "Manderscheid", "given" : "Ron", "non-dropping-particle" : "", "parse-names" : false, "suffix" : "" }, { "dropping-particle" : "", "family" : "Troutman", "given" : "Adewale", "non-dropping-particle" : "", "parse-names" : false, "suffix" : "" } ], "container-title" : "American Journal of Public Health", "id" : "ITEM-1", "issue" : "51", "issued" : { "date-parts" : [ [ "2011" ] ] }, "page" : "149-155", "title" : "Health Disparities and Health Equity : The Issue Is Justice", "type" : "article-journal", "volume" : "101" }, "uris" : [ "http://www.mendeley.com/documents/?uuid=6455230f-df86-42e5-8cfc-cbfe62a45410" ] } ], "mendeley" : { "previouslyFormattedCitation" : "(Braveman et al., 2011)" }, "properties" : { "noteIndex" : 0 }, "schema" : "https://github.com/citation-style-language/schema/raw/master/csl-citation.json" }</w:instrText>
      </w:r>
      <w:r w:rsidR="001B3B9E" w:rsidRPr="009A6F69">
        <w:rPr>
          <w:bCs/>
          <w:lang w:val="en-GB"/>
        </w:rPr>
        <w:fldChar w:fldCharType="separate"/>
      </w:r>
      <w:r w:rsidR="00F20F47" w:rsidRPr="009A6F69">
        <w:rPr>
          <w:bCs/>
          <w:noProof/>
          <w:lang w:val="en-GB"/>
        </w:rPr>
        <w:t>(</w:t>
      </w:r>
      <w:proofErr w:type="spellStart"/>
      <w:r w:rsidR="00F20F47" w:rsidRPr="009A6F69">
        <w:rPr>
          <w:bCs/>
          <w:noProof/>
          <w:lang w:val="en-GB"/>
        </w:rPr>
        <w:t>Braveman</w:t>
      </w:r>
      <w:proofErr w:type="spellEnd"/>
      <w:r w:rsidR="00F20F47" w:rsidRPr="009A6F69">
        <w:rPr>
          <w:bCs/>
          <w:noProof/>
          <w:lang w:val="en-GB"/>
        </w:rPr>
        <w:t xml:space="preserve"> et al., 2011)</w:t>
      </w:r>
      <w:r w:rsidR="001B3B9E" w:rsidRPr="009A6F69">
        <w:rPr>
          <w:bCs/>
          <w:lang w:val="en-GB"/>
        </w:rPr>
        <w:fldChar w:fldCharType="end"/>
      </w:r>
      <w:r w:rsidR="00001558" w:rsidRPr="009A6F69">
        <w:rPr>
          <w:bCs/>
          <w:lang w:val="en-GB"/>
        </w:rPr>
        <w:t>.</w:t>
      </w:r>
    </w:p>
    <w:p w:rsidR="00973722" w:rsidRPr="009A6F69" w:rsidRDefault="003271DE" w:rsidP="000850B7">
      <w:pPr>
        <w:rPr>
          <w:bCs/>
          <w:lang w:val="en-GB"/>
        </w:rPr>
      </w:pPr>
      <w:r w:rsidRPr="009A6F69">
        <w:rPr>
          <w:bCs/>
          <w:lang w:val="en-GB"/>
        </w:rPr>
        <w:t>The Constitution, in section 43 (Chapter 4 – Bill of Rights) is explicit on the requirement for every citizen to enjoy the right to economic and social rights as well as the Government’s responsibility in ensuring that these rights are protected</w:t>
      </w:r>
      <w:r w:rsidR="001B3B9E" w:rsidRPr="009A6F69">
        <w:rPr>
          <w:bCs/>
          <w:lang w:val="en-GB"/>
        </w:rPr>
        <w:fldChar w:fldCharType="begin" w:fldLock="1"/>
      </w:r>
      <w:r w:rsidR="004F4010">
        <w:rPr>
          <w:bCs/>
          <w:lang w:val="en-GB"/>
        </w:rPr>
        <w:instrText>ADDIN CSL_CITATION { "citationItems" : [ { "id" : "ITEM-1", "itemData" : { "container-title" : "Human Rights", "id" : "ITEM-1", "issued" : { "date-parts" : [ [ "2010" ] ] }, "publisher" : "PNational Council for Law Reporting with the Authority of the Attorney General", "publisher-place" : "Kenya", "title" : "The Constitution of Kenya, 2010", "type" : "legislation" }, "uris" : [ "http://www.mendeley.com/documents/?uuid=beb0c98c-4a19-47c3-a0ed-803cf6cc4fb0" ] } ], "mendeley" : { "previouslyFormattedCitation" : "(&lt;i&gt;The Constitution of Kenya, 2010&lt;/i&gt;, 2010)" }, "properties" : { "noteIndex" : 0 }, "schema" : "https://github.com/citation-style-language/schema/raw/master/csl-citation.json" }</w:instrText>
      </w:r>
      <w:r w:rsidR="001B3B9E" w:rsidRPr="009A6F69">
        <w:rPr>
          <w:bCs/>
          <w:lang w:val="en-GB"/>
        </w:rPr>
        <w:fldChar w:fldCharType="separate"/>
      </w:r>
      <w:r w:rsidR="004F4010" w:rsidRPr="004F4010">
        <w:rPr>
          <w:bCs/>
          <w:noProof/>
          <w:lang w:val="en-GB"/>
        </w:rPr>
        <w:t>(</w:t>
      </w:r>
      <w:r w:rsidR="004F4010" w:rsidRPr="004F4010">
        <w:rPr>
          <w:bCs/>
          <w:i/>
          <w:noProof/>
          <w:lang w:val="en-GB"/>
        </w:rPr>
        <w:t>The Constitution of Kenya, 2010</w:t>
      </w:r>
      <w:r w:rsidR="004F4010" w:rsidRPr="004F4010">
        <w:rPr>
          <w:bCs/>
          <w:noProof/>
          <w:lang w:val="en-GB"/>
        </w:rPr>
        <w:t>, 2010)</w:t>
      </w:r>
      <w:r w:rsidR="001B3B9E" w:rsidRPr="009A6F69">
        <w:rPr>
          <w:bCs/>
          <w:lang w:val="en-GB"/>
        </w:rPr>
        <w:fldChar w:fldCharType="end"/>
      </w:r>
      <w:r w:rsidRPr="009A6F69">
        <w:rPr>
          <w:bCs/>
          <w:lang w:val="en-GB"/>
        </w:rPr>
        <w:t xml:space="preserve">. Social health insurance may be considered as one of the means to achieving these economic and social rights. Currently, Kenya does </w:t>
      </w:r>
      <w:r w:rsidRPr="009A6F69">
        <w:rPr>
          <w:bCs/>
          <w:lang w:val="en-GB"/>
        </w:rPr>
        <w:lastRenderedPageBreak/>
        <w:t>not have a mechanism to fully protect these rights. For instance, the Country does not have an indigent scheme, nor is social security fully provided for. Consequently, future policies must be implemented to ensure that these rights are achieved</w:t>
      </w:r>
      <w:r w:rsidR="001B3B9E" w:rsidRPr="009A6F69">
        <w:rPr>
          <w:bCs/>
          <w:lang w:val="en-GB"/>
        </w:rPr>
        <w:fldChar w:fldCharType="begin" w:fldLock="1"/>
      </w:r>
      <w:r w:rsidR="004F4010">
        <w:rPr>
          <w:bCs/>
          <w:lang w:val="en-GB"/>
        </w:rPr>
        <w:instrText>ADDIN CSL_CITATION { "citationItems" : [ { "id" : "ITEM-1", "itemData" : { "author" : [ { "dropping-particle" : "", "family" : "Deloitte Consulting", "given" : "", "non-dropping-particle" : "", "parse-names" : false, "suffix" : "" } ], "id" : "ITEM-1", "issued" : { "date-parts" : [ [ "2011" ] ] }, "page" : "213", "publisher-place" : "Nairobi", "title" : "Strategic review of the National Hospital Insurance Fund-Kenya", "type" : "report" }, "uris" : [ "http://www.mendeley.com/documents/?uuid=43f17e03-901c-4819-9404-ea2cfeb7e50f" ] } ], "mendeley" : { "previouslyFormattedCitation" : "(Deloitte Consulting, 2011b)" }, "properties" : { "noteIndex" : 0 }, "schema" : "https://github.com/citation-style-language/schema/raw/master/csl-citation.json" }</w:instrText>
      </w:r>
      <w:r w:rsidR="001B3B9E" w:rsidRPr="009A6F69">
        <w:rPr>
          <w:bCs/>
          <w:lang w:val="en-GB"/>
        </w:rPr>
        <w:fldChar w:fldCharType="separate"/>
      </w:r>
      <w:r w:rsidR="000142E7" w:rsidRPr="009A6F69">
        <w:rPr>
          <w:bCs/>
          <w:noProof/>
          <w:lang w:val="en-GB"/>
        </w:rPr>
        <w:t>(Deloitte Consulting, 2011b)</w:t>
      </w:r>
      <w:r w:rsidR="001B3B9E" w:rsidRPr="009A6F69">
        <w:rPr>
          <w:bCs/>
          <w:lang w:val="en-GB"/>
        </w:rPr>
        <w:fldChar w:fldCharType="end"/>
      </w:r>
      <w:r w:rsidRPr="009A6F69">
        <w:rPr>
          <w:bCs/>
          <w:lang w:val="en-GB"/>
        </w:rPr>
        <w:t xml:space="preserve">. </w:t>
      </w:r>
    </w:p>
    <w:p w:rsidR="00B576E2" w:rsidRPr="009A6F69" w:rsidRDefault="003271DE" w:rsidP="000850B7">
      <w:pPr>
        <w:rPr>
          <w:bCs/>
          <w:lang w:val="en-GB"/>
        </w:rPr>
      </w:pPr>
      <w:r w:rsidRPr="009A6F69">
        <w:rPr>
          <w:bCs/>
          <w:lang w:val="en-GB"/>
        </w:rPr>
        <w:t xml:space="preserve">Kenya’s Vision 2030 Kenya’s Vision 2030 is the country’s development blueprint that aims to transform Kenya into a newly industrialising, “middle-income country providing a high quality life to all its citizens by the year 2030”. The Vision is based on three “pillars”: the economic, the social and the political pillars. The health sector is included in the social pillar and aims to improve the overall livelihoods of Kenyans by providing an efficient and high quality healthcare system with the best standards. </w:t>
      </w:r>
      <w:r w:rsidR="007F30B8" w:rsidRPr="009A6F69">
        <w:rPr>
          <w:bCs/>
          <w:lang w:val="en-GB"/>
        </w:rPr>
        <w:t>O</w:t>
      </w:r>
      <w:r w:rsidRPr="009A6F69">
        <w:rPr>
          <w:bCs/>
          <w:lang w:val="en-GB"/>
        </w:rPr>
        <w:t>ne of the key strategic projects envisaged under the Vision 2030 is the implementation of a social health insurance scheme to promote equity and access to healthcare financing</w:t>
      </w:r>
      <w:r w:rsidR="001B3B9E" w:rsidRPr="009A6F69">
        <w:rPr>
          <w:bCs/>
          <w:lang w:val="en-GB"/>
        </w:rPr>
        <w:fldChar w:fldCharType="begin" w:fldLock="1"/>
      </w:r>
      <w:r w:rsidR="004F4010">
        <w:rPr>
          <w:bCs/>
          <w:lang w:val="en-GB"/>
        </w:rPr>
        <w:instrText>ADDIN CSL_CITATION { "citationItems" : [ { "id" : "ITEM-1", "itemData" : { "author" : [ { "dropping-particle" : "", "family" : "Ministry of Planning and National Development", "given" : "", "non-dropping-particle" : "", "parse-names" : false, "suffix" : "" } ], "id" : "ITEM-1", "issue" : "November", "issued" : { "date-parts" : [ [ "2007" ] ] }, "page" : "1-14", "publisher" : "The National Economic and Social Council of Kenya (NESC) Office of the President, Ministry of Planning and National Development", "publisher-place" : "Nairobi", "title" : "Kenya Vision 2030", "type" : "article" }, "uris" : [ "http://www.mendeley.com/documents/?uuid=734a6d71-0b7c-4e3b-9b3d-b3c8902ceedc" ] } ], "mendeley" : { "previouslyFormattedCitation" : "(Ministry of Planning and National Development, 2007)" }, "properties" : { "noteIndex" : 0 }, "schema" : "https://github.com/citation-style-language/schema/raw/master/csl-citation.json" }</w:instrText>
      </w:r>
      <w:r w:rsidR="001B3B9E" w:rsidRPr="009A6F69">
        <w:rPr>
          <w:bCs/>
          <w:lang w:val="en-GB"/>
        </w:rPr>
        <w:fldChar w:fldCharType="separate"/>
      </w:r>
      <w:r w:rsidR="007F30B8" w:rsidRPr="009A6F69">
        <w:rPr>
          <w:bCs/>
          <w:noProof/>
          <w:lang w:val="en-GB"/>
        </w:rPr>
        <w:t>(Ministry of Planning and National Development, 2007)</w:t>
      </w:r>
      <w:r w:rsidR="001B3B9E" w:rsidRPr="009A6F69">
        <w:rPr>
          <w:bCs/>
          <w:lang w:val="en-GB"/>
        </w:rPr>
        <w:fldChar w:fldCharType="end"/>
      </w:r>
      <w:r w:rsidR="007F30B8" w:rsidRPr="009A6F69">
        <w:rPr>
          <w:bCs/>
          <w:lang w:val="en-GB"/>
        </w:rPr>
        <w:t>.</w:t>
      </w:r>
    </w:p>
    <w:p w:rsidR="006373FB" w:rsidRDefault="001B3B9E" w:rsidP="000850B7">
      <w:pPr>
        <w:rPr>
          <w:bCs/>
          <w:lang w:val="en-GB"/>
        </w:rPr>
      </w:pPr>
      <w:r>
        <w:rPr>
          <w:bCs/>
          <w:noProof/>
        </w:rPr>
        <w:pict>
          <v:shape id="Text Box 4" o:spid="_x0000_s1034" type="#_x0000_t202" style="position:absolute;margin-left:180pt;margin-top:10.65pt;width:243pt;height:342pt;z-index:25166028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" fillcolor="#f2f2f2 [3052]" strokecolor="#4f81bd [3204]" strokeweight="2pt">
            <v:textbox>
              <w:txbxContent>
                <w:p w:rsidR="000221CD" w:rsidRPr="00772DBB" w:rsidRDefault="000221CD" w:rsidP="0078119C">
                  <w:pPr>
                    <w:spacing w:line="240" w:lineRule="auto"/>
                    <w:jc w:val="center"/>
                    <w:rPr>
                      <w:b/>
                      <w:sz w:val="20"/>
                      <w:szCs w:val="20"/>
                      <w:lang w:val="en-GB"/>
                    </w:rPr>
                  </w:pPr>
                  <w:r w:rsidRPr="00772DBB">
                    <w:rPr>
                      <w:b/>
                      <w:sz w:val="20"/>
                      <w:szCs w:val="20"/>
                      <w:lang w:val="en-GB"/>
                    </w:rPr>
                    <w:t>Free Maternity Services</w:t>
                  </w:r>
                </w:p>
                <w:p w:rsidR="000221CD" w:rsidRPr="00772DBB" w:rsidRDefault="000221CD" w:rsidP="00CB6009">
                  <w:pPr>
                    <w:spacing w:line="240" w:lineRule="auto"/>
                    <w:rPr>
                      <w:sz w:val="20"/>
                      <w:szCs w:val="20"/>
                      <w:lang w:val="en-GB"/>
                    </w:rPr>
                  </w:pPr>
                  <w:r w:rsidRPr="00772DBB">
                    <w:rPr>
                      <w:sz w:val="20"/>
                      <w:szCs w:val="20"/>
                      <w:lang w:val="en-GB"/>
                    </w:rPr>
                    <w:t>The policy on health fees stems from the campaign platform of President Kenyatta’s Jubilee Alliance, whose manifesto pledged to abolish user charges at public health centres and dispensaries and provide free maternal deliveries to promote greater health equity in the form of access to care</w:t>
                  </w:r>
                </w:p>
                <w:p w:rsidR="000221CD" w:rsidRPr="00772DBB" w:rsidRDefault="000221CD" w:rsidP="00CB6009">
                  <w:pPr>
                    <w:spacing w:line="240" w:lineRule="auto"/>
                    <w:rPr>
                      <w:sz w:val="20"/>
                      <w:szCs w:val="20"/>
                      <w:lang w:val="en-GB"/>
                    </w:rPr>
                  </w:pPr>
                  <w:r w:rsidRPr="00772DBB">
                    <w:rPr>
                      <w:sz w:val="20"/>
                      <w:szCs w:val="20"/>
                      <w:lang w:val="en-GB"/>
                    </w:rPr>
                    <w:t xml:space="preserve">With the new policy, health facilities will be reimbursed by the government for every delivery that they handle. </w:t>
                  </w:r>
                  <w:proofErr w:type="gramStart"/>
                  <w:r w:rsidRPr="00772DBB">
                    <w:rPr>
                      <w:sz w:val="20"/>
                      <w:szCs w:val="20"/>
                      <w:lang w:val="en-GB"/>
                    </w:rPr>
                    <w:t xml:space="preserve">At the rate of </w:t>
                  </w:r>
                  <w:proofErr w:type="spellStart"/>
                  <w:r w:rsidRPr="00772DBB">
                    <w:rPr>
                      <w:sz w:val="20"/>
                      <w:szCs w:val="20"/>
                      <w:lang w:val="en-GB"/>
                    </w:rPr>
                    <w:t>Ksh</w:t>
                  </w:r>
                  <w:proofErr w:type="spellEnd"/>
                  <w:r w:rsidRPr="00772DBB">
                    <w:rPr>
                      <w:sz w:val="20"/>
                      <w:szCs w:val="20"/>
                      <w:lang w:val="en-GB"/>
                    </w:rPr>
                    <w:t>.</w:t>
                  </w:r>
                  <w:r>
                    <w:rPr>
                      <w:sz w:val="20"/>
                      <w:szCs w:val="20"/>
                      <w:lang w:val="en-GB"/>
                    </w:rPr>
                    <w:t xml:space="preserve"> </w:t>
                  </w:r>
                  <w:r w:rsidRPr="00772DBB">
                    <w:rPr>
                      <w:sz w:val="20"/>
                      <w:szCs w:val="20"/>
                      <w:lang w:val="en-GB"/>
                    </w:rPr>
                    <w:t xml:space="preserve">2,500 per birth at health centres and dispensaries, and </w:t>
                  </w:r>
                  <w:proofErr w:type="spellStart"/>
                  <w:r w:rsidRPr="00772DBB">
                    <w:rPr>
                      <w:sz w:val="20"/>
                      <w:szCs w:val="20"/>
                      <w:lang w:val="en-GB"/>
                    </w:rPr>
                    <w:t>Ksh</w:t>
                  </w:r>
                  <w:proofErr w:type="spellEnd"/>
                  <w:r w:rsidRPr="00772DBB">
                    <w:rPr>
                      <w:sz w:val="20"/>
                      <w:szCs w:val="20"/>
                      <w:lang w:val="en-GB"/>
                    </w:rPr>
                    <w:t xml:space="preserve"> 5000 for every birth at public hospitals.</w:t>
                  </w:r>
                  <w:proofErr w:type="gramEnd"/>
                  <w:r w:rsidRPr="00772DBB">
                    <w:rPr>
                      <w:sz w:val="20"/>
                      <w:szCs w:val="20"/>
                      <w:lang w:val="en-GB"/>
                    </w:rPr>
                    <w:t xml:space="preserve"> This covers both normal deliveries, deliveries through caesarean, and complicated deliveries. These funds are paid directly to the facilities. In addition, no fees will be charged for antenatal and post-natal care up to six weeks after delivery, or for referrals made in the case of complications related to pregnancies. A total of </w:t>
                  </w:r>
                  <w:proofErr w:type="spellStart"/>
                  <w:r w:rsidRPr="00772DBB">
                    <w:rPr>
                      <w:sz w:val="20"/>
                      <w:szCs w:val="20"/>
                      <w:lang w:val="en-GB"/>
                    </w:rPr>
                    <w:t>Kshs</w:t>
                  </w:r>
                  <w:proofErr w:type="spellEnd"/>
                  <w:r w:rsidRPr="00772DBB">
                    <w:rPr>
                      <w:sz w:val="20"/>
                      <w:szCs w:val="20"/>
                      <w:lang w:val="en-GB"/>
                    </w:rPr>
                    <w:t>.</w:t>
                  </w:r>
                  <w:r>
                    <w:rPr>
                      <w:sz w:val="20"/>
                      <w:szCs w:val="20"/>
                      <w:lang w:val="en-GB"/>
                    </w:rPr>
                    <w:t xml:space="preserve"> </w:t>
                  </w:r>
                  <w:r w:rsidRPr="00772DBB">
                    <w:rPr>
                      <w:sz w:val="20"/>
                      <w:szCs w:val="20"/>
                      <w:lang w:val="en-GB"/>
                    </w:rPr>
                    <w:t>3.8 billion has been allocated for the 2013-2014 fiscal year to compensate public health facilities for revenue lost due to the change,</w:t>
                  </w:r>
                  <w:r w:rsidR="001B3B9E" w:rsidRPr="00772DBB">
                    <w:rPr>
                      <w:sz w:val="20"/>
                      <w:szCs w:val="20"/>
                      <w:lang w:val="en-GB"/>
                    </w:rPr>
                    <w:fldChar w:fldCharType="begin" w:fldLock="1"/>
                  </w:r>
                  <w:r>
                    <w:rPr>
                      <w:sz w:val="20"/>
                      <w:szCs w:val="20"/>
                      <w:lang w:val="en-GB"/>
                    </w:rPr>
                    <w:instrText>ADDIN CSL_CITATION { "citationItems" : [ { "id" : "ITEM-1", "itemData" : { "author" : [ { "dropping-particle" : "", "family" : "Health Policy Project", "given" : "", "non-dropping-particle" : "", "parse-names" : false, "suffix" : "" } ], "id" : "ITEM-1", "issued" : { "date-parts" : [ [ "2013" ] ] }, "page" : "1", "publisher-place" : "Nairobi", "title" : "Maternal &amp; Newborn Health Care in Kenya", "type" : "article" }, "uris" : [ "http://www.mendeley.com/documents/?uuid=67d700d1-922b-4929-a4fb-b4dcbbe027ea" ] } ], "mendeley" : { "previouslyFormattedCitation" : "(Health Policy Project, 2013)" }, "properties" : { "noteIndex" : 0 }, "schema" : "https://github.com/citation-style-language/schema/raw/master/csl-citation.json" }</w:instrText>
                  </w:r>
                  <w:r w:rsidR="001B3B9E" w:rsidRPr="00772DBB">
                    <w:rPr>
                      <w:sz w:val="20"/>
                      <w:szCs w:val="20"/>
                      <w:lang w:val="en-GB"/>
                    </w:rPr>
                    <w:fldChar w:fldCharType="separate"/>
                  </w:r>
                  <w:r w:rsidRPr="00772DBB">
                    <w:rPr>
                      <w:noProof/>
                      <w:sz w:val="20"/>
                      <w:szCs w:val="20"/>
                      <w:lang w:val="en-GB"/>
                    </w:rPr>
                    <w:t>(Health Policy Project, 2013)</w:t>
                  </w:r>
                  <w:r w:rsidR="001B3B9E" w:rsidRPr="00772DBB">
                    <w:rPr>
                      <w:sz w:val="20"/>
                      <w:szCs w:val="20"/>
                      <w:lang w:val="en-GB"/>
                    </w:rPr>
                    <w:fldChar w:fldCharType="end"/>
                  </w:r>
                  <w:r w:rsidRPr="00772DBB">
                    <w:rPr>
                      <w:sz w:val="20"/>
                      <w:szCs w:val="20"/>
                      <w:lang w:val="en-GB"/>
                    </w:rPr>
                    <w:t>. For the program to succeed it is recommended that all public health facilities have the basic delivery room infrastructure and equipment needed, including sufficient number of beds and human resources are increased significantly,</w:t>
                  </w:r>
                  <w:r w:rsidR="001B3B9E" w:rsidRPr="00772DBB">
                    <w:rPr>
                      <w:sz w:val="20"/>
                      <w:szCs w:val="20"/>
                      <w:lang w:val="en-GB"/>
                    </w:rPr>
                    <w:fldChar w:fldCharType="begin" w:fldLock="1"/>
                  </w:r>
                  <w:r>
                    <w:rPr>
                      <w:sz w:val="20"/>
                      <w:szCs w:val="20"/>
                      <w:lang w:val="en-GB"/>
                    </w:rPr>
                    <w:instrText>ADDIN CSL_CITATION { "citationItems" : [ { "id" : "ITEM-1", "itemData" : { "author" : [ { "dropping-particle" : "", "family" : "Bourbonnais", "given" : "By Nicole", "non-dropping-particle" : "", "parse-names" : false, "suffix" : "" } ], "id" : "ITEM-1", "issue" : "November", "issued" : { "date-parts" : [ [ "2013" ] ] }, "title" : "Implementing Free Maternal Health Care in Kenya", "type" : "article" }, "uris" : [ "http://www.mendeley.com/documents/?uuid=ab47b239-89b8-43a8-8178-ccd029e49582" ] } ], "mendeley" : { "previouslyFormattedCitation" : "(Bourbonnais, 2013)" }, "properties" : { "noteIndex" : 0 }, "schema" : "https://github.com/citation-style-language/schema/raw/master/csl-citation.json" }</w:instrText>
                  </w:r>
                  <w:r w:rsidR="001B3B9E" w:rsidRPr="00772DBB">
                    <w:rPr>
                      <w:sz w:val="20"/>
                      <w:szCs w:val="20"/>
                      <w:lang w:val="en-GB"/>
                    </w:rPr>
                    <w:fldChar w:fldCharType="separate"/>
                  </w:r>
                  <w:r w:rsidRPr="00772DBB">
                    <w:rPr>
                      <w:noProof/>
                      <w:sz w:val="20"/>
                      <w:szCs w:val="20"/>
                      <w:lang w:val="en-GB"/>
                    </w:rPr>
                    <w:t>(Bourbonnais, 2013)</w:t>
                  </w:r>
                  <w:r w:rsidR="001B3B9E" w:rsidRPr="00772DBB">
                    <w:rPr>
                      <w:sz w:val="20"/>
                      <w:szCs w:val="20"/>
                      <w:lang w:val="en-GB"/>
                    </w:rPr>
                    <w:fldChar w:fldCharType="end"/>
                  </w:r>
                  <w:r w:rsidRPr="00772DBB">
                    <w:rPr>
                      <w:sz w:val="20"/>
                      <w:szCs w:val="20"/>
                      <w:lang w:val="en-GB"/>
                    </w:rPr>
                    <w:t xml:space="preserve">. </w:t>
                  </w:r>
                </w:p>
                <w:p w:rsidR="000221CD" w:rsidRPr="00772DBB" w:rsidRDefault="000221CD" w:rsidP="00CB6009">
                  <w:pPr>
                    <w:spacing w:line="240" w:lineRule="auto"/>
                    <w:rPr>
                      <w:sz w:val="20"/>
                      <w:szCs w:val="20"/>
                      <w:lang w:val="en-GB"/>
                    </w:rPr>
                  </w:pPr>
                </w:p>
              </w:txbxContent>
            </v:textbox>
            <w10:wrap type="square"/>
          </v:shape>
        </w:pict>
      </w:r>
      <w:r w:rsidR="008F2018" w:rsidRPr="009A6F69">
        <w:rPr>
          <w:bCs/>
          <w:lang w:val="en-GB"/>
        </w:rPr>
        <w:t>The core tasks of a health financing system are raising sufficient funds; pooling these funds to spread financial risks; and spending wisely,</w:t>
      </w:r>
      <w:r w:rsidRPr="009A6F69">
        <w:rPr>
          <w:bCs/>
          <w:lang w:val="en-GB"/>
        </w:rPr>
        <w:fldChar w:fldCharType="begin" w:fldLock="1"/>
      </w:r>
      <w:r w:rsidR="004F4010">
        <w:rPr>
          <w:bCs/>
          <w:lang w:val="en-GB"/>
        </w:rPr>
        <w:instrText>ADDIN CSL_CITATION { "citationItems" : [ { "id" : "ITEM-1", "itemData" : { "DOI" : "10.2471/BLT.07.049387", "author" : [ { "dropping-particle" : "", "family" : "Evans", "given" : "David B", "non-dropping-particle" : "", "parse-names" : false, "suffix" : "" }, { "dropping-particle" : "", "family" : "Etienne", "given" : "Carissa", "non-dropping-particle" : "", "parse-names" : false, "suffix" : "" } ], "container-title" : "World Health Bullitin", "id" : "ITEM-1", "issued" : { "date-parts" : [ [ "2010" ] ] }, "page" : "892-893", "title" : "Health systems financing and the path to universal coverage", "type" : "article-journal", "volume" : "87" }, "uris" : [ "http://www.mendeley.com/documents/?uuid=ecb80dce-f0a6-4b69-bed1-20aa03df0049" ] } ], "mendeley" : { "previouslyFormattedCitation" : "(Evans &amp; Etienne, 2010)" }, "properties" : { "noteIndex" : 0 }, "schema" : "https://github.com/citation-style-language/schema/raw/master/csl-citation.json" }</w:instrText>
      </w:r>
      <w:r w:rsidRPr="009A6F69">
        <w:rPr>
          <w:bCs/>
          <w:lang w:val="en-GB"/>
        </w:rPr>
        <w:fldChar w:fldCharType="separate"/>
      </w:r>
      <w:r w:rsidR="008F2018" w:rsidRPr="009A6F69">
        <w:rPr>
          <w:bCs/>
          <w:noProof/>
          <w:lang w:val="en-GB"/>
        </w:rPr>
        <w:t>(Evans &amp; Etienne, 2010)</w:t>
      </w:r>
      <w:r w:rsidRPr="009A6F69">
        <w:rPr>
          <w:bCs/>
          <w:lang w:val="en-GB"/>
        </w:rPr>
        <w:fldChar w:fldCharType="end"/>
      </w:r>
      <w:r w:rsidR="008F2018" w:rsidRPr="009A6F69">
        <w:rPr>
          <w:bCs/>
          <w:lang w:val="en-GB"/>
        </w:rPr>
        <w:t xml:space="preserve">. </w:t>
      </w:r>
      <w:r w:rsidR="00B576E2" w:rsidRPr="009A6F69">
        <w:rPr>
          <w:bCs/>
          <w:lang w:val="en-GB"/>
        </w:rPr>
        <w:t xml:space="preserve">Crucial issues are the equity implications of different financing mechanisms, and </w:t>
      </w:r>
      <w:r w:rsidR="0000656A" w:rsidRPr="009A6F69">
        <w:rPr>
          <w:bCs/>
          <w:lang w:val="en-GB"/>
        </w:rPr>
        <w:t xml:space="preserve">how they affect </w:t>
      </w:r>
      <w:r w:rsidR="00B576E2" w:rsidRPr="009A6F69">
        <w:rPr>
          <w:bCs/>
          <w:lang w:val="en-GB"/>
        </w:rPr>
        <w:t>patterns of service use</w:t>
      </w:r>
      <w:r w:rsidR="008B423B" w:rsidRPr="009A6F69">
        <w:rPr>
          <w:bCs/>
          <w:lang w:val="en-GB"/>
        </w:rPr>
        <w:t>. Physical and financial barriers to service access must be addressed if universal coverage is to become a reality</w:t>
      </w:r>
      <w:r w:rsidRPr="009A6F69">
        <w:rPr>
          <w:bCs/>
          <w:lang w:val="en-GB"/>
        </w:rPr>
        <w:fldChar w:fldCharType="begin" w:fldLock="1"/>
      </w:r>
      <w:r w:rsidR="004F4010">
        <w:rPr>
          <w:bCs/>
          <w:lang w:val="en-GB"/>
        </w:rPr>
        <w:instrText>ADDIN CSL_CITATION { "citationItems" : [ { "id" : "ITEM-1", "itemData" : { "DOI" : "10.1016/S0140-6736(12)60357-2", "author" : [ { "dropping-particle" : "", "family" : "Mills", "given" : "Anne", "non-dropping-particle" : "", "parse-names" : false, "suffix" : "" }, { "dropping-particle" : "", "family" : "Ataguba", "given" : "John E", "non-dropping-particle" : "", "parse-names" : false, "suffix" : "" }, { "dropping-particle" : "", "family" : "Akazili", "given" : "James", "non-dropping-particle" : "", "parse-names" : false, "suffix" : "" }, { "dropping-particle" : "", "family" : "Borghi", "given" : "Jo", "non-dropping-particle" : "", "parse-names" : false, "suffix" : "" }, { "dropping-particle" : "", "family" : "Garshong", "given" : "Bertha", "non-dropping-particle" : "", "parse-names" : false, "suffix" : "" }, { "dropping-particle" : "", "family" : "Makawia", "given" : "Suzan", "non-dropping-particle" : "", "parse-names" : false, "suffix" : "" }, { "dropping-particle" : "", "family" : "Mtei", "given" : "Gemini", "non-dropping-particle" : "", "parse-names" : false, "suffix" : "" }, { "dropping-particle" : "", "family" : "Harris", "given" : "Bronwyn", "non-dropping-particle" : "", "parse-names" : false, "suffix" : "" }, { "dropping-particle" : "", "family" : "Macha", "given" : "Jane", "non-dropping-particle" : "", "parse-names" : false, "suffix" : "" }, { "dropping-particle" : "", "family" : "Meheus", "given" : "Filip", "non-dropping-particle" : "", "parse-names" : false, "suffix" : "" }, { "dropping-particle" : "", "family" : "Mcintyre", "given" : "Di", "non-dropping-particle" : "", "parse-names" : false, "suffix" : "" } ], "container-title" : "The Lancet", "id" : "ITEM-1", "issue" : "12", "issued" : { "date-parts" : [ [ "2012" ] ] }, "page" : "1-8", "title" : "Equity in financing and use of health care in Ghana, South Africa, and Tanzania : implications for paths to universal coverage", "type" : "article-journal", "volume" : "6736" }, "uris" : [ "http://www.mendeley.com/documents/?uuid=51e1bf87-aa3e-4ed8-a3c5-a911132e7dd9" ] } ], "mendeley" : { "previouslyFormattedCitation" : "(Mills et al., 2012)" }, "properties" : { "noteIndex" : 0 }, "schema" : "https://github.com/citation-style-language/schema/raw/master/csl-citation.json" }</w:instrText>
      </w:r>
      <w:r w:rsidRPr="009A6F69">
        <w:rPr>
          <w:bCs/>
          <w:lang w:val="en-GB"/>
        </w:rPr>
        <w:fldChar w:fldCharType="separate"/>
      </w:r>
      <w:r w:rsidR="00C60495" w:rsidRPr="009A6F69">
        <w:rPr>
          <w:bCs/>
          <w:noProof/>
          <w:lang w:val="en-GB"/>
        </w:rPr>
        <w:t>(Mills et al., 2012)</w:t>
      </w:r>
      <w:r w:rsidRPr="009A6F69">
        <w:rPr>
          <w:bCs/>
          <w:lang w:val="en-GB"/>
        </w:rPr>
        <w:fldChar w:fldCharType="end"/>
      </w:r>
      <w:r w:rsidR="008B423B" w:rsidRPr="009A6F69">
        <w:rPr>
          <w:bCs/>
          <w:lang w:val="en-GB"/>
        </w:rPr>
        <w:t>.</w:t>
      </w:r>
      <w:r w:rsidR="00296B30" w:rsidRPr="009A6F69">
        <w:rPr>
          <w:bCs/>
          <w:lang w:val="en-GB"/>
        </w:rPr>
        <w:t xml:space="preserve"> An indicator of access to healthcare is antenatal care (ANC). </w:t>
      </w:r>
    </w:p>
    <w:p w:rsidR="001476B0" w:rsidRPr="009A6F69" w:rsidRDefault="00296B30" w:rsidP="000850B7">
      <w:pPr>
        <w:rPr>
          <w:bCs/>
          <w:lang w:val="en-GB"/>
        </w:rPr>
      </w:pPr>
      <w:r w:rsidRPr="009A6F69">
        <w:rPr>
          <w:bCs/>
          <w:lang w:val="en-GB"/>
        </w:rPr>
        <w:lastRenderedPageBreak/>
        <w:t xml:space="preserve">Approximately 92 </w:t>
      </w:r>
      <w:r w:rsidR="00AF29E5" w:rsidRPr="009A6F69">
        <w:rPr>
          <w:bCs/>
          <w:lang w:val="en-GB"/>
        </w:rPr>
        <w:t>%</w:t>
      </w:r>
      <w:r w:rsidRPr="009A6F69">
        <w:rPr>
          <w:bCs/>
          <w:lang w:val="en-GB"/>
        </w:rPr>
        <w:t xml:space="preserve"> of women in Kenya receive antenatal care from a medical professional,</w:t>
      </w:r>
      <w:r w:rsidR="00946DC9" w:rsidRPr="009A6F69">
        <w:rPr>
          <w:bCs/>
          <w:lang w:val="en-GB"/>
        </w:rPr>
        <w:t xml:space="preserve"> either from doctors (29 %</w:t>
      </w:r>
      <w:r w:rsidRPr="009A6F69">
        <w:rPr>
          <w:bCs/>
          <w:lang w:val="en-GB"/>
        </w:rPr>
        <w:t>), or</w:t>
      </w:r>
      <w:r w:rsidR="00946DC9" w:rsidRPr="009A6F69">
        <w:rPr>
          <w:bCs/>
          <w:lang w:val="en-GB"/>
        </w:rPr>
        <w:t xml:space="preserve"> nurses and midwives (63 %</w:t>
      </w:r>
      <w:r w:rsidRPr="009A6F69">
        <w:rPr>
          <w:bCs/>
          <w:lang w:val="en-GB"/>
        </w:rPr>
        <w:t xml:space="preserve">). </w:t>
      </w:r>
      <w:proofErr w:type="gramStart"/>
      <w:r w:rsidRPr="009A6F69">
        <w:rPr>
          <w:bCs/>
          <w:lang w:val="en-GB"/>
        </w:rPr>
        <w:t xml:space="preserve">However </w:t>
      </w:r>
      <w:r w:rsidR="000E785F" w:rsidRPr="009A6F69">
        <w:rPr>
          <w:bCs/>
          <w:lang w:val="en-GB"/>
        </w:rPr>
        <w:t>only 43% of births are attended by a skilled health provider.</w:t>
      </w:r>
      <w:proofErr w:type="gramEnd"/>
      <w:r w:rsidR="000E785F" w:rsidRPr="009A6F69">
        <w:rPr>
          <w:bCs/>
          <w:lang w:val="en-GB"/>
        </w:rPr>
        <w:t xml:space="preserve"> </w:t>
      </w:r>
      <w:r w:rsidR="00946DC9" w:rsidRPr="009A6F69">
        <w:rPr>
          <w:bCs/>
          <w:lang w:val="en-GB"/>
        </w:rPr>
        <w:t>These averages mask consider</w:t>
      </w:r>
      <w:r w:rsidR="005B1ADE" w:rsidRPr="009A6F69">
        <w:rPr>
          <w:bCs/>
          <w:lang w:val="en-GB"/>
        </w:rPr>
        <w:t xml:space="preserve">able differences geographically with births in Nairobi province three times more likely have a skilled health provider compared to western province. </w:t>
      </w:r>
      <w:r w:rsidR="00340346" w:rsidRPr="009A6F69">
        <w:rPr>
          <w:bCs/>
          <w:lang w:val="en-GB"/>
        </w:rPr>
        <w:t>Further</w:t>
      </w:r>
      <w:r w:rsidR="00927A6A" w:rsidRPr="009A6F69">
        <w:rPr>
          <w:bCs/>
          <w:lang w:val="en-GB"/>
        </w:rPr>
        <w:t>,</w:t>
      </w:r>
      <w:r w:rsidR="00340346" w:rsidRPr="009A6F69">
        <w:rPr>
          <w:bCs/>
          <w:lang w:val="en-GB"/>
        </w:rPr>
        <w:t xml:space="preserve"> the private sector delivered 10.3% of births about a quarter of health facility births</w:t>
      </w:r>
      <w:r w:rsidR="0026794E" w:rsidRPr="009A6F69">
        <w:rPr>
          <w:bCs/>
          <w:lang w:val="en-GB"/>
        </w:rPr>
        <w:t>,</w:t>
      </w:r>
      <w:r w:rsidR="00927A6A" w:rsidRPr="009A6F69">
        <w:rPr>
          <w:bCs/>
          <w:lang w:val="en-GB"/>
        </w:rPr>
        <w:t xml:space="preserve"> but reached only 2% of the lowest quintile by income,</w:t>
      </w:r>
      <w:r w:rsidR="001B3B9E" w:rsidRPr="009A6F69">
        <w:rPr>
          <w:bCs/>
          <w:lang w:val="en-GB"/>
        </w:rPr>
        <w:fldChar w:fldCharType="begin" w:fldLock="1"/>
      </w:r>
      <w:r w:rsidR="004F4010">
        <w:rPr>
          <w:bCs/>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001B3B9E" w:rsidRPr="009A6F69">
        <w:rPr>
          <w:bCs/>
          <w:lang w:val="en-GB"/>
        </w:rPr>
        <w:fldChar w:fldCharType="separate"/>
      </w:r>
      <w:r w:rsidR="0026794E" w:rsidRPr="009A6F69">
        <w:rPr>
          <w:bCs/>
          <w:noProof/>
          <w:lang w:val="en-GB"/>
        </w:rPr>
        <w:t>(Kenya National Bureau of Statistics and ICF Macro, 2010)</w:t>
      </w:r>
      <w:r w:rsidR="001B3B9E" w:rsidRPr="009A6F69">
        <w:rPr>
          <w:bCs/>
          <w:lang w:val="en-GB"/>
        </w:rPr>
        <w:fldChar w:fldCharType="end"/>
      </w:r>
      <w:r w:rsidR="00340346" w:rsidRPr="009A6F69">
        <w:rPr>
          <w:bCs/>
          <w:lang w:val="en-GB"/>
        </w:rPr>
        <w:t>.</w:t>
      </w:r>
      <w:r w:rsidR="00E34253">
        <w:rPr>
          <w:bCs/>
          <w:lang w:val="en-GB"/>
        </w:rPr>
        <w:t xml:space="preserve"> Most patients cannot afford private care unless they belong to a health scheme. 70-80% of patients at </w:t>
      </w:r>
      <w:r w:rsidR="008D25CC">
        <w:rPr>
          <w:bCs/>
          <w:lang w:val="en-GB"/>
        </w:rPr>
        <w:t>high-end</w:t>
      </w:r>
      <w:r w:rsidR="00E34253">
        <w:rPr>
          <w:bCs/>
          <w:lang w:val="en-GB"/>
        </w:rPr>
        <w:t xml:space="preserve"> hospitals are scheme patients</w:t>
      </w:r>
      <w:r w:rsidR="00054C8A">
        <w:rPr>
          <w:bCs/>
          <w:lang w:val="en-GB"/>
        </w:rPr>
        <w:t>. There is ‘flight to quality’ where pooling occurs</w:t>
      </w:r>
      <w:proofErr w:type="gramStart"/>
      <w:r w:rsidR="00054C8A">
        <w:rPr>
          <w:bCs/>
          <w:lang w:val="en-GB"/>
        </w:rPr>
        <w:t xml:space="preserve">, </w:t>
      </w:r>
      <w:r w:rsidR="00E34253">
        <w:rPr>
          <w:bCs/>
          <w:lang w:val="en-GB"/>
        </w:rPr>
        <w:t xml:space="preserve"> (</w:t>
      </w:r>
      <w:proofErr w:type="gramEnd"/>
      <w:r w:rsidR="00E34253">
        <w:rPr>
          <w:bCs/>
          <w:lang w:val="en-GB"/>
        </w:rPr>
        <w:t xml:space="preserve">KII2). </w:t>
      </w:r>
      <w:r w:rsidR="005D0A80" w:rsidRPr="009A6F69">
        <w:rPr>
          <w:bCs/>
          <w:lang w:val="en-GB"/>
        </w:rPr>
        <w:t>Quality of care as indicated by proportion of newborns that receive newborn interventions in health facilities indicate possible reasons for poor health status</w:t>
      </w:r>
      <w:r w:rsidR="001A16D3" w:rsidRPr="009A6F69">
        <w:rPr>
          <w:bCs/>
          <w:lang w:val="en-GB"/>
        </w:rPr>
        <w:t xml:space="preserve"> (</w:t>
      </w:r>
      <w:r w:rsidR="001B3B9E" w:rsidRPr="009A6F69">
        <w:rPr>
          <w:bCs/>
          <w:lang w:val="en-GB"/>
        </w:rPr>
        <w:fldChar w:fldCharType="begin"/>
      </w:r>
      <w:r w:rsidR="001A16D3" w:rsidRPr="009A6F69">
        <w:rPr>
          <w:bCs/>
          <w:lang w:val="en-GB"/>
        </w:rPr>
        <w:instrText xml:space="preserve"> REF _Ref242532922 \h </w:instrText>
      </w:r>
      <w:r w:rsidR="001B3B9E" w:rsidRPr="009A6F69">
        <w:rPr>
          <w:bCs/>
          <w:lang w:val="en-GB"/>
        </w:rPr>
      </w:r>
      <w:r w:rsidR="001B3B9E" w:rsidRPr="009A6F69">
        <w:rPr>
          <w:bCs/>
          <w:lang w:val="en-GB"/>
        </w:rPr>
        <w:fldChar w:fldCharType="separate"/>
      </w:r>
      <w:r w:rsidR="008A34D7" w:rsidRPr="009A6F69">
        <w:t xml:space="preserve">Table </w:t>
      </w:r>
      <w:r w:rsidR="008A34D7">
        <w:rPr>
          <w:noProof/>
        </w:rPr>
        <w:t>6</w:t>
      </w:r>
      <w:r w:rsidR="001B3B9E" w:rsidRPr="009A6F69">
        <w:rPr>
          <w:bCs/>
          <w:lang w:val="en-GB"/>
        </w:rPr>
        <w:fldChar w:fldCharType="end"/>
      </w:r>
      <w:r w:rsidR="001A16D3" w:rsidRPr="009A6F69">
        <w:rPr>
          <w:bCs/>
          <w:lang w:val="en-GB"/>
        </w:rPr>
        <w:t>)</w:t>
      </w:r>
      <w:r w:rsidR="005D0A80" w:rsidRPr="009A6F69">
        <w:rPr>
          <w:bCs/>
          <w:lang w:val="en-GB"/>
        </w:rPr>
        <w:t xml:space="preserve">. </w:t>
      </w:r>
      <w:r w:rsidR="006133C8" w:rsidRPr="009A6F69">
        <w:rPr>
          <w:bCs/>
          <w:lang w:val="en-GB"/>
        </w:rPr>
        <w:t>There is inequity not only in the overall health status indicator (mortality) but in heal</w:t>
      </w:r>
      <w:r w:rsidR="00983EB8" w:rsidRPr="009A6F69">
        <w:rPr>
          <w:bCs/>
          <w:lang w:val="en-GB"/>
        </w:rPr>
        <w:t xml:space="preserve">th service delivery indicators as well. </w:t>
      </w:r>
    </w:p>
    <w:p w:rsidR="00223CDF" w:rsidRPr="009A6F69" w:rsidRDefault="00223CDF" w:rsidP="00812BE6">
      <w:pPr>
        <w:pStyle w:val="Caption"/>
        <w:spacing w:after="0"/>
      </w:pPr>
      <w:bookmarkStart w:id="22" w:name="_Ref242532922"/>
      <w:r w:rsidRPr="009A6F69">
        <w:t xml:space="preserve">Table </w:t>
      </w:r>
      <w:r w:rsidR="001B3B9E" w:rsidRPr="009A6F69">
        <w:fldChar w:fldCharType="begin"/>
      </w:r>
      <w:r w:rsidR="009B2FBE" w:rsidRPr="009A6F69">
        <w:instrText xml:space="preserve"> SEQ Table \* ARABIC </w:instrText>
      </w:r>
      <w:r w:rsidR="001B3B9E" w:rsidRPr="009A6F69">
        <w:fldChar w:fldCharType="separate"/>
      </w:r>
      <w:r w:rsidR="00564A16">
        <w:rPr>
          <w:noProof/>
        </w:rPr>
        <w:t>6</w:t>
      </w:r>
      <w:r w:rsidR="001B3B9E" w:rsidRPr="009A6F69">
        <w:fldChar w:fldCharType="end"/>
      </w:r>
      <w:bookmarkEnd w:id="22"/>
      <w:r w:rsidRPr="009A6F69">
        <w:t>: Select Health Service and health indicators by Province</w:t>
      </w:r>
    </w:p>
    <w:tbl>
      <w:tblPr>
        <w:tblStyle w:val="MediumList1-Accent1"/>
        <w:tblW w:w="5000" w:type="pct"/>
        <w:tblLook w:val="04A0"/>
      </w:tblPr>
      <w:tblGrid>
        <w:gridCol w:w="2214"/>
        <w:gridCol w:w="2214"/>
        <w:gridCol w:w="2214"/>
        <w:gridCol w:w="2214"/>
      </w:tblGrid>
      <w:tr w:rsidR="00874211" w:rsidRPr="009A6F69" w:rsidTr="00182A98">
        <w:trPr>
          <w:cnfStyle w:val="100000000000"/>
        </w:trPr>
        <w:tc>
          <w:tcPr>
            <w:cnfStyle w:val="001000000000"/>
            <w:tcW w:w="1250" w:type="pct"/>
          </w:tcPr>
          <w:p w:rsidR="00874211" w:rsidRPr="009A6F69" w:rsidRDefault="00874211" w:rsidP="00812BE6">
            <w:pPr>
              <w:spacing w:after="0" w:line="240" w:lineRule="auto"/>
              <w:jc w:val="center"/>
              <w:rPr>
                <w:rFonts w:ascii="Times New Roman" w:hAnsi="Times New Roman" w:cs="Times New Roman"/>
                <w:b w:val="0"/>
                <w:bCs w:val="0"/>
                <w:sz w:val="20"/>
                <w:szCs w:val="20"/>
                <w:lang w:val="en-GB"/>
              </w:rPr>
            </w:pPr>
            <w:r w:rsidRPr="009A6F69">
              <w:rPr>
                <w:rFonts w:ascii="Times New Roman" w:hAnsi="Times New Roman" w:cs="Times New Roman"/>
                <w:b w:val="0"/>
                <w:bCs w:val="0"/>
                <w:sz w:val="20"/>
                <w:szCs w:val="20"/>
                <w:lang w:val="en-GB"/>
              </w:rPr>
              <w:t>Province</w:t>
            </w:r>
          </w:p>
        </w:tc>
        <w:tc>
          <w:tcPr>
            <w:tcW w:w="1250" w:type="pct"/>
          </w:tcPr>
          <w:p w:rsidR="00874211" w:rsidRPr="009A6F69" w:rsidRDefault="00874211" w:rsidP="00812BE6">
            <w:pPr>
              <w:spacing w:after="0" w:line="240" w:lineRule="auto"/>
              <w:jc w:val="center"/>
              <w:cnfStyle w:val="100000000000"/>
              <w:rPr>
                <w:rFonts w:ascii="Times New Roman" w:hAnsi="Times New Roman" w:cs="Times New Roman"/>
                <w:b/>
                <w:bCs/>
                <w:sz w:val="20"/>
                <w:szCs w:val="20"/>
                <w:lang w:val="en-GB"/>
              </w:rPr>
            </w:pPr>
            <w:r w:rsidRPr="009A6F69">
              <w:rPr>
                <w:rFonts w:ascii="Times New Roman" w:hAnsi="Times New Roman" w:cs="Times New Roman"/>
                <w:b/>
                <w:bCs/>
                <w:sz w:val="20"/>
                <w:szCs w:val="20"/>
                <w:lang w:val="en-GB"/>
              </w:rPr>
              <w:t>% Skilled Delivery</w:t>
            </w:r>
          </w:p>
        </w:tc>
        <w:tc>
          <w:tcPr>
            <w:tcW w:w="1250" w:type="pct"/>
          </w:tcPr>
          <w:p w:rsidR="00874211" w:rsidRPr="009A6F69" w:rsidRDefault="00874211" w:rsidP="00812BE6">
            <w:pPr>
              <w:spacing w:after="0" w:line="240" w:lineRule="auto"/>
              <w:jc w:val="center"/>
              <w:cnfStyle w:val="100000000000"/>
              <w:rPr>
                <w:rFonts w:ascii="Times New Roman" w:hAnsi="Times New Roman" w:cs="Times New Roman"/>
                <w:b/>
                <w:bCs/>
                <w:sz w:val="20"/>
                <w:szCs w:val="20"/>
                <w:lang w:val="en-GB"/>
              </w:rPr>
            </w:pPr>
            <w:r w:rsidRPr="009A6F69">
              <w:rPr>
                <w:rFonts w:ascii="Times New Roman" w:hAnsi="Times New Roman" w:cs="Times New Roman"/>
                <w:b/>
                <w:bCs/>
                <w:sz w:val="20"/>
                <w:szCs w:val="20"/>
                <w:lang w:val="en-GB"/>
              </w:rPr>
              <w:t xml:space="preserve">Health Facility </w:t>
            </w:r>
            <w:r w:rsidR="00424C30" w:rsidRPr="009A6F69">
              <w:rPr>
                <w:rFonts w:ascii="Times New Roman" w:hAnsi="Times New Roman" w:cs="Times New Roman"/>
                <w:b/>
                <w:bCs/>
                <w:sz w:val="20"/>
                <w:szCs w:val="20"/>
                <w:lang w:val="en-GB"/>
              </w:rPr>
              <w:t>p</w:t>
            </w:r>
            <w:r w:rsidRPr="009A6F69">
              <w:rPr>
                <w:rFonts w:ascii="Times New Roman" w:hAnsi="Times New Roman" w:cs="Times New Roman"/>
                <w:b/>
                <w:bCs/>
                <w:sz w:val="20"/>
                <w:szCs w:val="20"/>
                <w:lang w:val="en-GB"/>
              </w:rPr>
              <w:t xml:space="preserve">erformed essential </w:t>
            </w:r>
            <w:r w:rsidR="005D0A80" w:rsidRPr="009A6F69">
              <w:rPr>
                <w:rFonts w:ascii="Times New Roman" w:hAnsi="Times New Roman" w:cs="Times New Roman"/>
                <w:b/>
                <w:bCs/>
                <w:sz w:val="20"/>
                <w:szCs w:val="20"/>
                <w:lang w:val="en-GB"/>
              </w:rPr>
              <w:t xml:space="preserve">elements of </w:t>
            </w:r>
            <w:r w:rsidRPr="009A6F69">
              <w:rPr>
                <w:rFonts w:ascii="Times New Roman" w:hAnsi="Times New Roman" w:cs="Times New Roman"/>
                <w:b/>
                <w:bCs/>
                <w:sz w:val="20"/>
                <w:szCs w:val="20"/>
                <w:lang w:val="en-GB"/>
              </w:rPr>
              <w:t>newborn care</w:t>
            </w:r>
          </w:p>
        </w:tc>
        <w:tc>
          <w:tcPr>
            <w:tcW w:w="1250" w:type="pct"/>
          </w:tcPr>
          <w:p w:rsidR="00874211" w:rsidRPr="009A6F69" w:rsidRDefault="00874211" w:rsidP="00812BE6">
            <w:pPr>
              <w:spacing w:after="0" w:line="240" w:lineRule="auto"/>
              <w:jc w:val="center"/>
              <w:cnfStyle w:val="100000000000"/>
              <w:rPr>
                <w:rFonts w:ascii="Times New Roman" w:hAnsi="Times New Roman" w:cs="Times New Roman"/>
                <w:b/>
                <w:bCs/>
                <w:sz w:val="20"/>
                <w:szCs w:val="20"/>
                <w:lang w:val="en-GB"/>
              </w:rPr>
            </w:pPr>
            <w:r w:rsidRPr="009A6F69">
              <w:rPr>
                <w:rFonts w:ascii="Times New Roman" w:hAnsi="Times New Roman" w:cs="Times New Roman"/>
                <w:b/>
                <w:bCs/>
                <w:sz w:val="20"/>
                <w:szCs w:val="20"/>
                <w:lang w:val="en-GB"/>
              </w:rPr>
              <w:t>Under 5 Mortality Rate</w:t>
            </w:r>
          </w:p>
        </w:tc>
      </w:tr>
      <w:tr w:rsidR="00874211" w:rsidRPr="009A6F69" w:rsidTr="00182A98">
        <w:trPr>
          <w:cnfStyle w:val="000000100000"/>
        </w:trPr>
        <w:tc>
          <w:tcPr>
            <w:cnfStyle w:val="001000000000"/>
            <w:tcW w:w="1250" w:type="pct"/>
          </w:tcPr>
          <w:p w:rsidR="00874211" w:rsidRPr="009A6F69" w:rsidRDefault="00874211" w:rsidP="00182A98">
            <w:pPr>
              <w:spacing w:line="240" w:lineRule="auto"/>
              <w:rPr>
                <w:rFonts w:ascii="Times New Roman" w:hAnsi="Times New Roman" w:cs="Times New Roman"/>
                <w:bCs w:val="0"/>
                <w:sz w:val="20"/>
                <w:szCs w:val="20"/>
                <w:lang w:val="en-GB"/>
              </w:rPr>
            </w:pPr>
            <w:r w:rsidRPr="009A6F69">
              <w:rPr>
                <w:rFonts w:ascii="Times New Roman" w:hAnsi="Times New Roman" w:cs="Times New Roman"/>
                <w:bCs w:val="0"/>
                <w:sz w:val="20"/>
                <w:szCs w:val="20"/>
                <w:lang w:val="en-GB"/>
              </w:rPr>
              <w:t>Nairobi</w:t>
            </w:r>
          </w:p>
        </w:tc>
        <w:tc>
          <w:tcPr>
            <w:tcW w:w="1250" w:type="pct"/>
          </w:tcPr>
          <w:p w:rsidR="00874211" w:rsidRPr="009A6F69" w:rsidRDefault="006620BE"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89</w:t>
            </w:r>
          </w:p>
        </w:tc>
        <w:tc>
          <w:tcPr>
            <w:tcW w:w="1250" w:type="pct"/>
          </w:tcPr>
          <w:p w:rsidR="00874211" w:rsidRPr="009A6F69" w:rsidRDefault="00D1431F"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69</w:t>
            </w:r>
          </w:p>
        </w:tc>
        <w:tc>
          <w:tcPr>
            <w:tcW w:w="1250" w:type="pct"/>
          </w:tcPr>
          <w:p w:rsidR="00874211" w:rsidRPr="009A6F69" w:rsidRDefault="00D1431F"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64</w:t>
            </w:r>
          </w:p>
        </w:tc>
      </w:tr>
      <w:tr w:rsidR="00874211" w:rsidRPr="009A6F69" w:rsidTr="00182A98">
        <w:tc>
          <w:tcPr>
            <w:cnfStyle w:val="001000000000"/>
            <w:tcW w:w="1250" w:type="pct"/>
          </w:tcPr>
          <w:p w:rsidR="00874211" w:rsidRPr="009A6F69" w:rsidRDefault="00874211" w:rsidP="00182A98">
            <w:pPr>
              <w:spacing w:line="240" w:lineRule="auto"/>
              <w:rPr>
                <w:rFonts w:ascii="Times New Roman" w:hAnsi="Times New Roman" w:cs="Times New Roman"/>
                <w:bCs w:val="0"/>
                <w:sz w:val="20"/>
                <w:szCs w:val="20"/>
                <w:lang w:val="en-GB"/>
              </w:rPr>
            </w:pPr>
            <w:r w:rsidRPr="009A6F69">
              <w:rPr>
                <w:rFonts w:ascii="Times New Roman" w:hAnsi="Times New Roman" w:cs="Times New Roman"/>
                <w:bCs w:val="0"/>
                <w:sz w:val="20"/>
                <w:szCs w:val="20"/>
                <w:lang w:val="en-GB"/>
              </w:rPr>
              <w:t xml:space="preserve">Central </w:t>
            </w:r>
          </w:p>
        </w:tc>
        <w:tc>
          <w:tcPr>
            <w:tcW w:w="1250" w:type="pct"/>
          </w:tcPr>
          <w:p w:rsidR="00874211" w:rsidRPr="009A6F69" w:rsidRDefault="006620BE"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74</w:t>
            </w:r>
          </w:p>
        </w:tc>
        <w:tc>
          <w:tcPr>
            <w:tcW w:w="1250" w:type="pct"/>
          </w:tcPr>
          <w:p w:rsidR="00874211" w:rsidRPr="009A6F69" w:rsidRDefault="00D1431F"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68</w:t>
            </w:r>
          </w:p>
        </w:tc>
        <w:tc>
          <w:tcPr>
            <w:tcW w:w="1250" w:type="pct"/>
          </w:tcPr>
          <w:p w:rsidR="00874211" w:rsidRPr="009A6F69" w:rsidRDefault="00D1431F"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51</w:t>
            </w:r>
          </w:p>
        </w:tc>
      </w:tr>
      <w:tr w:rsidR="00874211" w:rsidRPr="009A6F69" w:rsidTr="00182A98">
        <w:trPr>
          <w:cnfStyle w:val="000000100000"/>
        </w:trPr>
        <w:tc>
          <w:tcPr>
            <w:cnfStyle w:val="001000000000"/>
            <w:tcW w:w="1250" w:type="pct"/>
          </w:tcPr>
          <w:p w:rsidR="00874211" w:rsidRPr="009A6F69" w:rsidRDefault="00874211" w:rsidP="00182A98">
            <w:pPr>
              <w:spacing w:line="240" w:lineRule="auto"/>
              <w:rPr>
                <w:rFonts w:ascii="Times New Roman" w:hAnsi="Times New Roman" w:cs="Times New Roman"/>
                <w:bCs w:val="0"/>
                <w:sz w:val="20"/>
                <w:szCs w:val="20"/>
                <w:lang w:val="en-GB"/>
              </w:rPr>
            </w:pPr>
            <w:r w:rsidRPr="009A6F69">
              <w:rPr>
                <w:rFonts w:ascii="Times New Roman" w:hAnsi="Times New Roman" w:cs="Times New Roman"/>
                <w:bCs w:val="0"/>
                <w:sz w:val="20"/>
                <w:szCs w:val="20"/>
                <w:lang w:val="en-GB"/>
              </w:rPr>
              <w:t>Coast</w:t>
            </w:r>
          </w:p>
        </w:tc>
        <w:tc>
          <w:tcPr>
            <w:tcW w:w="1250" w:type="pct"/>
          </w:tcPr>
          <w:p w:rsidR="00874211" w:rsidRPr="009A6F69" w:rsidRDefault="006620BE"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46</w:t>
            </w:r>
          </w:p>
        </w:tc>
        <w:tc>
          <w:tcPr>
            <w:tcW w:w="1250" w:type="pct"/>
          </w:tcPr>
          <w:p w:rsidR="00874211" w:rsidRPr="009A6F69" w:rsidRDefault="00D1431F"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28</w:t>
            </w:r>
          </w:p>
        </w:tc>
        <w:tc>
          <w:tcPr>
            <w:tcW w:w="1250" w:type="pct"/>
          </w:tcPr>
          <w:p w:rsidR="00874211" w:rsidRPr="009A6F69" w:rsidRDefault="00D1431F"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87</w:t>
            </w:r>
          </w:p>
        </w:tc>
      </w:tr>
      <w:tr w:rsidR="00874211" w:rsidRPr="009A6F69" w:rsidTr="00182A98">
        <w:tc>
          <w:tcPr>
            <w:cnfStyle w:val="001000000000"/>
            <w:tcW w:w="1250" w:type="pct"/>
          </w:tcPr>
          <w:p w:rsidR="00874211" w:rsidRPr="009A6F69" w:rsidRDefault="00874211" w:rsidP="00182A98">
            <w:pPr>
              <w:spacing w:line="240" w:lineRule="auto"/>
              <w:rPr>
                <w:rFonts w:ascii="Times New Roman" w:hAnsi="Times New Roman" w:cs="Times New Roman"/>
                <w:bCs w:val="0"/>
                <w:sz w:val="20"/>
                <w:szCs w:val="20"/>
                <w:lang w:val="en-GB"/>
              </w:rPr>
            </w:pPr>
            <w:r w:rsidRPr="009A6F69">
              <w:rPr>
                <w:rFonts w:ascii="Times New Roman" w:hAnsi="Times New Roman" w:cs="Times New Roman"/>
                <w:bCs w:val="0"/>
                <w:sz w:val="20"/>
                <w:szCs w:val="20"/>
                <w:lang w:val="en-GB"/>
              </w:rPr>
              <w:t>Eastern</w:t>
            </w:r>
          </w:p>
        </w:tc>
        <w:tc>
          <w:tcPr>
            <w:tcW w:w="1250" w:type="pct"/>
          </w:tcPr>
          <w:p w:rsidR="00874211" w:rsidRPr="009A6F69" w:rsidRDefault="006620BE"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43</w:t>
            </w:r>
          </w:p>
        </w:tc>
        <w:tc>
          <w:tcPr>
            <w:tcW w:w="1250" w:type="pct"/>
          </w:tcPr>
          <w:p w:rsidR="00874211" w:rsidRPr="009A6F69" w:rsidRDefault="00D1431F"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24</w:t>
            </w:r>
          </w:p>
        </w:tc>
        <w:tc>
          <w:tcPr>
            <w:tcW w:w="1250" w:type="pct"/>
          </w:tcPr>
          <w:p w:rsidR="00874211" w:rsidRPr="009A6F69" w:rsidRDefault="00D1431F"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52</w:t>
            </w:r>
          </w:p>
        </w:tc>
      </w:tr>
      <w:tr w:rsidR="00AB16DA" w:rsidRPr="009A6F69" w:rsidTr="00182A98">
        <w:trPr>
          <w:cnfStyle w:val="000000100000"/>
        </w:trPr>
        <w:tc>
          <w:tcPr>
            <w:cnfStyle w:val="001000000000"/>
            <w:tcW w:w="1250" w:type="pct"/>
          </w:tcPr>
          <w:p w:rsidR="00AB16DA" w:rsidRPr="009A6F69" w:rsidRDefault="00AB16DA" w:rsidP="00182A98">
            <w:pPr>
              <w:spacing w:line="240" w:lineRule="auto"/>
              <w:rPr>
                <w:rFonts w:ascii="Times New Roman" w:hAnsi="Times New Roman" w:cs="Times New Roman"/>
                <w:bCs w:val="0"/>
                <w:sz w:val="20"/>
                <w:szCs w:val="20"/>
                <w:lang w:val="en-GB"/>
              </w:rPr>
            </w:pPr>
            <w:r w:rsidRPr="009A6F69">
              <w:rPr>
                <w:rFonts w:ascii="Times New Roman" w:hAnsi="Times New Roman" w:cs="Times New Roman"/>
                <w:bCs w:val="0"/>
                <w:sz w:val="20"/>
                <w:szCs w:val="20"/>
                <w:lang w:val="en-GB"/>
              </w:rPr>
              <w:t>Nyanza</w:t>
            </w:r>
          </w:p>
        </w:tc>
        <w:tc>
          <w:tcPr>
            <w:tcW w:w="1250" w:type="pct"/>
          </w:tcPr>
          <w:p w:rsidR="00AB16DA" w:rsidRPr="009A6F69" w:rsidRDefault="00AB16DA"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45</w:t>
            </w:r>
          </w:p>
        </w:tc>
        <w:tc>
          <w:tcPr>
            <w:tcW w:w="1250" w:type="pct"/>
          </w:tcPr>
          <w:p w:rsidR="00AB16DA" w:rsidRPr="009A6F69" w:rsidRDefault="00D1431F"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43</w:t>
            </w:r>
          </w:p>
        </w:tc>
        <w:tc>
          <w:tcPr>
            <w:tcW w:w="1250" w:type="pct"/>
          </w:tcPr>
          <w:p w:rsidR="00AB16DA" w:rsidRPr="009A6F69" w:rsidRDefault="00D1431F"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149</w:t>
            </w:r>
          </w:p>
        </w:tc>
      </w:tr>
      <w:tr w:rsidR="00874211" w:rsidRPr="009A6F69" w:rsidTr="00182A98">
        <w:tc>
          <w:tcPr>
            <w:cnfStyle w:val="001000000000"/>
            <w:tcW w:w="1250" w:type="pct"/>
          </w:tcPr>
          <w:p w:rsidR="00874211" w:rsidRPr="009A6F69" w:rsidRDefault="00874211" w:rsidP="00182A98">
            <w:pPr>
              <w:spacing w:line="240" w:lineRule="auto"/>
              <w:rPr>
                <w:rFonts w:ascii="Times New Roman" w:hAnsi="Times New Roman" w:cs="Times New Roman"/>
                <w:bCs w:val="0"/>
                <w:sz w:val="20"/>
                <w:szCs w:val="20"/>
                <w:lang w:val="en-GB"/>
              </w:rPr>
            </w:pPr>
            <w:r w:rsidRPr="009A6F69">
              <w:rPr>
                <w:rFonts w:ascii="Times New Roman" w:hAnsi="Times New Roman" w:cs="Times New Roman"/>
                <w:bCs w:val="0"/>
                <w:sz w:val="20"/>
                <w:szCs w:val="20"/>
                <w:lang w:val="en-GB"/>
              </w:rPr>
              <w:t xml:space="preserve">Rift Valley </w:t>
            </w:r>
          </w:p>
        </w:tc>
        <w:tc>
          <w:tcPr>
            <w:tcW w:w="1250" w:type="pct"/>
          </w:tcPr>
          <w:p w:rsidR="00874211" w:rsidRPr="009A6F69" w:rsidRDefault="00AB16DA"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34</w:t>
            </w:r>
          </w:p>
        </w:tc>
        <w:tc>
          <w:tcPr>
            <w:tcW w:w="1250" w:type="pct"/>
          </w:tcPr>
          <w:p w:rsidR="00874211" w:rsidRPr="009A6F69" w:rsidRDefault="00D1431F"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65</w:t>
            </w:r>
          </w:p>
        </w:tc>
        <w:tc>
          <w:tcPr>
            <w:tcW w:w="1250" w:type="pct"/>
          </w:tcPr>
          <w:p w:rsidR="00874211" w:rsidRPr="009A6F69" w:rsidRDefault="00D1431F"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59</w:t>
            </w:r>
          </w:p>
        </w:tc>
      </w:tr>
      <w:tr w:rsidR="00874211" w:rsidRPr="009A6F69" w:rsidTr="00182A98">
        <w:trPr>
          <w:cnfStyle w:val="000000100000"/>
        </w:trPr>
        <w:tc>
          <w:tcPr>
            <w:cnfStyle w:val="001000000000"/>
            <w:tcW w:w="1250" w:type="pct"/>
          </w:tcPr>
          <w:p w:rsidR="00874211" w:rsidRPr="009A6F69" w:rsidRDefault="00874211" w:rsidP="00182A98">
            <w:pPr>
              <w:spacing w:line="240" w:lineRule="auto"/>
              <w:rPr>
                <w:rFonts w:ascii="Times New Roman" w:hAnsi="Times New Roman" w:cs="Times New Roman"/>
                <w:bCs w:val="0"/>
                <w:sz w:val="20"/>
                <w:szCs w:val="20"/>
                <w:lang w:val="en-GB"/>
              </w:rPr>
            </w:pPr>
            <w:r w:rsidRPr="009A6F69">
              <w:rPr>
                <w:rFonts w:ascii="Times New Roman" w:hAnsi="Times New Roman" w:cs="Times New Roman"/>
                <w:bCs w:val="0"/>
                <w:sz w:val="20"/>
                <w:szCs w:val="20"/>
                <w:lang w:val="en-GB"/>
              </w:rPr>
              <w:t>Western</w:t>
            </w:r>
          </w:p>
        </w:tc>
        <w:tc>
          <w:tcPr>
            <w:tcW w:w="1250" w:type="pct"/>
          </w:tcPr>
          <w:p w:rsidR="00874211" w:rsidRPr="009A6F69" w:rsidRDefault="006620BE"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26</w:t>
            </w:r>
          </w:p>
        </w:tc>
        <w:tc>
          <w:tcPr>
            <w:tcW w:w="1250" w:type="pct"/>
          </w:tcPr>
          <w:p w:rsidR="00874211" w:rsidRPr="009A6F69" w:rsidRDefault="00D1431F"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26</w:t>
            </w:r>
          </w:p>
        </w:tc>
        <w:tc>
          <w:tcPr>
            <w:tcW w:w="1250" w:type="pct"/>
          </w:tcPr>
          <w:p w:rsidR="00874211" w:rsidRPr="009A6F69" w:rsidRDefault="00D1431F" w:rsidP="00182A98">
            <w:pPr>
              <w:spacing w:line="240" w:lineRule="auto"/>
              <w:jc w:val="center"/>
              <w:cnfStyle w:val="0000001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121</w:t>
            </w:r>
          </w:p>
        </w:tc>
      </w:tr>
      <w:tr w:rsidR="00874211" w:rsidRPr="009A6F69" w:rsidTr="00182A98">
        <w:tc>
          <w:tcPr>
            <w:cnfStyle w:val="001000000000"/>
            <w:tcW w:w="1250" w:type="pct"/>
          </w:tcPr>
          <w:p w:rsidR="00874211" w:rsidRPr="009A6F69" w:rsidRDefault="00874211" w:rsidP="00182A98">
            <w:pPr>
              <w:spacing w:line="240" w:lineRule="auto"/>
              <w:rPr>
                <w:rFonts w:ascii="Times New Roman" w:hAnsi="Times New Roman" w:cs="Times New Roman"/>
                <w:bCs w:val="0"/>
                <w:sz w:val="20"/>
                <w:szCs w:val="20"/>
                <w:lang w:val="en-GB"/>
              </w:rPr>
            </w:pPr>
            <w:r w:rsidRPr="009A6F69">
              <w:rPr>
                <w:rFonts w:ascii="Times New Roman" w:hAnsi="Times New Roman" w:cs="Times New Roman"/>
                <w:bCs w:val="0"/>
                <w:sz w:val="20"/>
                <w:szCs w:val="20"/>
                <w:lang w:val="en-GB"/>
              </w:rPr>
              <w:t xml:space="preserve">North-Eastern </w:t>
            </w:r>
          </w:p>
        </w:tc>
        <w:tc>
          <w:tcPr>
            <w:tcW w:w="1250" w:type="pct"/>
          </w:tcPr>
          <w:p w:rsidR="00874211" w:rsidRPr="009A6F69" w:rsidRDefault="006620BE"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32</w:t>
            </w:r>
          </w:p>
        </w:tc>
        <w:tc>
          <w:tcPr>
            <w:tcW w:w="1250" w:type="pct"/>
          </w:tcPr>
          <w:p w:rsidR="00874211" w:rsidRPr="009A6F69" w:rsidRDefault="00D1431F"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32</w:t>
            </w:r>
          </w:p>
        </w:tc>
        <w:tc>
          <w:tcPr>
            <w:tcW w:w="1250" w:type="pct"/>
          </w:tcPr>
          <w:p w:rsidR="00874211" w:rsidRPr="009A6F69" w:rsidRDefault="00D1431F" w:rsidP="00182A98">
            <w:pPr>
              <w:spacing w:line="240" w:lineRule="auto"/>
              <w:jc w:val="center"/>
              <w:cnfStyle w:val="000000000000"/>
              <w:rPr>
                <w:rFonts w:ascii="Times New Roman" w:hAnsi="Times New Roman" w:cs="Times New Roman"/>
                <w:bCs/>
                <w:sz w:val="20"/>
                <w:szCs w:val="20"/>
                <w:lang w:val="en-GB"/>
              </w:rPr>
            </w:pPr>
            <w:r w:rsidRPr="009A6F69">
              <w:rPr>
                <w:rFonts w:ascii="Times New Roman" w:hAnsi="Times New Roman" w:cs="Times New Roman"/>
                <w:bCs/>
                <w:sz w:val="20"/>
                <w:szCs w:val="20"/>
                <w:lang w:val="en-GB"/>
              </w:rPr>
              <w:t>80</w:t>
            </w:r>
          </w:p>
        </w:tc>
      </w:tr>
    </w:tbl>
    <w:p w:rsidR="00583DBA" w:rsidRPr="009A6F69" w:rsidRDefault="00583DBA" w:rsidP="00D54D38">
      <w:pPr>
        <w:rPr>
          <w:bCs/>
          <w:lang w:val="en-GB"/>
        </w:rPr>
      </w:pPr>
    </w:p>
    <w:p w:rsidR="000850B7" w:rsidRDefault="00146989" w:rsidP="000850B7">
      <w:pPr>
        <w:rPr>
          <w:bCs/>
          <w:lang w:val="en-GB"/>
        </w:rPr>
      </w:pPr>
      <w:r w:rsidRPr="009A6F69">
        <w:rPr>
          <w:bCs/>
          <w:lang w:val="en-GB"/>
        </w:rPr>
        <w:t xml:space="preserve">The challenge is overcoming </w:t>
      </w:r>
      <w:r w:rsidR="00146D64" w:rsidRPr="009A6F69">
        <w:rPr>
          <w:bCs/>
          <w:lang w:val="en-GB"/>
        </w:rPr>
        <w:t xml:space="preserve">income and </w:t>
      </w:r>
      <w:r w:rsidRPr="009A6F69">
        <w:rPr>
          <w:bCs/>
          <w:lang w:val="en-GB"/>
        </w:rPr>
        <w:t xml:space="preserve">geographical disparities. For example, </w:t>
      </w:r>
      <w:r w:rsidR="00AF29F8" w:rsidRPr="009A6F69">
        <w:rPr>
          <w:bCs/>
          <w:lang w:val="en-GB"/>
        </w:rPr>
        <w:t>nationally, About 22.5 per cent of illnesses are diagnosed by a medical worker at a health facility, with self-diagnosis (36.1%) followed by diagnosis by other household member with no medical training (23.7%) being the leading forms of diagnosis of illnesses.</w:t>
      </w:r>
      <w:r w:rsidR="00914E11" w:rsidRPr="009A6F69">
        <w:rPr>
          <w:bCs/>
          <w:lang w:val="en-GB"/>
        </w:rPr>
        <w:t xml:space="preserve"> Broken down by provinces, </w:t>
      </w:r>
      <w:r w:rsidRPr="009A6F69">
        <w:rPr>
          <w:bCs/>
          <w:lang w:val="en-GB"/>
        </w:rPr>
        <w:t xml:space="preserve">self- diagnosis is lowest in Central Province (30.9%) and highest in Western (45.8%) and Nyanza (39.6%) Provinces where, </w:t>
      </w:r>
      <w:r w:rsidRPr="009A6F69">
        <w:rPr>
          <w:bCs/>
          <w:lang w:val="en-GB"/>
        </w:rPr>
        <w:lastRenderedPageBreak/>
        <w:t>there is high prevalence of morbidity</w:t>
      </w:r>
      <w:r w:rsidR="005A6279" w:rsidRPr="009A6F69">
        <w:rPr>
          <w:bCs/>
          <w:lang w:val="en-GB"/>
        </w:rPr>
        <w:t>,</w:t>
      </w:r>
      <w:r w:rsidR="001B3B9E" w:rsidRPr="009A6F69">
        <w:rPr>
          <w:bCs/>
          <w:lang w:val="en-GB"/>
        </w:rPr>
        <w:fldChar w:fldCharType="begin" w:fldLock="1"/>
      </w:r>
      <w:r w:rsidR="004F4010">
        <w:rPr>
          <w:bCs/>
          <w:lang w:val="en-GB"/>
        </w:rPr>
        <w:instrText>ADDIN CSL_CITATION { "citationItems" : [ { "id" : "ITEM-1", "itemData" : { "ISBN" : "996676707X", "author" : [ { "dropping-particle" : "", "family" : "Kenya National Bureau of Statistics", "given" : "", "non-dropping-particle" : "", "parse-names" : false, "suffix" : "" } ], "id" : "ITEM-1", "issued" : { "date-parts" : [ [ "2006" ] ] }, "publisher-place" : "Nairobi", "title" : "KENYA INTEGRATED HOUSEHOLD BUDGET SURVEY ( KIHBS )", "type" : "report" }, "uris" : [ "http://www.mendeley.com/documents/?uuid=1a7f6670-0dc4-4f68-ae8f-32c6e0434463" ] } ], "mendeley" : { "previouslyFormattedCitation" : "(Kenya National Bureau of Statistics, 2006)" }, "properties" : { "noteIndex" : 0 }, "schema" : "https://github.com/citation-style-language/schema/raw/master/csl-citation.json" }</w:instrText>
      </w:r>
      <w:r w:rsidR="001B3B9E" w:rsidRPr="009A6F69">
        <w:rPr>
          <w:bCs/>
          <w:lang w:val="en-GB"/>
        </w:rPr>
        <w:fldChar w:fldCharType="separate"/>
      </w:r>
      <w:r w:rsidR="0007030C" w:rsidRPr="009A6F69">
        <w:rPr>
          <w:bCs/>
          <w:noProof/>
          <w:lang w:val="en-GB"/>
        </w:rPr>
        <w:t>(Kenya National Bureau of Statistics, 2006)</w:t>
      </w:r>
      <w:r w:rsidR="001B3B9E" w:rsidRPr="009A6F69">
        <w:rPr>
          <w:bCs/>
          <w:lang w:val="en-GB"/>
        </w:rPr>
        <w:fldChar w:fldCharType="end"/>
      </w:r>
      <w:r w:rsidR="0072012B" w:rsidRPr="009A6F69">
        <w:rPr>
          <w:bCs/>
          <w:lang w:val="en-GB"/>
        </w:rPr>
        <w:t xml:space="preserve"> and relatively higher levels of poverty</w:t>
      </w:r>
      <w:r w:rsidRPr="009A6F69">
        <w:rPr>
          <w:bCs/>
          <w:lang w:val="en-GB"/>
        </w:rPr>
        <w:t>.</w:t>
      </w:r>
      <w:r w:rsidR="001610B7">
        <w:rPr>
          <w:bCs/>
          <w:lang w:val="en-GB"/>
        </w:rPr>
        <w:t xml:space="preserve"> </w:t>
      </w:r>
    </w:p>
    <w:p w:rsidR="00E34253" w:rsidRDefault="001610B7" w:rsidP="000850B7">
      <w:pPr>
        <w:rPr>
          <w:bCs/>
          <w:lang w:val="en-GB"/>
        </w:rPr>
      </w:pPr>
      <w:r>
        <w:rPr>
          <w:bCs/>
          <w:lang w:val="en-GB"/>
        </w:rPr>
        <w:t xml:space="preserve">One possible solution is public-private partnerships (PPP). Insurance companies push providers to open clinics where there </w:t>
      </w:r>
      <w:r w:rsidR="008D2995">
        <w:rPr>
          <w:bCs/>
          <w:lang w:val="en-GB"/>
        </w:rPr>
        <w:t>is a pool</w:t>
      </w:r>
      <w:r>
        <w:rPr>
          <w:bCs/>
          <w:lang w:val="en-GB"/>
        </w:rPr>
        <w:t xml:space="preserve"> of patients. </w:t>
      </w:r>
      <w:r w:rsidR="0043643F">
        <w:rPr>
          <w:bCs/>
          <w:lang w:val="en-GB"/>
        </w:rPr>
        <w:t>However laying dow</w:t>
      </w:r>
      <w:r w:rsidR="00B066F0">
        <w:rPr>
          <w:bCs/>
          <w:lang w:val="en-GB"/>
        </w:rPr>
        <w:t>n infrastructure is a challenge, with investors requiring some guarantee of throughput</w:t>
      </w:r>
      <w:proofErr w:type="gramStart"/>
      <w:r w:rsidR="00B066F0">
        <w:rPr>
          <w:bCs/>
          <w:lang w:val="en-GB"/>
        </w:rPr>
        <w:t>,(</w:t>
      </w:r>
      <w:proofErr w:type="gramEnd"/>
      <w:r w:rsidR="00B066F0">
        <w:rPr>
          <w:bCs/>
          <w:lang w:val="en-GB"/>
        </w:rPr>
        <w:t xml:space="preserve">KII2). </w:t>
      </w:r>
      <w:r w:rsidR="00451F5D">
        <w:rPr>
          <w:bCs/>
          <w:lang w:val="en-GB"/>
        </w:rPr>
        <w:t>The NHIF civil service scheme is providing some of these guarantees through capitation with private providers opening branches to serve clients already registered with them</w:t>
      </w:r>
      <w:proofErr w:type="gramStart"/>
      <w:r w:rsidR="00451F5D">
        <w:rPr>
          <w:bCs/>
          <w:lang w:val="en-GB"/>
        </w:rPr>
        <w:t>,(</w:t>
      </w:r>
      <w:proofErr w:type="gramEnd"/>
      <w:r w:rsidR="00451F5D">
        <w:rPr>
          <w:bCs/>
          <w:lang w:val="en-GB"/>
        </w:rPr>
        <w:t>KII1)</w:t>
      </w:r>
      <w:r w:rsidR="005E68D0">
        <w:rPr>
          <w:bCs/>
          <w:lang w:val="en-GB"/>
        </w:rPr>
        <w:t>.</w:t>
      </w:r>
      <w:r w:rsidR="003722AD">
        <w:rPr>
          <w:bCs/>
          <w:lang w:val="en-GB"/>
        </w:rPr>
        <w:t xml:space="preserve"> Developing better frameworks for PPP would also enhance quality of care. Currently the licensing system is poor. </w:t>
      </w:r>
      <w:r w:rsidR="00966BE1">
        <w:rPr>
          <w:bCs/>
          <w:lang w:val="en-GB"/>
        </w:rPr>
        <w:t>The system of accreditation by NHIF can be enhanced</w:t>
      </w:r>
      <w:proofErr w:type="gramStart"/>
      <w:r w:rsidR="00966BE1">
        <w:rPr>
          <w:bCs/>
          <w:lang w:val="en-GB"/>
        </w:rPr>
        <w:t>,(</w:t>
      </w:r>
      <w:proofErr w:type="gramEnd"/>
      <w:r w:rsidR="00966BE1">
        <w:rPr>
          <w:bCs/>
          <w:lang w:val="en-GB"/>
        </w:rPr>
        <w:t>KII4).</w:t>
      </w:r>
      <w:r w:rsidR="003722AD">
        <w:rPr>
          <w:bCs/>
          <w:lang w:val="en-GB"/>
        </w:rPr>
        <w:t>There is a need for all providers to file returns listing key staff qualifications, patients attended to</w:t>
      </w:r>
      <w:r w:rsidR="00B6582A">
        <w:rPr>
          <w:bCs/>
          <w:lang w:val="en-GB"/>
        </w:rPr>
        <w:t xml:space="preserve"> and</w:t>
      </w:r>
      <w:r w:rsidR="00A945E2">
        <w:rPr>
          <w:bCs/>
          <w:lang w:val="en-GB"/>
        </w:rPr>
        <w:t xml:space="preserve"> diseases seen. Level of hospital should indicate level of quality with reference laboratories as appropriate</w:t>
      </w:r>
      <w:proofErr w:type="gramStart"/>
      <w:r w:rsidR="00A945E2">
        <w:rPr>
          <w:bCs/>
          <w:lang w:val="en-GB"/>
        </w:rPr>
        <w:t>.</w:t>
      </w:r>
      <w:r w:rsidR="003722AD">
        <w:rPr>
          <w:bCs/>
          <w:lang w:val="en-GB"/>
        </w:rPr>
        <w:t>(</w:t>
      </w:r>
      <w:proofErr w:type="gramEnd"/>
      <w:r w:rsidR="003722AD">
        <w:rPr>
          <w:bCs/>
          <w:lang w:val="en-GB"/>
        </w:rPr>
        <w:t xml:space="preserve">KII2). </w:t>
      </w:r>
      <w:r w:rsidR="00161F1B" w:rsidRPr="00161F1B">
        <w:rPr>
          <w:bCs/>
          <w:i/>
          <w:lang w:val="en-GB"/>
        </w:rPr>
        <w:t xml:space="preserve">“Regulation needs to come from the centre. One cannot open a bank and decide what operating system to use. They must have certain capacities and compliance is mandatory. Central </w:t>
      </w:r>
      <w:proofErr w:type="gramStart"/>
      <w:r w:rsidR="00161F1B" w:rsidRPr="00161F1B">
        <w:rPr>
          <w:bCs/>
          <w:i/>
          <w:lang w:val="en-GB"/>
        </w:rPr>
        <w:t>bank have</w:t>
      </w:r>
      <w:proofErr w:type="gramEnd"/>
      <w:r w:rsidR="00161F1B" w:rsidRPr="00161F1B">
        <w:rPr>
          <w:bCs/>
          <w:i/>
          <w:lang w:val="en-GB"/>
        </w:rPr>
        <w:t xml:space="preserve"> an exception reporting system with fiduciary </w:t>
      </w:r>
      <w:proofErr w:type="spellStart"/>
      <w:r w:rsidR="00161F1B" w:rsidRPr="00161F1B">
        <w:rPr>
          <w:bCs/>
          <w:i/>
          <w:lang w:val="en-GB"/>
        </w:rPr>
        <w:t>responsbiity</w:t>
      </w:r>
      <w:proofErr w:type="spellEnd"/>
      <w:r w:rsidR="00161F1B" w:rsidRPr="00161F1B">
        <w:rPr>
          <w:bCs/>
          <w:i/>
          <w:lang w:val="en-GB"/>
        </w:rPr>
        <w:t>. Why should healthcare be any difference?”(</w:t>
      </w:r>
      <w:r w:rsidR="00161F1B">
        <w:rPr>
          <w:bCs/>
          <w:lang w:val="en-GB"/>
        </w:rPr>
        <w:t>KII2)</w:t>
      </w:r>
    </w:p>
    <w:p w:rsidR="005E68D0" w:rsidRPr="009A6F69" w:rsidRDefault="005E68D0" w:rsidP="000850B7">
      <w:pPr>
        <w:rPr>
          <w:bCs/>
          <w:lang w:val="en-GB"/>
        </w:rPr>
      </w:pPr>
    </w:p>
    <w:p w:rsidR="00752F95" w:rsidRPr="009A6F69" w:rsidRDefault="000850B7" w:rsidP="0080570D">
      <w:pPr>
        <w:pStyle w:val="Heading2"/>
        <w:rPr>
          <w:lang w:val="en-GB"/>
        </w:rPr>
      </w:pPr>
      <w:bookmarkStart w:id="23" w:name="_Toc254256130"/>
      <w:r w:rsidRPr="009A6F69">
        <w:rPr>
          <w:lang w:val="en-GB"/>
        </w:rPr>
        <w:t>Financial-risk protection</w:t>
      </w:r>
      <w:r w:rsidR="00537675" w:rsidRPr="009A6F69">
        <w:rPr>
          <w:lang w:val="en-GB"/>
        </w:rPr>
        <w:t>- height of universal coverage</w:t>
      </w:r>
      <w:bookmarkEnd w:id="23"/>
    </w:p>
    <w:p w:rsidR="006826DF" w:rsidRPr="009A6F69" w:rsidRDefault="00A212D7" w:rsidP="0043400E">
      <w:pPr>
        <w:rPr>
          <w:lang w:val="en-GB"/>
        </w:rPr>
      </w:pPr>
      <w:r w:rsidRPr="009A6F69">
        <w:rPr>
          <w:lang w:val="en-GB"/>
        </w:rPr>
        <w:t xml:space="preserve">Health financing approaches are central to universal coverage. </w:t>
      </w:r>
      <w:r w:rsidR="003D1444" w:rsidRPr="009A6F69">
        <w:rPr>
          <w:bCs/>
          <w:lang w:val="en-GB"/>
        </w:rPr>
        <w:t>The goal of health financing is to raise sufficient financial resources to fund healthcare delivery, while ensuring equity and efficiency in resource mobilisation, allocation, and utilization.</w:t>
      </w:r>
      <w:r w:rsidR="0043400E" w:rsidRPr="009A6F69">
        <w:rPr>
          <w:lang w:val="en-GB"/>
        </w:rPr>
        <w:t xml:space="preserve"> </w:t>
      </w:r>
      <w:r w:rsidRPr="009A6F69">
        <w:rPr>
          <w:lang w:val="en-GB"/>
        </w:rPr>
        <w:t xml:space="preserve">The way funds are collected, pooled, and used to purchase or provide services </w:t>
      </w:r>
      <w:r w:rsidR="00CA6ABB" w:rsidRPr="009A6F69">
        <w:rPr>
          <w:lang w:val="en-GB"/>
        </w:rPr>
        <w:t>requires</w:t>
      </w:r>
      <w:r w:rsidRPr="009A6F69">
        <w:rPr>
          <w:lang w:val="en-GB"/>
        </w:rPr>
        <w:t xml:space="preserve"> careful consider</w:t>
      </w:r>
      <w:r w:rsidR="00CA6ABB" w:rsidRPr="009A6F69">
        <w:rPr>
          <w:lang w:val="en-GB"/>
        </w:rPr>
        <w:t>ation</w:t>
      </w:r>
      <w:r w:rsidRPr="009A6F69">
        <w:rPr>
          <w:lang w:val="en-GB"/>
        </w:rPr>
        <w:t xml:space="preserve"> to ensure that population needs are addressed under a universal health system.</w:t>
      </w:r>
      <w:r w:rsidR="006826DF" w:rsidRPr="009A6F69">
        <w:rPr>
          <w:rFonts w:cs="Times"/>
          <w:color w:val="141413"/>
          <w:lang w:val="en-GB"/>
        </w:rPr>
        <w:t xml:space="preserve"> </w:t>
      </w:r>
    </w:p>
    <w:p w:rsidR="002F1BA8" w:rsidRPr="009A6F69" w:rsidRDefault="00A212D7" w:rsidP="00752F95">
      <w:pPr>
        <w:rPr>
          <w:lang w:val="en-GB"/>
        </w:rPr>
      </w:pPr>
      <w:r w:rsidRPr="009A6F69">
        <w:rPr>
          <w:lang w:val="en-GB"/>
        </w:rPr>
        <w:t xml:space="preserve"> </w:t>
      </w:r>
      <w:r w:rsidR="00960EC1" w:rsidRPr="009A6F69">
        <w:rPr>
          <w:lang w:val="en-GB"/>
        </w:rPr>
        <w:t xml:space="preserve">Without proper health care financing strategies, no government can hope to successfully meet the health needs of its citizens. </w:t>
      </w:r>
      <w:r w:rsidR="00780E99" w:rsidRPr="009A6F69">
        <w:rPr>
          <w:lang w:val="en-GB"/>
        </w:rPr>
        <w:t xml:space="preserve">Financial-risk protection is meant to protect households against catastrophic expenditure. </w:t>
      </w:r>
      <w:r w:rsidR="00C15E7B" w:rsidRPr="009A6F69">
        <w:rPr>
          <w:lang w:val="en-GB"/>
        </w:rPr>
        <w:t>The widely used measure is de</w:t>
      </w:r>
      <w:r w:rsidR="00780E99" w:rsidRPr="009A6F69">
        <w:rPr>
          <w:lang w:val="en-GB"/>
        </w:rPr>
        <w:t xml:space="preserve">fined as </w:t>
      </w:r>
      <w:r w:rsidR="00346E94" w:rsidRPr="009A6F69">
        <w:rPr>
          <w:lang w:val="en-GB"/>
        </w:rPr>
        <w:t>out of pocket (</w:t>
      </w:r>
      <w:r w:rsidR="00780E99" w:rsidRPr="009A6F69">
        <w:rPr>
          <w:lang w:val="en-GB"/>
        </w:rPr>
        <w:t>OOP</w:t>
      </w:r>
      <w:r w:rsidR="00346E94" w:rsidRPr="009A6F69">
        <w:rPr>
          <w:lang w:val="en-GB"/>
        </w:rPr>
        <w:t>)</w:t>
      </w:r>
      <w:r w:rsidR="00780E99" w:rsidRPr="009A6F69">
        <w:rPr>
          <w:lang w:val="en-GB"/>
        </w:rPr>
        <w:t xml:space="preserve"> exceeding 40% of household non-subsistence </w:t>
      </w:r>
      <w:r w:rsidR="00780E99" w:rsidRPr="009A6F69">
        <w:rPr>
          <w:lang w:val="en-GB"/>
        </w:rPr>
        <w:lastRenderedPageBreak/>
        <w:t xml:space="preserve">spending within a one-month period. </w:t>
      </w:r>
      <w:r w:rsidR="005A6279" w:rsidRPr="009A6F69">
        <w:rPr>
          <w:lang w:val="en-GB"/>
        </w:rPr>
        <w:t>However,</w:t>
      </w:r>
      <w:r w:rsidR="00296833" w:rsidRPr="009A6F69">
        <w:rPr>
          <w:lang w:val="en-GB"/>
        </w:rPr>
        <w:t xml:space="preserve"> </w:t>
      </w:r>
      <w:r w:rsidR="005A6279" w:rsidRPr="009A6F69">
        <w:rPr>
          <w:lang w:val="en-GB"/>
        </w:rPr>
        <w:t xml:space="preserve">the Kenya integrated household survey does not capture health expenditures at household level. </w:t>
      </w:r>
    </w:p>
    <w:p w:rsidR="00450D79" w:rsidRPr="009A6F69" w:rsidRDefault="005D0630" w:rsidP="00660EB2">
      <w:pPr>
        <w:rPr>
          <w:lang w:val="en-GB"/>
        </w:rPr>
      </w:pPr>
      <w:r w:rsidRPr="009A6F69">
        <w:rPr>
          <w:lang w:val="en-GB"/>
        </w:rPr>
        <w:t>The Kenyan health sector relies heavily on out-of-pocket payments. Government funds are mainly allocated through historical incremental approach. The sector is largely underfunded and health care contributions are regressive (i.e. the poor contribute a larger proportion of their income to health care than the rich). Health financing in Kenya is fragmented and there is very limited risk and income cross-subsidisation</w:t>
      </w:r>
      <w:r w:rsidR="00BC16F8" w:rsidRPr="009A6F69">
        <w:rPr>
          <w:lang w:val="en-GB"/>
        </w:rPr>
        <w:t>,</w:t>
      </w:r>
      <w:r w:rsidR="001B3B9E" w:rsidRPr="009A6F69">
        <w:rPr>
          <w:lang w:val="en-GB"/>
        </w:rPr>
        <w:fldChar w:fldCharType="begin" w:fldLock="1"/>
      </w:r>
      <w:r w:rsidR="004F4010">
        <w:rPr>
          <w:lang w:val="en-GB"/>
        </w:rPr>
        <w:instrText>ADDIN CSL_CITATION { "citationItems" : [ { "id" : "ITEM-1", "itemData" : { "DOI" : "10.1186/1475-9276-10-22", "ISSN" : "1475-9276", "PMID" : "21612669", "abstract" : "INTRODUCTION: Equity and universal coverage currently dominate policy debates worldwide. Health financing approaches are central to universal coverage. The way funds are collected, pooled, and used to purchase or provide services should be carefully considered to ensure that population needs are addressed under a universal health system. The aim of this paper is to assess the extent to which the Kenyan health financing system meets the key requirements for universal coverage, including income and risk cross-subsidisation. Recommendations on how to address existing equity challenges and progress towards universal coverage are made.\n\nMETHODS: An extensive review of published and gray literature was conducted to identify the sources of health care funds in Kenya. Documents were mainly sourced from the Ministry of Medical Services and the Ministry of Public Health and Sanitation. Country level documents were the main sources of data. In cases where data were not available at the country level, they were sought from the World Health Organisation website. Each financing mechanism was analysed in respect to key functions namely, revenue generation, pooling and purchasing.\n\nRESULTS: The Kenyan health sector relies heavily on out-of-pocket payments. Government funds are mainly allocated through historical incremental approach. The sector is largely underfunded and health care contributions are regressive (i.e. the poor contribute a larger proportion of their income to health care than the rich). Health financing in Kenya is fragmented and there is very limited risk and income cross-subsidisation. The country has made little progress towards achieving international benchmarks including the Abuja target of allocating 15% of government's budget to the health sector.\n\nCONCLUSIONS: The Kenyan health system is highly inequitable and policies aimed at promoting equity and addressing the needs of the poor and vulnerable have not been successful. Some progress has been made towards addressing equity challenges, but universal coverage will not be achieved unless the country adopts a systemic approach to health financing reforms. Such an approach should be informed by the wider health system goals of equity and efficiency.", "author" : [ { "dropping-particle" : "", "family" : "Chuma", "given" : "Jane", "non-dropping-particle" : "", "parse-names" : false, "suffix" : "" }, { "dropping-particle" : "", "family" : "Okungu", "given" : "Vincent", "non-dropping-particle" : "", "parse-names" : false, "suffix" : "" } ], "container-title" : "International journal for equity in health", "id" : "ITEM-1", "issued" : { "date-parts" : [ [ "2011", "1" ] ] }, "page" : "22", "title" : "Viewing the Kenyan health system through an equity lens: implications for universal coverage.", "type" : "article-journal", "volume" : "10" }, "uris" : [ "http://www.mendeley.com/documents/?uuid=29012e5e-7065-4ec5-a3fb-4793e7ebedf2" ] } ], "mendeley" : { "previouslyFormattedCitation" : "(Chuma &amp; Okungu, 2011)" }, "properties" : { "noteIndex" : 0 }, "schema" : "https://github.com/citation-style-language/schema/raw/master/csl-citation.json" }</w:instrText>
      </w:r>
      <w:r w:rsidR="001B3B9E" w:rsidRPr="009A6F69">
        <w:rPr>
          <w:lang w:val="en-GB"/>
        </w:rPr>
        <w:fldChar w:fldCharType="separate"/>
      </w:r>
      <w:r w:rsidR="00723186" w:rsidRPr="009A6F69">
        <w:rPr>
          <w:noProof/>
          <w:lang w:val="en-GB"/>
        </w:rPr>
        <w:t>(</w:t>
      </w:r>
      <w:proofErr w:type="spellStart"/>
      <w:r w:rsidR="00723186" w:rsidRPr="009A6F69">
        <w:rPr>
          <w:noProof/>
          <w:lang w:val="en-GB"/>
        </w:rPr>
        <w:t>Chuma</w:t>
      </w:r>
      <w:proofErr w:type="spellEnd"/>
      <w:r w:rsidR="00723186" w:rsidRPr="009A6F69">
        <w:rPr>
          <w:noProof/>
          <w:lang w:val="en-GB"/>
        </w:rPr>
        <w:t xml:space="preserve"> &amp; Okungu, 2011)</w:t>
      </w:r>
      <w:r w:rsidR="001B3B9E" w:rsidRPr="009A6F69">
        <w:rPr>
          <w:lang w:val="en-GB"/>
        </w:rPr>
        <w:fldChar w:fldCharType="end"/>
      </w:r>
      <w:r w:rsidR="00660EB2" w:rsidRPr="009A6F69">
        <w:rPr>
          <w:lang w:val="en-GB"/>
        </w:rPr>
        <w:t>.</w:t>
      </w:r>
      <w:r w:rsidR="00036717" w:rsidRPr="009A6F69">
        <w:rPr>
          <w:lang w:val="en-GB"/>
        </w:rPr>
        <w:t xml:space="preserve"> </w:t>
      </w:r>
    </w:p>
    <w:p w:rsidR="001542D1" w:rsidRPr="009A6F69" w:rsidRDefault="00D76F6F" w:rsidP="00EF6AD2">
      <w:pPr>
        <w:rPr>
          <w:lang w:val="en-GB"/>
        </w:rPr>
      </w:pPr>
      <w:r w:rsidRPr="009A6F69">
        <w:rPr>
          <w:lang w:val="en-GB"/>
        </w:rPr>
        <w:t>Between 2001/02 and 2009/10, t</w:t>
      </w:r>
      <w:r w:rsidR="00450D79" w:rsidRPr="009A6F69">
        <w:rPr>
          <w:lang w:val="en-GB"/>
        </w:rPr>
        <w:t xml:space="preserve">otal health expenditure (THE) increased </w:t>
      </w:r>
      <w:r w:rsidRPr="009A6F69">
        <w:rPr>
          <w:lang w:val="en-GB"/>
        </w:rPr>
        <w:t xml:space="preserve">by 49% </w:t>
      </w:r>
      <w:r w:rsidR="00450D79" w:rsidRPr="009A6F69">
        <w:rPr>
          <w:lang w:val="en-GB"/>
        </w:rPr>
        <w:t xml:space="preserve">from </w:t>
      </w:r>
      <w:proofErr w:type="spellStart"/>
      <w:r w:rsidR="00450D79" w:rsidRPr="009A6F69">
        <w:rPr>
          <w:lang w:val="en-GB"/>
        </w:rPr>
        <w:t>Ksh</w:t>
      </w:r>
      <w:proofErr w:type="spellEnd"/>
      <w:r w:rsidR="00450D79" w:rsidRPr="009A6F69">
        <w:rPr>
          <w:lang w:val="en-GB"/>
        </w:rPr>
        <w:t xml:space="preserve"> 82.2 billion (US$1,046 million) in 2001/02 to </w:t>
      </w:r>
      <w:proofErr w:type="spellStart"/>
      <w:r w:rsidR="00450D79" w:rsidRPr="009A6F69">
        <w:rPr>
          <w:lang w:val="en-GB"/>
        </w:rPr>
        <w:t>Ksh</w:t>
      </w:r>
      <w:proofErr w:type="spellEnd"/>
      <w:r w:rsidR="00450D79" w:rsidRPr="009A6F69">
        <w:rPr>
          <w:lang w:val="en-GB"/>
        </w:rPr>
        <w:t xml:space="preserve"> 1</w:t>
      </w:r>
      <w:r w:rsidRPr="009A6F69">
        <w:rPr>
          <w:lang w:val="en-GB"/>
        </w:rPr>
        <w:t xml:space="preserve">22.9 billion (US$1,620 million). Despite population growth, </w:t>
      </w:r>
      <w:r w:rsidR="00450D79" w:rsidRPr="009A6F69">
        <w:rPr>
          <w:lang w:val="en-GB"/>
        </w:rPr>
        <w:t>THE per cap</w:t>
      </w:r>
      <w:r w:rsidRPr="009A6F69">
        <w:rPr>
          <w:lang w:val="en-GB"/>
        </w:rPr>
        <w:t xml:space="preserve">ita </w:t>
      </w:r>
      <w:r w:rsidR="00450D79" w:rsidRPr="009A6F69">
        <w:rPr>
          <w:lang w:val="en-GB"/>
        </w:rPr>
        <w:t xml:space="preserve">also increased, from </w:t>
      </w:r>
      <w:r w:rsidRPr="009A6F69">
        <w:rPr>
          <w:lang w:val="en-GB"/>
        </w:rPr>
        <w:t xml:space="preserve">$34 to $42 in the same period. However, </w:t>
      </w:r>
      <w:r w:rsidR="00450D79" w:rsidRPr="009A6F69">
        <w:rPr>
          <w:lang w:val="en-GB"/>
        </w:rPr>
        <w:t>THE as a percentage of the Gross Domestic Product (GDP) has remain</w:t>
      </w:r>
      <w:r w:rsidRPr="009A6F69">
        <w:rPr>
          <w:lang w:val="en-GB"/>
        </w:rPr>
        <w:t>ed nearly constant, at 5% with g</w:t>
      </w:r>
      <w:r w:rsidR="00450D79" w:rsidRPr="009A6F69">
        <w:rPr>
          <w:lang w:val="en-GB"/>
        </w:rPr>
        <w:t xml:space="preserve">overnment health expenditures as a percentage of total </w:t>
      </w:r>
      <w:r w:rsidRPr="009A6F69">
        <w:rPr>
          <w:lang w:val="en-GB"/>
        </w:rPr>
        <w:t>government expenditures declining</w:t>
      </w:r>
      <w:r w:rsidR="00450D79" w:rsidRPr="009A6F69">
        <w:rPr>
          <w:lang w:val="en-GB"/>
        </w:rPr>
        <w:t xml:space="preserve"> from 8 </w:t>
      </w:r>
      <w:r w:rsidRPr="009A6F69">
        <w:rPr>
          <w:lang w:val="en-GB"/>
        </w:rPr>
        <w:t xml:space="preserve">% </w:t>
      </w:r>
      <w:r w:rsidR="00450D79" w:rsidRPr="009A6F69">
        <w:rPr>
          <w:lang w:val="en-GB"/>
        </w:rPr>
        <w:t xml:space="preserve">in 2001/02 to 4.6 </w:t>
      </w:r>
      <w:r w:rsidR="00AF29E5" w:rsidRPr="009A6F69">
        <w:rPr>
          <w:lang w:val="en-GB"/>
        </w:rPr>
        <w:t>%</w:t>
      </w:r>
      <w:r w:rsidR="00450D79" w:rsidRPr="009A6F69">
        <w:rPr>
          <w:lang w:val="en-GB"/>
        </w:rPr>
        <w:t xml:space="preserve"> in 2009/10.</w:t>
      </w:r>
      <w:r w:rsidR="00EF6AD2" w:rsidRPr="009A6F69">
        <w:rPr>
          <w:lang w:val="en-GB"/>
        </w:rPr>
        <w:t xml:space="preserve"> Over the same period, donors contribution doubled from 16% to 35%</w:t>
      </w:r>
      <w:r w:rsidR="003D31C0"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"Ministry of Medical Services &amp; Ministry of Public Health and Sanitation", "given" : "", "non-dropping-particle" : "", "parse-names" : false, "suffix" : "" } ], "container-title" : "Health (San Francisco)", "id" : "ITEM-1", "issued" : { "date-parts" : [ [ "2010" ] ] }, "page" : "80", "publisher-place" : "Nairobi", "title" : "NATIONAL HEALTH ACCOUNTS 2009/10", "type" : "report" }, "uris" : [ "http://www.mendeley.com/documents/?uuid=fc0fd0b4-5266-417b-87e3-3a723074bd8b" ] } ], "mendeley" : { "previouslyFormattedCitation" : "(Ministry of Medical Services &amp; Ministry of Public Health and Sanitation, 2010)" }, "properties" : { "noteIndex" : 0 }, "schema" : "https://github.com/citation-style-language/schema/raw/master/csl-citation.json" }</w:instrText>
      </w:r>
      <w:r w:rsidR="001B3B9E" w:rsidRPr="009A6F69">
        <w:rPr>
          <w:lang w:val="en-GB"/>
        </w:rPr>
        <w:fldChar w:fldCharType="separate"/>
      </w:r>
      <w:r w:rsidR="00E66FA9" w:rsidRPr="009A6F69">
        <w:rPr>
          <w:noProof/>
          <w:lang w:val="en-GB"/>
        </w:rPr>
        <w:t>(Ministry of Medical Services &amp; Ministry of Public Health and Sanitation, 2010)</w:t>
      </w:r>
      <w:r w:rsidR="001B3B9E" w:rsidRPr="009A6F69">
        <w:rPr>
          <w:lang w:val="en-GB"/>
        </w:rPr>
        <w:fldChar w:fldCharType="end"/>
      </w:r>
      <w:r w:rsidR="00EF6AD2" w:rsidRPr="009A6F69">
        <w:rPr>
          <w:lang w:val="en-GB"/>
        </w:rPr>
        <w:t xml:space="preserve">. </w:t>
      </w:r>
      <w:r w:rsidR="00BE29BF" w:rsidRPr="009A6F69">
        <w:rPr>
          <w:lang w:val="en-GB"/>
        </w:rPr>
        <w:t xml:space="preserve">The significance of donor funding is that it is concentrated in the priority diseases; HIV/AIDS, </w:t>
      </w:r>
      <w:r w:rsidR="00C9011D" w:rsidRPr="009A6F69">
        <w:rPr>
          <w:lang w:val="en-GB"/>
        </w:rPr>
        <w:t>m</w:t>
      </w:r>
      <w:r w:rsidR="00BE29BF" w:rsidRPr="009A6F69">
        <w:rPr>
          <w:lang w:val="en-GB"/>
        </w:rPr>
        <w:t xml:space="preserve">alaria and </w:t>
      </w:r>
      <w:r w:rsidR="00C9011D" w:rsidRPr="009A6F69">
        <w:rPr>
          <w:lang w:val="en-GB"/>
        </w:rPr>
        <w:t>r</w:t>
      </w:r>
      <w:r w:rsidR="00BE29BF" w:rsidRPr="009A6F69">
        <w:rPr>
          <w:lang w:val="en-GB"/>
        </w:rPr>
        <w:t xml:space="preserve">eproductive </w:t>
      </w:r>
      <w:r w:rsidR="00C9011D" w:rsidRPr="009A6F69">
        <w:rPr>
          <w:lang w:val="en-GB"/>
        </w:rPr>
        <w:t>h</w:t>
      </w:r>
      <w:r w:rsidR="00BE29BF" w:rsidRPr="009A6F69">
        <w:rPr>
          <w:lang w:val="en-GB"/>
        </w:rPr>
        <w:t xml:space="preserve">ealth. </w:t>
      </w:r>
    </w:p>
    <w:p w:rsidR="00E93CAB" w:rsidRPr="009A6F69" w:rsidRDefault="001542D1" w:rsidP="00745D85">
      <w:pPr>
        <w:keepNext/>
        <w:spacing w:after="0" w:line="240" w:lineRule="auto"/>
        <w:jc w:val="center"/>
        <w:rPr>
          <w:lang w:val="en-GB"/>
        </w:rPr>
      </w:pPr>
      <w:r w:rsidRPr="009A6F69">
        <w:rPr>
          <w:noProof/>
          <w:sz w:val="20"/>
          <w:szCs w:val="20"/>
        </w:rPr>
        <w:lastRenderedPageBreak/>
        <w:drawing>
          <wp:inline distT="0" distB="0" distL="0" distR="0">
            <wp:extent cx="4242871" cy="3086100"/>
            <wp:effectExtent l="0" t="0" r="24765"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F091E" w:rsidRPr="009A6F69" w:rsidRDefault="00E93CAB" w:rsidP="00745D85">
      <w:pPr>
        <w:pStyle w:val="Caption"/>
        <w:spacing w:after="0"/>
      </w:pPr>
      <w:r w:rsidRPr="009A6F69">
        <w:t xml:space="preserve">Figure </w:t>
      </w:r>
      <w:r w:rsidR="001B3B9E" w:rsidRPr="009A6F69">
        <w:fldChar w:fldCharType="begin"/>
      </w:r>
      <w:r w:rsidRPr="009A6F69">
        <w:instrText xml:space="preserve"> SEQ Figure \* ARABIC </w:instrText>
      </w:r>
      <w:r w:rsidR="001B3B9E" w:rsidRPr="009A6F69">
        <w:fldChar w:fldCharType="separate"/>
      </w:r>
      <w:r w:rsidR="008A34D7">
        <w:rPr>
          <w:noProof/>
        </w:rPr>
        <w:t>3</w:t>
      </w:r>
      <w:r w:rsidR="001B3B9E" w:rsidRPr="009A6F69">
        <w:fldChar w:fldCharType="end"/>
      </w:r>
      <w:r w:rsidRPr="009A6F69">
        <w:t xml:space="preserve">: THE </w:t>
      </w:r>
      <w:proofErr w:type="spellStart"/>
      <w:r w:rsidRPr="009A6F69">
        <w:t>on</w:t>
      </w:r>
      <w:proofErr w:type="spellEnd"/>
      <w:r w:rsidRPr="009A6F69">
        <w:t xml:space="preserve"> Priority Expenditure </w:t>
      </w:r>
      <w:proofErr w:type="gramStart"/>
      <w:r w:rsidRPr="009A6F69">
        <w:t xml:space="preserve">Areas </w:t>
      </w:r>
      <w:r w:rsidR="00E4058A" w:rsidRPr="009A6F69">
        <w:t>,</w:t>
      </w:r>
      <w:proofErr w:type="gramEnd"/>
      <w:r w:rsidR="00E4058A" w:rsidRPr="009A6F69">
        <w:t xml:space="preserve"> NHA 2009/10</w:t>
      </w:r>
    </w:p>
    <w:p w:rsidR="002A71C6" w:rsidRPr="009A6F69" w:rsidRDefault="002A71C6" w:rsidP="00EF6AD2">
      <w:pPr>
        <w:rPr>
          <w:lang w:val="en-GB"/>
        </w:rPr>
      </w:pPr>
    </w:p>
    <w:p w:rsidR="00A80C11" w:rsidRPr="009A6F69" w:rsidRDefault="000F091E" w:rsidP="00EF6AD2">
      <w:pPr>
        <w:rPr>
          <w:lang w:val="en-GB"/>
        </w:rPr>
      </w:pPr>
      <w:r w:rsidRPr="009A6F69">
        <w:rPr>
          <w:lang w:val="en-GB"/>
        </w:rPr>
        <w:t>Donors continue to finance the bulk of HIV/AIDS expenditures, although their contributions as a percentage of THE</w:t>
      </w:r>
      <w:r w:rsidRPr="009A6F69">
        <w:rPr>
          <w:vertAlign w:val="subscript"/>
          <w:lang w:val="en-GB"/>
        </w:rPr>
        <w:t>HIV</w:t>
      </w:r>
      <w:r w:rsidRPr="009A6F69">
        <w:rPr>
          <w:lang w:val="en-GB"/>
        </w:rPr>
        <w:t xml:space="preserve"> have declined from 70</w:t>
      </w:r>
      <w:r w:rsidR="00AF29E5" w:rsidRPr="009A6F69">
        <w:rPr>
          <w:lang w:val="en-GB"/>
        </w:rPr>
        <w:t>%</w:t>
      </w:r>
      <w:r w:rsidRPr="009A6F69">
        <w:rPr>
          <w:lang w:val="en-GB"/>
        </w:rPr>
        <w:t xml:space="preserve"> in 2005/06 to 51</w:t>
      </w:r>
      <w:r w:rsidR="00AF29E5" w:rsidRPr="009A6F69">
        <w:rPr>
          <w:lang w:val="en-GB"/>
        </w:rPr>
        <w:t>%</w:t>
      </w:r>
      <w:r w:rsidRPr="009A6F69">
        <w:rPr>
          <w:lang w:val="en-GB"/>
        </w:rPr>
        <w:t xml:space="preserve"> in 2009/10. The government’s contribution to HIV/AIDS expenditures has increased from 7</w:t>
      </w:r>
      <w:r w:rsidR="00AF29E5" w:rsidRPr="009A6F69">
        <w:rPr>
          <w:lang w:val="en-GB"/>
        </w:rPr>
        <w:t>%</w:t>
      </w:r>
      <w:r w:rsidRPr="009A6F69">
        <w:rPr>
          <w:lang w:val="en-GB"/>
        </w:rPr>
        <w:t xml:space="preserve"> of THE in 2005/06 to 21</w:t>
      </w:r>
      <w:r w:rsidR="00AF29E5" w:rsidRPr="009A6F69">
        <w:rPr>
          <w:lang w:val="en-GB"/>
        </w:rPr>
        <w:t>%</w:t>
      </w:r>
      <w:r w:rsidRPr="009A6F69">
        <w:rPr>
          <w:lang w:val="en-GB"/>
        </w:rPr>
        <w:t xml:space="preserve"> in 2009/10, due largely to increased expenditures in level 4-6 facilities, which were apportioned to obtain un-earmarked funding to HIV/AIDS</w:t>
      </w:r>
      <w:r w:rsidR="001B3B9E" w:rsidRPr="009A6F69">
        <w:rPr>
          <w:lang w:val="en-GB"/>
        </w:rPr>
        <w:fldChar w:fldCharType="begin" w:fldLock="1"/>
      </w:r>
      <w:r w:rsidR="004F4010">
        <w:rPr>
          <w:lang w:val="en-GB"/>
        </w:rPr>
        <w:instrText>ADDIN CSL_CITATION { "citationItems" : [ { "id" : "ITEM-1", "itemData" : { "author" : [ { "dropping-particle" : "", "family" : "Ministry of Medical Services &amp; Ministry of Public Health and Sanitation", "given" : "", "non-dropping-particle" : "", "parse-names" : false, "suffix" : "" } ], "container-title" : "Health (San Francisco)", "id" : "ITEM-1", "issued" : { "date-parts" : [ [ "2010" ] ] }, "page" : "80", "publisher-place" : "Nairobi", "title" : "NATIONAL HEALTH ACCOUNTS 2009/10", "type" : "report" }, "uris" : [ "http://www.mendeley.com/documents/?uuid=fc0fd0b4-5266-417b-87e3-3a723074bd8b" ] } ], "mendeley" : { "previouslyFormattedCitation" : "(Ministry of Medical Services &amp; Ministry of Public Health and Sanitation, 2010)" }, "properties" : { "noteIndex" : 0 }, "schema" : "https://github.com/citation-style-language/schema/raw/master/csl-citation.json" }</w:instrText>
      </w:r>
      <w:r w:rsidR="001B3B9E" w:rsidRPr="009A6F69">
        <w:rPr>
          <w:lang w:val="en-GB"/>
        </w:rPr>
        <w:fldChar w:fldCharType="separate"/>
      </w:r>
      <w:r w:rsidR="008B1A78" w:rsidRPr="009A6F69">
        <w:rPr>
          <w:noProof/>
          <w:lang w:val="en-GB"/>
        </w:rPr>
        <w:t>(Ministry of Medical Services &amp; Ministry of Public Health and Sanitation, 2010)</w:t>
      </w:r>
      <w:r w:rsidR="001B3B9E" w:rsidRPr="009A6F69">
        <w:rPr>
          <w:lang w:val="en-GB"/>
        </w:rPr>
        <w:fldChar w:fldCharType="end"/>
      </w:r>
      <w:r w:rsidRPr="009A6F69">
        <w:rPr>
          <w:lang w:val="en-GB"/>
        </w:rPr>
        <w:t>.</w:t>
      </w:r>
    </w:p>
    <w:p w:rsidR="00752F95" w:rsidRPr="009A6F69" w:rsidRDefault="00097C49" w:rsidP="00450D79">
      <w:pPr>
        <w:rPr>
          <w:lang w:val="en-GB"/>
        </w:rPr>
      </w:pPr>
      <w:r w:rsidRPr="009A6F69">
        <w:rPr>
          <w:lang w:val="en-GB"/>
        </w:rPr>
        <w:t>At facility level, about 95% of the facility in-charges and departmental heads, and 90% of the health providers reported their facilities being engaged in generating income (facility improvement funds) through levying charges for various services including consultation, registration, drugs and many other services provided at the facility. Amounts charged vary by type of service provided and health facility,</w:t>
      </w:r>
      <w:r w:rsidR="001B3B9E" w:rsidRPr="009A6F69">
        <w:rPr>
          <w:lang w:val="en-GB"/>
        </w:rPr>
        <w:fldChar w:fldCharType="begin" w:fldLock="1"/>
      </w:r>
      <w:r w:rsidR="004F4010">
        <w:rPr>
          <w:lang w:val="en-GB"/>
        </w:rPr>
        <w:instrText>ADDIN CSL_CITATION { "citationItems" : [ { "id" : "ITEM-1", "itemData" : { "author" : [ { "dropping-particle" : "", "family" : "Transparency International-Kenya", "given" : "", "non-dropping-particle" : "", "parse-names" : false, "suffix" : "" } ], "id" : "ITEM-1", "issued" : { "date-parts" : [ [ "2011" ] ] }, "publisher-place" : "Nairobi", "title" : "The Kenya Health Sector Integrity Study Report", "type" : "report" }, "uris" : [ "http://www.mendeley.com/documents/?uuid=bbd11863-edaf-421e-b540-5ae968ce019e" ] } ], "mendeley" : { "previouslyFormattedCitation" : "(Transparency International-Kenya, 2011)" }, "properties" : { "noteIndex" : 0 }, "schema" : "https://github.com/citation-style-language/schema/raw/master/csl-citation.json" }</w:instrText>
      </w:r>
      <w:r w:rsidR="001B3B9E" w:rsidRPr="009A6F69">
        <w:rPr>
          <w:lang w:val="en-GB"/>
        </w:rPr>
        <w:fldChar w:fldCharType="separate"/>
      </w:r>
      <w:r w:rsidR="00484F80" w:rsidRPr="009A6F69">
        <w:rPr>
          <w:noProof/>
          <w:lang w:val="en-GB"/>
        </w:rPr>
        <w:t>(Transparency International-Kenya, 2011)</w:t>
      </w:r>
      <w:r w:rsidR="001B3B9E" w:rsidRPr="009A6F69">
        <w:rPr>
          <w:lang w:val="en-GB"/>
        </w:rPr>
        <w:fldChar w:fldCharType="end"/>
      </w:r>
      <w:r w:rsidRPr="009A6F69">
        <w:rPr>
          <w:lang w:val="en-GB"/>
        </w:rPr>
        <w:t>.</w:t>
      </w:r>
      <w:r w:rsidR="006B3BB3" w:rsidRPr="009A6F69">
        <w:rPr>
          <w:lang w:val="en-GB"/>
        </w:rPr>
        <w:t xml:space="preserve"> </w:t>
      </w:r>
    </w:p>
    <w:p w:rsidR="00043F3B" w:rsidRPr="009A6F69" w:rsidRDefault="00866B60" w:rsidP="00450D79">
      <w:pPr>
        <w:rPr>
          <w:lang w:val="en-GB"/>
        </w:rPr>
      </w:pPr>
      <w:r w:rsidRPr="009A6F69">
        <w:rPr>
          <w:rFonts w:cs="Times"/>
          <w:color w:val="141413"/>
          <w:lang w:val="en-GB"/>
        </w:rPr>
        <w:t xml:space="preserve">Equity of access to health services of all types is </w:t>
      </w:r>
      <w:proofErr w:type="gramStart"/>
      <w:r w:rsidRPr="009A6F69">
        <w:rPr>
          <w:rFonts w:cs="Times"/>
          <w:color w:val="141413"/>
          <w:lang w:val="en-GB"/>
        </w:rPr>
        <w:t>key</w:t>
      </w:r>
      <w:proofErr w:type="gramEnd"/>
      <w:r w:rsidRPr="009A6F69">
        <w:rPr>
          <w:rFonts w:cs="Times"/>
          <w:color w:val="141413"/>
          <w:lang w:val="en-GB"/>
        </w:rPr>
        <w:t xml:space="preserve"> to universal coverage policy. An important challenge therefore is to shift away from out-of-pocket payments through the development of pre-payment schemes</w:t>
      </w:r>
      <w:r w:rsidR="002B4B79" w:rsidRPr="009A6F69">
        <w:rPr>
          <w:rFonts w:cs="Times"/>
          <w:color w:val="141413"/>
          <w:lang w:val="en-GB"/>
        </w:rPr>
        <w:t>,</w:t>
      </w:r>
      <w:r w:rsidR="001B3B9E" w:rsidRPr="009A6F69">
        <w:rPr>
          <w:rFonts w:cs="Times"/>
          <w:color w:val="141413"/>
          <w:lang w:val="en-GB"/>
        </w:rPr>
        <w:fldChar w:fldCharType="begin" w:fldLock="1"/>
      </w:r>
      <w:r w:rsidR="004F4010">
        <w:rPr>
          <w:rFonts w:cs="Times"/>
          <w:color w:val="141413"/>
          <w:lang w:val="en-GB"/>
        </w:rPr>
        <w:instrText>ADDIN CSL_CITATION { "citationItems" : [ { "id" : "ITEM-1", "itemData" : { "DOI" : "10.2471/BLT.08.060137", "author" : [ { "dropping-particle" : "", "family" : "Carrin", "given" : "Guy", "non-dropping-particle" : "", "parse-names" : false, "suffix" : "" }, { "dropping-particle" : "", "family" : "Xu", "given" : "Ke", "non-dropping-particle" : "", "parse-names" : false, "suffix" : "" }, { "dropping-particle" : "", "family" : "Evans", "given" : "David B", "non-dropping-particle" : "", "parse-names" : false, "suffix" : "" } ], "container-title" : "Bulletin of the World Health Organization", "id" : "ITEM-1", "issue" : "November", "issued" : { "date-parts" : [ [ "2008" ] ] }, "page" : "60137-60137", "title" : "Editorials Exploring the features of universal coverage", "type" : "article-journal", "volume" : "86" }, "uris" : [ "http://www.mendeley.com/documents/?uuid=4cbf729b-e8d0-489c-82bd-67ce1a185211" ] } ], "mendeley" : { "previouslyFormattedCitation" : "(Carrin, Xu, &amp; Evans, 2008)" }, "properties" : { "noteIndex" : 0 }, "schema" : "https://github.com/citation-style-language/schema/raw/master/csl-citation.json" }</w:instrText>
      </w:r>
      <w:r w:rsidR="001B3B9E" w:rsidRPr="009A6F69">
        <w:rPr>
          <w:rFonts w:cs="Times"/>
          <w:color w:val="141413"/>
          <w:lang w:val="en-GB"/>
        </w:rPr>
        <w:fldChar w:fldCharType="separate"/>
      </w:r>
      <w:r w:rsidR="00A8698C" w:rsidRPr="009A6F69">
        <w:rPr>
          <w:rFonts w:cs="Times"/>
          <w:noProof/>
          <w:color w:val="141413"/>
          <w:lang w:val="en-GB"/>
        </w:rPr>
        <w:t>(</w:t>
      </w:r>
      <w:proofErr w:type="spellStart"/>
      <w:r w:rsidR="00A8698C" w:rsidRPr="009A6F69">
        <w:rPr>
          <w:rFonts w:cs="Times"/>
          <w:noProof/>
          <w:color w:val="141413"/>
          <w:lang w:val="en-GB"/>
        </w:rPr>
        <w:t>Carrin</w:t>
      </w:r>
      <w:proofErr w:type="spellEnd"/>
      <w:r w:rsidR="00A8698C" w:rsidRPr="009A6F69">
        <w:rPr>
          <w:rFonts w:cs="Times"/>
          <w:noProof/>
          <w:color w:val="141413"/>
          <w:lang w:val="en-GB"/>
        </w:rPr>
        <w:t>, Xu, &amp; Evans, 2008)</w:t>
      </w:r>
      <w:r w:rsidR="001B3B9E" w:rsidRPr="009A6F69">
        <w:rPr>
          <w:rFonts w:cs="Times"/>
          <w:color w:val="141413"/>
          <w:lang w:val="en-GB"/>
        </w:rPr>
        <w:fldChar w:fldCharType="end"/>
      </w:r>
      <w:r w:rsidRPr="009A6F69">
        <w:rPr>
          <w:rFonts w:cs="Times"/>
          <w:color w:val="141413"/>
          <w:lang w:val="en-GB"/>
        </w:rPr>
        <w:t xml:space="preserve">. </w:t>
      </w:r>
      <w:r w:rsidR="007248B6" w:rsidRPr="009A6F69">
        <w:rPr>
          <w:lang w:val="en-GB"/>
        </w:rPr>
        <w:t>Only a</w:t>
      </w:r>
      <w:r w:rsidR="00043F3B" w:rsidRPr="009A6F69">
        <w:rPr>
          <w:lang w:val="en-GB"/>
        </w:rPr>
        <w:t xml:space="preserve">bout 12% of </w:t>
      </w:r>
      <w:r w:rsidR="00A85DC9" w:rsidRPr="009A6F69">
        <w:rPr>
          <w:lang w:val="en-GB"/>
        </w:rPr>
        <w:t>total health expenditure (THE</w:t>
      </w:r>
      <w:r w:rsidR="002F2C0B" w:rsidRPr="009A6F69">
        <w:rPr>
          <w:lang w:val="en-GB"/>
        </w:rPr>
        <w:t>) is</w:t>
      </w:r>
      <w:r w:rsidR="00043F3B" w:rsidRPr="009A6F69">
        <w:rPr>
          <w:lang w:val="en-GB"/>
        </w:rPr>
        <w:t xml:space="preserve"> pooled</w:t>
      </w:r>
      <w:r w:rsidR="007248B6" w:rsidRPr="009A6F69">
        <w:rPr>
          <w:lang w:val="en-GB"/>
        </w:rPr>
        <w:t xml:space="preserve">, </w:t>
      </w:r>
      <w:r w:rsidR="00456D1C" w:rsidRPr="009A6F69">
        <w:rPr>
          <w:lang w:val="en-GB"/>
        </w:rPr>
        <w:t xml:space="preserve">divided between the national </w:t>
      </w:r>
      <w:r w:rsidR="00456D1C" w:rsidRPr="009A6F69">
        <w:rPr>
          <w:lang w:val="en-GB"/>
        </w:rPr>
        <w:lastRenderedPageBreak/>
        <w:t xml:space="preserve">hospital insurance fund (NHIF), private insurance companies and </w:t>
      </w:r>
      <w:proofErr w:type="spellStart"/>
      <w:r w:rsidR="00456D1C" w:rsidRPr="009A6F69">
        <w:rPr>
          <w:lang w:val="en-GB"/>
        </w:rPr>
        <w:t>parastatals</w:t>
      </w:r>
      <w:proofErr w:type="spellEnd"/>
      <w:r w:rsidR="0029286B" w:rsidRPr="009A6F69">
        <w:rPr>
          <w:lang w:val="en-GB"/>
        </w:rPr>
        <w:t>, (</w:t>
      </w:r>
      <w:r w:rsidR="001B3B9E" w:rsidRPr="009A6F69">
        <w:rPr>
          <w:lang w:val="en-GB"/>
        </w:rPr>
        <w:fldChar w:fldCharType="begin"/>
      </w:r>
      <w:r w:rsidR="0029286B" w:rsidRPr="009A6F69">
        <w:rPr>
          <w:lang w:val="en-GB"/>
        </w:rPr>
        <w:instrText xml:space="preserve"> REF _Ref242536601 \h </w:instrText>
      </w:r>
      <w:r w:rsidR="001B3B9E" w:rsidRPr="009A6F69">
        <w:rPr>
          <w:lang w:val="en-GB"/>
        </w:rPr>
      </w:r>
      <w:r w:rsidR="001B3B9E" w:rsidRPr="009A6F69">
        <w:rPr>
          <w:lang w:val="en-GB"/>
        </w:rPr>
        <w:fldChar w:fldCharType="separate"/>
      </w:r>
      <w:r w:rsidR="008A34D7" w:rsidRPr="009A6F69">
        <w:t xml:space="preserve">Table </w:t>
      </w:r>
      <w:r w:rsidR="008A34D7">
        <w:rPr>
          <w:noProof/>
        </w:rPr>
        <w:t>7</w:t>
      </w:r>
      <w:r w:rsidR="001B3B9E" w:rsidRPr="009A6F69">
        <w:rPr>
          <w:lang w:val="en-GB"/>
        </w:rPr>
        <w:fldChar w:fldCharType="end"/>
      </w:r>
      <w:r w:rsidR="0029286B" w:rsidRPr="009A6F69">
        <w:rPr>
          <w:lang w:val="en-GB"/>
        </w:rPr>
        <w:t>)</w:t>
      </w:r>
      <w:r w:rsidR="00456D1C" w:rsidRPr="009A6F69">
        <w:rPr>
          <w:lang w:val="en-GB"/>
        </w:rPr>
        <w:t xml:space="preserve">. </w:t>
      </w:r>
    </w:p>
    <w:p w:rsidR="00CB004F" w:rsidRPr="009A6F69" w:rsidRDefault="00CB004F" w:rsidP="00A1775F">
      <w:pPr>
        <w:pStyle w:val="Caption"/>
        <w:spacing w:after="0"/>
      </w:pPr>
      <w:bookmarkStart w:id="24" w:name="_Ref242536601"/>
      <w:r w:rsidRPr="009A6F69">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7</w:t>
      </w:r>
      <w:r w:rsidR="001B3B9E" w:rsidRPr="009A6F69">
        <w:fldChar w:fldCharType="end"/>
      </w:r>
      <w:bookmarkEnd w:id="24"/>
      <w:r w:rsidRPr="009A6F69">
        <w:t>: Pooled Funds by Agent 2001/02 – 2009/10</w:t>
      </w:r>
    </w:p>
    <w:tbl>
      <w:tblPr>
        <w:tblW w:w="5000" w:type="pct"/>
        <w:tblLook w:val="04A0"/>
      </w:tblPr>
      <w:tblGrid>
        <w:gridCol w:w="2145"/>
        <w:gridCol w:w="2237"/>
        <w:gridCol w:w="2237"/>
        <w:gridCol w:w="2237"/>
      </w:tblGrid>
      <w:tr w:rsidR="00043F3B" w:rsidRPr="009A6F69" w:rsidTr="00CB004F">
        <w:tc>
          <w:tcPr>
            <w:tcW w:w="1211" w:type="pct"/>
          </w:tcPr>
          <w:p w:rsidR="00043F3B" w:rsidRPr="009A6F69" w:rsidRDefault="00043F3B" w:rsidP="005D1856">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Agent</w:t>
            </w:r>
          </w:p>
        </w:tc>
        <w:tc>
          <w:tcPr>
            <w:tcW w:w="1263" w:type="pct"/>
          </w:tcPr>
          <w:p w:rsidR="00043F3B" w:rsidRPr="009A6F69" w:rsidRDefault="00043F3B" w:rsidP="005D1856">
            <w:pPr>
              <w:spacing w:after="0" w:line="240" w:lineRule="auto"/>
              <w:jc w:val="center"/>
              <w:rPr>
                <w:rFonts w:ascii="Times New Roman" w:hAnsi="Times New Roman" w:cs="Times New Roman"/>
                <w:b/>
                <w:sz w:val="20"/>
                <w:szCs w:val="20"/>
                <w:lang w:val="en-GB"/>
              </w:rPr>
            </w:pPr>
            <w:r w:rsidRPr="009A6F69">
              <w:rPr>
                <w:rFonts w:ascii="Times New Roman" w:hAnsi="Times New Roman" w:cs="Times New Roman"/>
                <w:b/>
                <w:sz w:val="20"/>
                <w:szCs w:val="20"/>
                <w:lang w:val="en-GB"/>
              </w:rPr>
              <w:t>2001/02</w:t>
            </w:r>
          </w:p>
        </w:tc>
        <w:tc>
          <w:tcPr>
            <w:tcW w:w="1263" w:type="pct"/>
          </w:tcPr>
          <w:p w:rsidR="00043F3B" w:rsidRPr="009A6F69" w:rsidRDefault="00043F3B" w:rsidP="005D1856">
            <w:pPr>
              <w:spacing w:after="0" w:line="240" w:lineRule="auto"/>
              <w:jc w:val="center"/>
              <w:rPr>
                <w:rFonts w:ascii="Times New Roman" w:hAnsi="Times New Roman" w:cs="Times New Roman"/>
                <w:b/>
                <w:sz w:val="20"/>
                <w:szCs w:val="20"/>
                <w:lang w:val="en-GB"/>
              </w:rPr>
            </w:pPr>
            <w:r w:rsidRPr="009A6F69">
              <w:rPr>
                <w:rFonts w:ascii="Times New Roman" w:hAnsi="Times New Roman" w:cs="Times New Roman"/>
                <w:b/>
                <w:sz w:val="20"/>
                <w:szCs w:val="20"/>
                <w:lang w:val="en-GB"/>
              </w:rPr>
              <w:t>2005/06</w:t>
            </w:r>
          </w:p>
        </w:tc>
        <w:tc>
          <w:tcPr>
            <w:tcW w:w="1263" w:type="pct"/>
          </w:tcPr>
          <w:p w:rsidR="00043F3B" w:rsidRPr="009A6F69" w:rsidRDefault="00043F3B" w:rsidP="005D1856">
            <w:pPr>
              <w:spacing w:after="0" w:line="240" w:lineRule="auto"/>
              <w:jc w:val="center"/>
              <w:rPr>
                <w:rFonts w:ascii="Times New Roman" w:hAnsi="Times New Roman" w:cs="Times New Roman"/>
                <w:b/>
                <w:sz w:val="20"/>
                <w:szCs w:val="20"/>
                <w:lang w:val="en-GB"/>
              </w:rPr>
            </w:pPr>
            <w:r w:rsidRPr="009A6F69">
              <w:rPr>
                <w:rFonts w:ascii="Times New Roman" w:hAnsi="Times New Roman" w:cs="Times New Roman"/>
                <w:b/>
                <w:sz w:val="20"/>
                <w:szCs w:val="20"/>
                <w:lang w:val="en-GB"/>
              </w:rPr>
              <w:t>2009/10</w:t>
            </w:r>
          </w:p>
        </w:tc>
      </w:tr>
      <w:tr w:rsidR="00043F3B" w:rsidRPr="009A6F69" w:rsidTr="00CB004F">
        <w:tc>
          <w:tcPr>
            <w:tcW w:w="1211" w:type="pct"/>
          </w:tcPr>
          <w:p w:rsidR="00043F3B" w:rsidRPr="009A6F69" w:rsidRDefault="00043F3B" w:rsidP="0057307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Private Insurance</w:t>
            </w:r>
          </w:p>
        </w:tc>
        <w:tc>
          <w:tcPr>
            <w:tcW w:w="1263" w:type="pct"/>
          </w:tcPr>
          <w:p w:rsidR="00043F3B" w:rsidRPr="009A6F69" w:rsidRDefault="00043F3B" w:rsidP="0057307E">
            <w:pPr>
              <w:spacing w:line="240" w:lineRule="auto"/>
              <w:jc w:val="center"/>
              <w:rPr>
                <w:rFonts w:ascii="Times New Roman" w:hAnsi="Times New Roman" w:cs="Times New Roman"/>
                <w:sz w:val="20"/>
                <w:szCs w:val="20"/>
                <w:lang w:val="en-GB"/>
              </w:rPr>
            </w:pPr>
            <w:r w:rsidRPr="009A6F69">
              <w:rPr>
                <w:rFonts w:ascii="Times New Roman" w:hAnsi="Times New Roman" w:cs="Times New Roman"/>
                <w:sz w:val="20"/>
                <w:szCs w:val="20"/>
                <w:lang w:val="en-GB"/>
              </w:rPr>
              <w:t>3.8</w:t>
            </w:r>
          </w:p>
        </w:tc>
        <w:tc>
          <w:tcPr>
            <w:tcW w:w="1263" w:type="pct"/>
          </w:tcPr>
          <w:p w:rsidR="00043F3B" w:rsidRPr="009A6F69" w:rsidRDefault="00043F3B" w:rsidP="0057307E">
            <w:pPr>
              <w:spacing w:line="240" w:lineRule="auto"/>
              <w:jc w:val="center"/>
              <w:rPr>
                <w:rFonts w:ascii="Times New Roman" w:hAnsi="Times New Roman" w:cs="Times New Roman"/>
                <w:sz w:val="20"/>
                <w:szCs w:val="20"/>
                <w:lang w:val="en-GB"/>
              </w:rPr>
            </w:pPr>
            <w:r w:rsidRPr="009A6F69">
              <w:rPr>
                <w:rFonts w:ascii="Times New Roman" w:hAnsi="Times New Roman" w:cs="Times New Roman"/>
                <w:sz w:val="20"/>
                <w:szCs w:val="20"/>
                <w:lang w:val="en-GB"/>
              </w:rPr>
              <w:t>5.4</w:t>
            </w:r>
          </w:p>
        </w:tc>
        <w:tc>
          <w:tcPr>
            <w:tcW w:w="1263" w:type="pct"/>
          </w:tcPr>
          <w:p w:rsidR="00043F3B" w:rsidRPr="009A6F69" w:rsidRDefault="00043F3B" w:rsidP="0057307E">
            <w:pPr>
              <w:spacing w:line="240" w:lineRule="auto"/>
              <w:jc w:val="center"/>
              <w:rPr>
                <w:rFonts w:ascii="Times New Roman" w:hAnsi="Times New Roman" w:cs="Times New Roman"/>
                <w:sz w:val="20"/>
                <w:szCs w:val="20"/>
                <w:lang w:val="en-GB"/>
              </w:rPr>
            </w:pPr>
            <w:r w:rsidRPr="009A6F69">
              <w:rPr>
                <w:rFonts w:ascii="Times New Roman" w:hAnsi="Times New Roman" w:cs="Times New Roman"/>
                <w:sz w:val="20"/>
                <w:szCs w:val="20"/>
                <w:lang w:val="en-GB"/>
              </w:rPr>
              <w:t>6.7</w:t>
            </w:r>
          </w:p>
        </w:tc>
      </w:tr>
      <w:tr w:rsidR="00043F3B" w:rsidRPr="009A6F69" w:rsidTr="00CB004F">
        <w:tc>
          <w:tcPr>
            <w:tcW w:w="1211" w:type="pct"/>
          </w:tcPr>
          <w:p w:rsidR="00043F3B" w:rsidRPr="009A6F69" w:rsidRDefault="00043F3B" w:rsidP="0057307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NHIF</w:t>
            </w:r>
          </w:p>
        </w:tc>
        <w:tc>
          <w:tcPr>
            <w:tcW w:w="1263" w:type="pct"/>
          </w:tcPr>
          <w:p w:rsidR="00043F3B" w:rsidRPr="009A6F69" w:rsidRDefault="00043F3B" w:rsidP="0057307E">
            <w:pPr>
              <w:spacing w:line="240" w:lineRule="auto"/>
              <w:jc w:val="center"/>
              <w:rPr>
                <w:rFonts w:ascii="Times New Roman" w:hAnsi="Times New Roman" w:cs="Times New Roman"/>
                <w:sz w:val="20"/>
                <w:szCs w:val="20"/>
                <w:lang w:val="en-GB"/>
              </w:rPr>
            </w:pPr>
            <w:r w:rsidRPr="009A6F69">
              <w:rPr>
                <w:rFonts w:ascii="Times New Roman" w:hAnsi="Times New Roman" w:cs="Times New Roman"/>
                <w:sz w:val="20"/>
                <w:szCs w:val="20"/>
                <w:lang w:val="en-GB"/>
              </w:rPr>
              <w:t>3.9</w:t>
            </w:r>
          </w:p>
        </w:tc>
        <w:tc>
          <w:tcPr>
            <w:tcW w:w="1263" w:type="pct"/>
          </w:tcPr>
          <w:p w:rsidR="00043F3B" w:rsidRPr="009A6F69" w:rsidRDefault="00043F3B" w:rsidP="0057307E">
            <w:pPr>
              <w:spacing w:line="240" w:lineRule="auto"/>
              <w:jc w:val="center"/>
              <w:rPr>
                <w:rFonts w:ascii="Times New Roman" w:hAnsi="Times New Roman" w:cs="Times New Roman"/>
                <w:sz w:val="20"/>
                <w:szCs w:val="20"/>
                <w:lang w:val="en-GB"/>
              </w:rPr>
            </w:pPr>
            <w:r w:rsidRPr="009A6F69">
              <w:rPr>
                <w:rFonts w:ascii="Times New Roman" w:hAnsi="Times New Roman" w:cs="Times New Roman"/>
                <w:sz w:val="20"/>
                <w:szCs w:val="20"/>
                <w:lang w:val="en-GB"/>
              </w:rPr>
              <w:t>3.7</w:t>
            </w:r>
          </w:p>
        </w:tc>
        <w:tc>
          <w:tcPr>
            <w:tcW w:w="1263" w:type="pct"/>
          </w:tcPr>
          <w:p w:rsidR="00043F3B" w:rsidRPr="009A6F69" w:rsidRDefault="00043F3B" w:rsidP="0057307E">
            <w:pPr>
              <w:spacing w:line="240" w:lineRule="auto"/>
              <w:jc w:val="center"/>
              <w:rPr>
                <w:rFonts w:ascii="Times New Roman" w:hAnsi="Times New Roman" w:cs="Times New Roman"/>
                <w:sz w:val="20"/>
                <w:szCs w:val="20"/>
                <w:lang w:val="en-GB"/>
              </w:rPr>
            </w:pPr>
            <w:r w:rsidRPr="009A6F69">
              <w:rPr>
                <w:rFonts w:ascii="Times New Roman" w:hAnsi="Times New Roman" w:cs="Times New Roman"/>
                <w:sz w:val="20"/>
                <w:szCs w:val="20"/>
                <w:lang w:val="en-GB"/>
              </w:rPr>
              <w:t>4.7</w:t>
            </w:r>
          </w:p>
        </w:tc>
      </w:tr>
      <w:tr w:rsidR="00043F3B" w:rsidRPr="009A6F69" w:rsidTr="00CB004F">
        <w:tc>
          <w:tcPr>
            <w:tcW w:w="1211" w:type="pct"/>
          </w:tcPr>
          <w:p w:rsidR="00043F3B" w:rsidRPr="009A6F69" w:rsidRDefault="00043F3B" w:rsidP="0057307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Parastatals</w:t>
            </w:r>
          </w:p>
        </w:tc>
        <w:tc>
          <w:tcPr>
            <w:tcW w:w="1263" w:type="pct"/>
          </w:tcPr>
          <w:p w:rsidR="00043F3B" w:rsidRPr="009A6F69" w:rsidRDefault="00043F3B" w:rsidP="0057307E">
            <w:pPr>
              <w:spacing w:line="240" w:lineRule="auto"/>
              <w:jc w:val="center"/>
              <w:rPr>
                <w:rFonts w:ascii="Times New Roman" w:hAnsi="Times New Roman" w:cs="Times New Roman"/>
                <w:sz w:val="20"/>
                <w:szCs w:val="20"/>
                <w:lang w:val="en-GB"/>
              </w:rPr>
            </w:pPr>
            <w:r w:rsidRPr="009A6F69">
              <w:rPr>
                <w:rFonts w:ascii="Times New Roman" w:hAnsi="Times New Roman" w:cs="Times New Roman"/>
                <w:sz w:val="20"/>
                <w:szCs w:val="20"/>
                <w:lang w:val="en-GB"/>
              </w:rPr>
              <w:t>2.8</w:t>
            </w:r>
          </w:p>
        </w:tc>
        <w:tc>
          <w:tcPr>
            <w:tcW w:w="1263" w:type="pct"/>
          </w:tcPr>
          <w:p w:rsidR="00043F3B" w:rsidRPr="009A6F69" w:rsidRDefault="00043F3B" w:rsidP="0057307E">
            <w:pPr>
              <w:spacing w:line="240" w:lineRule="auto"/>
              <w:jc w:val="center"/>
              <w:rPr>
                <w:rFonts w:ascii="Times New Roman" w:hAnsi="Times New Roman" w:cs="Times New Roman"/>
                <w:sz w:val="20"/>
                <w:szCs w:val="20"/>
                <w:lang w:val="en-GB"/>
              </w:rPr>
            </w:pPr>
            <w:r w:rsidRPr="009A6F69">
              <w:rPr>
                <w:rFonts w:ascii="Times New Roman" w:hAnsi="Times New Roman" w:cs="Times New Roman"/>
                <w:sz w:val="20"/>
                <w:szCs w:val="20"/>
                <w:lang w:val="en-GB"/>
              </w:rPr>
              <w:t>1.3</w:t>
            </w:r>
          </w:p>
        </w:tc>
        <w:tc>
          <w:tcPr>
            <w:tcW w:w="1263" w:type="pct"/>
          </w:tcPr>
          <w:p w:rsidR="00043F3B" w:rsidRPr="009A6F69" w:rsidRDefault="00043F3B" w:rsidP="0057307E">
            <w:pPr>
              <w:spacing w:line="240" w:lineRule="auto"/>
              <w:jc w:val="center"/>
              <w:rPr>
                <w:rFonts w:ascii="Times New Roman" w:hAnsi="Times New Roman" w:cs="Times New Roman"/>
                <w:sz w:val="20"/>
                <w:szCs w:val="20"/>
                <w:lang w:val="en-GB"/>
              </w:rPr>
            </w:pPr>
            <w:r w:rsidRPr="009A6F69">
              <w:rPr>
                <w:rFonts w:ascii="Times New Roman" w:hAnsi="Times New Roman" w:cs="Times New Roman"/>
                <w:sz w:val="20"/>
                <w:szCs w:val="20"/>
                <w:lang w:val="en-GB"/>
              </w:rPr>
              <w:t>2.4</w:t>
            </w:r>
          </w:p>
        </w:tc>
      </w:tr>
    </w:tbl>
    <w:p w:rsidR="00043F3B" w:rsidRPr="009A6F69" w:rsidRDefault="00043F3B" w:rsidP="00450D79">
      <w:pPr>
        <w:rPr>
          <w:lang w:val="en-GB"/>
        </w:rPr>
      </w:pPr>
    </w:p>
    <w:p w:rsidR="00FA799F" w:rsidRPr="009A6F69" w:rsidRDefault="00803833" w:rsidP="00450D79">
      <w:pPr>
        <w:rPr>
          <w:lang w:val="en-GB"/>
        </w:rPr>
      </w:pPr>
      <w:r w:rsidRPr="009A6F69">
        <w:rPr>
          <w:lang w:val="en-GB"/>
        </w:rPr>
        <w:t xml:space="preserve">The estimated population coverage of insurance in 2010 is about 7.77 million (20% of population). </w:t>
      </w:r>
      <w:r w:rsidR="00FF1546" w:rsidRPr="009A6F69">
        <w:rPr>
          <w:lang w:val="en-GB"/>
        </w:rPr>
        <w:t xml:space="preserve">Established in 1966, </w:t>
      </w:r>
      <w:r w:rsidR="009F46A9" w:rsidRPr="009A6F69">
        <w:rPr>
          <w:lang w:val="en-GB"/>
        </w:rPr>
        <w:t xml:space="preserve">NHIF’s core mandate was to provide medical insurance cover (hospitalisation cover) to all its members and their declared dependants (spouse and children). The NHIF membership is open to all Kenyans who have attained the age of 18 years and have a monthly income of more than </w:t>
      </w:r>
      <w:proofErr w:type="spellStart"/>
      <w:r w:rsidR="00574E44" w:rsidRPr="009A6F69">
        <w:rPr>
          <w:lang w:val="en-GB"/>
        </w:rPr>
        <w:t>Ksh</w:t>
      </w:r>
      <w:proofErr w:type="spellEnd"/>
      <w:r w:rsidR="009F46A9" w:rsidRPr="009A6F69">
        <w:rPr>
          <w:lang w:val="en-GB"/>
        </w:rPr>
        <w:t xml:space="preserve">. 1,000. </w:t>
      </w:r>
      <w:r w:rsidR="00FA799F" w:rsidRPr="009A6F69">
        <w:rPr>
          <w:lang w:val="en-GB"/>
        </w:rPr>
        <w:t>NHIF currently covers 2.8 million principal members for an estimated total of 6.6 million (including dependents); this accounts for 18% of Kenya’s population. The membership has been growing at an average o</w:t>
      </w:r>
      <w:r w:rsidR="00D1719F" w:rsidRPr="009A6F69">
        <w:rPr>
          <w:lang w:val="en-GB"/>
        </w:rPr>
        <w:t>f 13.5% per annum for the last few</w:t>
      </w:r>
      <w:r w:rsidR="00FA799F" w:rsidRPr="009A6F69">
        <w:rPr>
          <w:lang w:val="en-GB"/>
        </w:rPr>
        <w:t xml:space="preserve"> years</w:t>
      </w:r>
      <w:r w:rsidR="009B2FBE" w:rsidRPr="009A6F69">
        <w:rPr>
          <w:lang w:val="en-GB"/>
        </w:rPr>
        <w:t xml:space="preserve">. </w:t>
      </w:r>
      <w:r w:rsidR="00532DF8" w:rsidRPr="009A6F69">
        <w:rPr>
          <w:lang w:val="en-GB"/>
        </w:rPr>
        <w:t xml:space="preserve">The membership has grown fastest in the informal sector though it still accounts for only 19% of the total membership of the Fund (i.e. as at FY </w:t>
      </w:r>
      <w:r w:rsidR="009B2FBE" w:rsidRPr="009A6F69">
        <w:rPr>
          <w:lang w:val="en-GB"/>
        </w:rPr>
        <w:t>20</w:t>
      </w:r>
      <w:r w:rsidR="00532DF8" w:rsidRPr="009A6F69">
        <w:rPr>
          <w:lang w:val="en-GB"/>
        </w:rPr>
        <w:t xml:space="preserve">10, 523,000 informal sector members out of 2,800,000 total members). The year-on-year growth for informal sector members has averaged 38% in the last 5 years and 10% for formal sector members. </w:t>
      </w:r>
      <w:r w:rsidR="001E67D7" w:rsidRPr="009A6F69">
        <w:rPr>
          <w:lang w:val="en-GB"/>
        </w:rPr>
        <w:t>The</w:t>
      </w:r>
      <w:r w:rsidR="00532DF8" w:rsidRPr="009A6F69">
        <w:rPr>
          <w:lang w:val="en-GB"/>
        </w:rPr>
        <w:t xml:space="preserve"> informal sector which constituted 79.8% of total employment continued to form the bulk of total jobs created (433.5 thousand jobs).The formal sector’s compliance rate is estimated by </w:t>
      </w:r>
      <w:r w:rsidR="001E67D7" w:rsidRPr="009A6F69">
        <w:rPr>
          <w:lang w:val="en-GB"/>
        </w:rPr>
        <w:t>NHIF</w:t>
      </w:r>
      <w:r w:rsidR="00532DF8" w:rsidRPr="009A6F69">
        <w:rPr>
          <w:lang w:val="en-GB"/>
        </w:rPr>
        <w:t xml:space="preserve"> to be close to 100% and therefore any additional growth is likely </w:t>
      </w:r>
      <w:r w:rsidR="001E67D7" w:rsidRPr="009A6F69">
        <w:rPr>
          <w:lang w:val="en-GB"/>
        </w:rPr>
        <w:t>to be from the informal sector rather than the formal sector which in Kenya is stagnant with membership saturated and compliant</w:t>
      </w:r>
      <w:r w:rsidR="007868DD" w:rsidRPr="009A6F69">
        <w:rPr>
          <w:lang w:val="en-GB"/>
        </w:rPr>
        <w:t xml:space="preserve">. </w:t>
      </w:r>
      <w:r w:rsidR="00F01DB3" w:rsidRPr="009A6F69">
        <w:rPr>
          <w:lang w:val="en-GB"/>
        </w:rPr>
        <w:t>Further, NHIF faces a number of challenges with regard to the payment of claims. These include the lengthy process involved in confirming the eligibility of beneficiaries upon their admission to the hospital facilities and the lack of a clear process for confirming the identity of beneficiaries before making the payment</w:t>
      </w:r>
      <w:r w:rsidR="00237349"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"Ministry of State for Planning National Development and Vision 2030", "given" : "", "non-dropping-particle" : "", "parse-names" : false, "suffix" : "" } ], "id" : "ITEM-1", "issue" : "June", "issued" : { "date-parts" : [ [ "2012" ] ] }, "page" : "1-172", "publisher-place" : "Nairobi", "title" : "Kenya social protection sector review", "type" : "report" }, "uris" : [ "http://www.mendeley.com/documents/?uuid=d383fcc6-94b3-49d2-bf81-a13ea7b11a28" ] } ], "mendeley" : { "previouslyFormattedCitation" : "(Ministry of State for Planning National Development and Vision 2030, 2012)" }, "properties" : { "noteIndex" : 0 }, "schema" : "https://github.com/citation-style-language/schema/raw/master/csl-citation.json" }</w:instrText>
      </w:r>
      <w:r w:rsidR="001B3B9E" w:rsidRPr="009A6F69">
        <w:rPr>
          <w:lang w:val="en-GB"/>
        </w:rPr>
        <w:fldChar w:fldCharType="separate"/>
      </w:r>
      <w:r w:rsidR="008D3680" w:rsidRPr="009A6F69">
        <w:rPr>
          <w:noProof/>
          <w:lang w:val="en-GB"/>
        </w:rPr>
        <w:t xml:space="preserve">(Ministry of State for Planning National Development and Vision 2030, </w:t>
      </w:r>
      <w:r w:rsidR="008D3680" w:rsidRPr="009A6F69">
        <w:rPr>
          <w:noProof/>
          <w:lang w:val="en-GB"/>
        </w:rPr>
        <w:lastRenderedPageBreak/>
        <w:t>2012)</w:t>
      </w:r>
      <w:r w:rsidR="001B3B9E" w:rsidRPr="009A6F69">
        <w:rPr>
          <w:lang w:val="en-GB"/>
        </w:rPr>
        <w:fldChar w:fldCharType="end"/>
      </w:r>
      <w:r w:rsidR="00F01DB3" w:rsidRPr="009A6F69">
        <w:rPr>
          <w:lang w:val="en-GB"/>
        </w:rPr>
        <w:t xml:space="preserve">. </w:t>
      </w:r>
      <w:r w:rsidR="007868DD" w:rsidRPr="009A6F69">
        <w:rPr>
          <w:lang w:val="en-GB"/>
        </w:rPr>
        <w:t>Under its current mandate NHIF is not a universal insurer,</w:t>
      </w:r>
      <w:r w:rsidR="001E67D7" w:rsidRPr="009A6F69">
        <w:rPr>
          <w:lang w:val="en-GB"/>
        </w:rPr>
        <w:t xml:space="preserve"> </w:t>
      </w:r>
      <w:r w:rsidR="001B3B9E" w:rsidRPr="009A6F69">
        <w:rPr>
          <w:lang w:val="en-GB"/>
        </w:rPr>
        <w:fldChar w:fldCharType="begin" w:fldLock="1"/>
      </w:r>
      <w:r w:rsidR="004F4010">
        <w:rPr>
          <w:lang w:val="en-GB"/>
        </w:rPr>
        <w:instrText>ADDIN CSL_CITATION { "citationItems" : [ { "id" : "ITEM-1", "itemData" : { "author" : [ { "dropping-particle" : "", "family" : "Deloitte Consulting", "given" : "", "non-dropping-particle" : "", "parse-names" : false, "suffix" : "" } ], "id" : "ITEM-1", "issued" : { "date-parts" : [ [ "2011" ] ] }, "page" : "213", "publisher-place" : "Nairobi", "title" : "Strategic review of the National Hospital Insurance Fund-Kenya", "type" : "report" }, "uris" : [ "http://www.mendeley.com/documents/?uuid=43f17e03-901c-4819-9404-ea2cfeb7e50f" ] } ], "mendeley" : { "previouslyFormattedCitation" : "(Deloitte Consulting, 2011b)" }, "properties" : { "noteIndex" : 0 }, "schema" : "https://github.com/citation-style-language/schema/raw/master/csl-citation.json" }</w:instrText>
      </w:r>
      <w:r w:rsidR="001B3B9E" w:rsidRPr="009A6F69">
        <w:rPr>
          <w:lang w:val="en-GB"/>
        </w:rPr>
        <w:fldChar w:fldCharType="separate"/>
      </w:r>
      <w:r w:rsidR="000142E7" w:rsidRPr="009A6F69">
        <w:rPr>
          <w:noProof/>
          <w:lang w:val="en-GB"/>
        </w:rPr>
        <w:t>(Deloitte Consulting, 2011b)</w:t>
      </w:r>
      <w:r w:rsidR="001B3B9E" w:rsidRPr="009A6F69">
        <w:rPr>
          <w:lang w:val="en-GB"/>
        </w:rPr>
        <w:fldChar w:fldCharType="end"/>
      </w:r>
      <w:r w:rsidR="00FA799F" w:rsidRPr="009A6F69">
        <w:rPr>
          <w:lang w:val="en-GB"/>
        </w:rPr>
        <w:t xml:space="preserve">. </w:t>
      </w:r>
    </w:p>
    <w:p w:rsidR="007E3CAC" w:rsidRPr="009A6F69" w:rsidRDefault="00AF426A" w:rsidP="00EA49E4">
      <w:pPr>
        <w:rPr>
          <w:lang w:val="en-GB"/>
        </w:rPr>
      </w:pPr>
      <w:r w:rsidRPr="009A6F69">
        <w:rPr>
          <w:lang w:val="en-GB"/>
        </w:rPr>
        <w:t>The average insurance penetrati</w:t>
      </w:r>
      <w:r w:rsidR="007A08D5" w:rsidRPr="009A6F69">
        <w:rPr>
          <w:lang w:val="en-GB"/>
        </w:rPr>
        <w:t xml:space="preserve">on in Africa is about 3.6%. In Kenya insurance penetration has grown from 2.5% to 3.16% in the last seven years. </w:t>
      </w:r>
      <w:r w:rsidR="00D108BF" w:rsidRPr="009A6F69">
        <w:rPr>
          <w:lang w:val="en-GB"/>
        </w:rPr>
        <w:t xml:space="preserve">This translates to a gross written premium of </w:t>
      </w:r>
      <w:proofErr w:type="spellStart"/>
      <w:r w:rsidR="00574E44" w:rsidRPr="009A6F69">
        <w:rPr>
          <w:lang w:val="en-GB"/>
        </w:rPr>
        <w:t>Ksh</w:t>
      </w:r>
      <w:proofErr w:type="spellEnd"/>
      <w:r w:rsidR="00D108BF" w:rsidRPr="009A6F69">
        <w:rPr>
          <w:lang w:val="en-GB"/>
        </w:rPr>
        <w:t xml:space="preserve">. 108.54 billion in 2012 compared to </w:t>
      </w:r>
      <w:proofErr w:type="spellStart"/>
      <w:r w:rsidR="00574E44" w:rsidRPr="009A6F69">
        <w:rPr>
          <w:lang w:val="en-GB"/>
        </w:rPr>
        <w:t>Ksh</w:t>
      </w:r>
      <w:proofErr w:type="spellEnd"/>
      <w:r w:rsidR="00D108BF" w:rsidRPr="009A6F69">
        <w:rPr>
          <w:lang w:val="en-GB"/>
        </w:rPr>
        <w:t>. 91.60 billion in 2011, representing an increase of 18.49% for the entire insurance industry</w:t>
      </w:r>
      <w:r w:rsidR="008E4B84" w:rsidRPr="009A6F69">
        <w:rPr>
          <w:lang w:val="en-GB"/>
        </w:rPr>
        <w:t xml:space="preserve"> which consists of 46 operating insurance companies. </w:t>
      </w:r>
      <w:r w:rsidR="001B3B9E" w:rsidRPr="009A6F69">
        <w:rPr>
          <w:lang w:val="en-GB"/>
        </w:rPr>
        <w:fldChar w:fldCharType="begin" w:fldLock="1"/>
      </w:r>
      <w:r w:rsidR="004F4010">
        <w:rPr>
          <w:lang w:val="en-GB"/>
        </w:rPr>
        <w:instrText>ADDIN CSL_CITATION { "citationItems" : [ { "id" : "ITEM-1", "itemData" : { "author" : [ { "dropping-particle" : "", "family" : "Association of Kenya Insurers", "given" : "", "non-dropping-particle" : "", "parse-names" : false, "suffix" : "" } ], "id" : "ITEM-1", "issued" : { "date-parts" : [ [ "2012" ] ] }, "page" : "68", "publisher-place" : "Nairobi", "title" : "Insurance Industry Annual Report 2012", "type" : "report" }, "uris" : [ "http://www.mendeley.com/documents/?uuid=dbb8eed7-df4c-438a-a2a2-d1a7917fd39f" ] } ], "mendeley" : { "previouslyFormattedCitation" : "(Association of Kenya Insurers, 2012)" }, "properties" : { "noteIndex" : 0 }, "schema" : "https://github.com/citation-style-language/schema/raw/master/csl-citation.json" }</w:instrText>
      </w:r>
      <w:r w:rsidR="001B3B9E" w:rsidRPr="009A6F69">
        <w:rPr>
          <w:lang w:val="en-GB"/>
        </w:rPr>
        <w:fldChar w:fldCharType="separate"/>
      </w:r>
      <w:proofErr w:type="gramStart"/>
      <w:r w:rsidR="00123ABD" w:rsidRPr="009A6F69">
        <w:rPr>
          <w:noProof/>
          <w:lang w:val="en-GB"/>
        </w:rPr>
        <w:t>(Association of Kenya Insurers, 2012)</w:t>
      </w:r>
      <w:r w:rsidR="001B3B9E" w:rsidRPr="009A6F69">
        <w:rPr>
          <w:lang w:val="en-GB"/>
        </w:rPr>
        <w:fldChar w:fldCharType="end"/>
      </w:r>
      <w:r w:rsidR="00D108BF" w:rsidRPr="009A6F69">
        <w:rPr>
          <w:lang w:val="en-GB"/>
        </w:rPr>
        <w:t>.</w:t>
      </w:r>
      <w:proofErr w:type="gramEnd"/>
    </w:p>
    <w:p w:rsidR="00EA49E4" w:rsidRPr="009A6F69" w:rsidRDefault="00803833" w:rsidP="00EA49E4">
      <w:pPr>
        <w:rPr>
          <w:lang w:val="en-GB"/>
        </w:rPr>
      </w:pPr>
      <w:r w:rsidRPr="009A6F69">
        <w:rPr>
          <w:lang w:val="en-GB"/>
        </w:rPr>
        <w:t>Private health insurance schemes</w:t>
      </w:r>
      <w:r w:rsidR="00B42399" w:rsidRPr="009A6F69">
        <w:rPr>
          <w:lang w:val="en-GB"/>
        </w:rPr>
        <w:t xml:space="preserve"> run by the 24 licences medical insurance providers (MIPS), </w:t>
      </w:r>
      <w:r w:rsidRPr="009A6F69">
        <w:rPr>
          <w:lang w:val="en-GB"/>
        </w:rPr>
        <w:t xml:space="preserve">excluding employer run </w:t>
      </w:r>
      <w:r w:rsidR="000126C5" w:rsidRPr="009A6F69">
        <w:rPr>
          <w:lang w:val="en-GB"/>
        </w:rPr>
        <w:t>schemes</w:t>
      </w:r>
      <w:r w:rsidR="00B42399" w:rsidRPr="009A6F69">
        <w:rPr>
          <w:lang w:val="en-GB"/>
        </w:rPr>
        <w:t>,</w:t>
      </w:r>
      <w:r w:rsidR="000126C5" w:rsidRPr="009A6F69">
        <w:rPr>
          <w:lang w:val="en-GB"/>
        </w:rPr>
        <w:t xml:space="preserve"> have</w:t>
      </w:r>
      <w:r w:rsidRPr="009A6F69">
        <w:rPr>
          <w:lang w:val="en-GB"/>
        </w:rPr>
        <w:t xml:space="preserve"> about 700,000 lives</w:t>
      </w:r>
      <w:r w:rsidR="003E42F7" w:rsidRPr="009A6F69">
        <w:rPr>
          <w:lang w:val="en-GB"/>
        </w:rPr>
        <w:t xml:space="preserve">; while </w:t>
      </w:r>
      <w:r w:rsidR="00AE0674" w:rsidRPr="009A6F69">
        <w:rPr>
          <w:lang w:val="en-GB"/>
        </w:rPr>
        <w:t xml:space="preserve">Community based health funds (CBHF) cover </w:t>
      </w:r>
      <w:r w:rsidR="003E42F7" w:rsidRPr="009A6F69">
        <w:rPr>
          <w:lang w:val="en-GB"/>
        </w:rPr>
        <w:t xml:space="preserve">an estimated </w:t>
      </w:r>
      <w:r w:rsidR="00AE0674" w:rsidRPr="009A6F69">
        <w:rPr>
          <w:lang w:val="en-GB"/>
        </w:rPr>
        <w:t>470,000 lives</w:t>
      </w:r>
      <w:r w:rsidR="003E42F7" w:rsidRPr="009A6F69">
        <w:rPr>
          <w:lang w:val="en-GB"/>
        </w:rPr>
        <w:t xml:space="preserve">. </w:t>
      </w:r>
      <w:r w:rsidR="00AE0674" w:rsidRPr="009A6F69">
        <w:rPr>
          <w:lang w:val="en-GB"/>
        </w:rPr>
        <w:t xml:space="preserve">The majority of these lives like those of NHIF are people in the </w:t>
      </w:r>
      <w:r w:rsidRPr="009A6F69">
        <w:rPr>
          <w:lang w:val="en-GB"/>
        </w:rPr>
        <w:t>formal sector</w:t>
      </w:r>
      <w:r w:rsidR="001B3B9E" w:rsidRPr="009A6F69">
        <w:rPr>
          <w:lang w:val="en-GB"/>
        </w:rPr>
        <w:fldChar w:fldCharType="begin" w:fldLock="1"/>
      </w:r>
      <w:r w:rsidR="004F4010">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2011a)" }, "properties" : { "noteIndex" : 0 }, "schema" : "https://github.com/citation-style-language/schema/raw/master/csl-citation.json" }</w:instrText>
      </w:r>
      <w:r w:rsidR="001B3B9E" w:rsidRPr="009A6F69">
        <w:rPr>
          <w:lang w:val="en-GB"/>
        </w:rPr>
        <w:fldChar w:fldCharType="separate"/>
      </w:r>
      <w:r w:rsidR="000142E7" w:rsidRPr="009A6F69">
        <w:rPr>
          <w:noProof/>
          <w:lang w:val="en-GB"/>
        </w:rPr>
        <w:t>(Deloitte Consulting, 2011a)</w:t>
      </w:r>
      <w:r w:rsidR="001B3B9E" w:rsidRPr="009A6F69">
        <w:rPr>
          <w:lang w:val="en-GB"/>
        </w:rPr>
        <w:fldChar w:fldCharType="end"/>
      </w:r>
      <w:r w:rsidRPr="009A6F69">
        <w:rPr>
          <w:lang w:val="en-GB"/>
        </w:rPr>
        <w:t xml:space="preserve">. </w:t>
      </w:r>
      <w:r w:rsidR="00AE0674" w:rsidRPr="009A6F69">
        <w:rPr>
          <w:lang w:val="en-GB"/>
        </w:rPr>
        <w:t xml:space="preserve">NHIF therefore has about seven times the number of lives of other pooled funds despite only controlling a third of funds. </w:t>
      </w:r>
      <w:r w:rsidR="00EA49E4" w:rsidRPr="009A6F69">
        <w:rPr>
          <w:lang w:val="en-GB"/>
        </w:rPr>
        <w:t xml:space="preserve">The total funds in 2009 (excluding Employer in-house schemes) are summarized in the </w:t>
      </w:r>
      <w:r w:rsidR="00A36C7B" w:rsidRPr="009A6F69">
        <w:rPr>
          <w:lang w:val="en-GB"/>
        </w:rPr>
        <w:t>(</w:t>
      </w:r>
      <w:r w:rsidR="001B3B9E" w:rsidRPr="009A6F69">
        <w:rPr>
          <w:lang w:val="en-GB"/>
        </w:rPr>
        <w:fldChar w:fldCharType="begin"/>
      </w:r>
      <w:r w:rsidR="00A36C7B" w:rsidRPr="009A6F69">
        <w:rPr>
          <w:lang w:val="en-GB"/>
        </w:rPr>
        <w:instrText xml:space="preserve"> REF _Ref242536823 \h </w:instrText>
      </w:r>
      <w:r w:rsidR="001B3B9E" w:rsidRPr="009A6F69">
        <w:rPr>
          <w:lang w:val="en-GB"/>
        </w:rPr>
      </w:r>
      <w:r w:rsidR="001B3B9E" w:rsidRPr="009A6F69">
        <w:rPr>
          <w:lang w:val="en-GB"/>
        </w:rPr>
        <w:fldChar w:fldCharType="separate"/>
      </w:r>
      <w:r w:rsidR="008A34D7" w:rsidRPr="009A6F69">
        <w:t xml:space="preserve">Table </w:t>
      </w:r>
      <w:r w:rsidR="008A34D7">
        <w:rPr>
          <w:noProof/>
        </w:rPr>
        <w:t>8</w:t>
      </w:r>
      <w:r w:rsidR="001B3B9E" w:rsidRPr="009A6F69">
        <w:rPr>
          <w:lang w:val="en-GB"/>
        </w:rPr>
        <w:fldChar w:fldCharType="end"/>
      </w:r>
      <w:r w:rsidR="00A36C7B" w:rsidRPr="009A6F69">
        <w:rPr>
          <w:lang w:val="en-GB"/>
        </w:rPr>
        <w:t>)</w:t>
      </w:r>
      <w:r w:rsidR="001F2090" w:rsidRPr="009A6F69">
        <w:rPr>
          <w:lang w:val="en-GB"/>
        </w:rPr>
        <w:t>.</w:t>
      </w:r>
    </w:p>
    <w:p w:rsidR="00EA49E4" w:rsidRPr="009A6F69" w:rsidRDefault="00EA49E4" w:rsidP="001F2090">
      <w:pPr>
        <w:pStyle w:val="Caption"/>
        <w:spacing w:after="0"/>
      </w:pPr>
      <w:bookmarkStart w:id="25" w:name="_Ref242536823"/>
      <w:bookmarkStart w:id="26" w:name="_Toc307401855"/>
      <w:r w:rsidRPr="009A6F69">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8</w:t>
      </w:r>
      <w:r w:rsidR="001B3B9E" w:rsidRPr="009A6F69">
        <w:fldChar w:fldCharType="end"/>
      </w:r>
      <w:bookmarkEnd w:id="25"/>
      <w:r w:rsidRPr="009A6F69">
        <w:t>: Gross premiums written in 2009 by risk pool vehicle</w:t>
      </w:r>
      <w:bookmarkEnd w:id="26"/>
    </w:p>
    <w:tbl>
      <w:tblPr>
        <w:tblW w:w="4380" w:type="pct"/>
        <w:tblLook w:val="04A0"/>
      </w:tblPr>
      <w:tblGrid>
        <w:gridCol w:w="3298"/>
        <w:gridCol w:w="3015"/>
        <w:gridCol w:w="1445"/>
      </w:tblGrid>
      <w:tr w:rsidR="00EA49E4" w:rsidRPr="009A6F69" w:rsidTr="002B3DF4">
        <w:tc>
          <w:tcPr>
            <w:tcW w:w="2126" w:type="pct"/>
          </w:tcPr>
          <w:p w:rsidR="00EA49E4" w:rsidRPr="009A6F69" w:rsidRDefault="00EA49E4" w:rsidP="001F2090">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Risk Pooling Vehicle</w:t>
            </w:r>
          </w:p>
        </w:tc>
        <w:tc>
          <w:tcPr>
            <w:tcW w:w="1943" w:type="pct"/>
          </w:tcPr>
          <w:p w:rsidR="00EA49E4" w:rsidRPr="009A6F69" w:rsidRDefault="00EA49E4" w:rsidP="001F2090">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 xml:space="preserve">Total Contributions (2009 </w:t>
            </w:r>
            <w:proofErr w:type="spellStart"/>
            <w:r w:rsidR="009A6F69" w:rsidRPr="009A6F69">
              <w:rPr>
                <w:rFonts w:ascii="Times New Roman" w:hAnsi="Times New Roman" w:cs="Times New Roman"/>
                <w:b/>
                <w:sz w:val="20"/>
                <w:szCs w:val="20"/>
                <w:lang w:val="en-GB"/>
              </w:rPr>
              <w:t>Ksh</w:t>
            </w:r>
            <w:proofErr w:type="spellEnd"/>
            <w:r w:rsidRPr="009A6F69">
              <w:rPr>
                <w:rFonts w:ascii="Times New Roman" w:hAnsi="Times New Roman" w:cs="Times New Roman"/>
                <w:b/>
                <w:sz w:val="20"/>
                <w:szCs w:val="20"/>
                <w:lang w:val="en-GB"/>
              </w:rPr>
              <w:t>)</w:t>
            </w:r>
          </w:p>
        </w:tc>
        <w:tc>
          <w:tcPr>
            <w:tcW w:w="932" w:type="pct"/>
          </w:tcPr>
          <w:p w:rsidR="00EA49E4" w:rsidRPr="009A6F69" w:rsidRDefault="00EA49E4" w:rsidP="001F2090">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Proportion %</w:t>
            </w:r>
          </w:p>
        </w:tc>
      </w:tr>
      <w:tr w:rsidR="00EA49E4" w:rsidRPr="009A6F69" w:rsidTr="002B3DF4">
        <w:trPr>
          <w:trHeight w:val="287"/>
        </w:trPr>
        <w:tc>
          <w:tcPr>
            <w:tcW w:w="2126" w:type="pct"/>
          </w:tcPr>
          <w:p w:rsidR="00EA49E4" w:rsidRPr="009A6F69" w:rsidRDefault="00EA49E4" w:rsidP="00AD04ED">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NHIF</w:t>
            </w:r>
          </w:p>
        </w:tc>
        <w:tc>
          <w:tcPr>
            <w:tcW w:w="1943"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5,079,569,000</w:t>
            </w:r>
          </w:p>
        </w:tc>
        <w:tc>
          <w:tcPr>
            <w:tcW w:w="932"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36%</w:t>
            </w:r>
          </w:p>
        </w:tc>
      </w:tr>
      <w:tr w:rsidR="00EA49E4" w:rsidRPr="009A6F69" w:rsidTr="002B3DF4">
        <w:tc>
          <w:tcPr>
            <w:tcW w:w="2126" w:type="pct"/>
          </w:tcPr>
          <w:p w:rsidR="00EA49E4" w:rsidRPr="009A6F69" w:rsidRDefault="00EA49E4" w:rsidP="00AD04ED">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Private Insurance Companies</w:t>
            </w:r>
          </w:p>
        </w:tc>
        <w:tc>
          <w:tcPr>
            <w:tcW w:w="1943"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5,887,151,817</w:t>
            </w:r>
          </w:p>
        </w:tc>
        <w:tc>
          <w:tcPr>
            <w:tcW w:w="932"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42%</w:t>
            </w:r>
          </w:p>
        </w:tc>
      </w:tr>
      <w:tr w:rsidR="00EA49E4" w:rsidRPr="009A6F69" w:rsidTr="002B3DF4">
        <w:tc>
          <w:tcPr>
            <w:tcW w:w="2126" w:type="pct"/>
          </w:tcPr>
          <w:p w:rsidR="00EA49E4" w:rsidRPr="009A6F69" w:rsidRDefault="00EA49E4" w:rsidP="00AD04ED">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Medical Insurance Providers (</w:t>
            </w:r>
            <w:r w:rsidR="009A6F69" w:rsidRPr="009A6F69">
              <w:rPr>
                <w:rFonts w:ascii="Times New Roman" w:hAnsi="Times New Roman" w:cs="Times New Roman"/>
                <w:sz w:val="20"/>
                <w:szCs w:val="20"/>
                <w:lang w:val="en-GB"/>
              </w:rPr>
              <w:t>MPs</w:t>
            </w:r>
            <w:r w:rsidRPr="009A6F69">
              <w:rPr>
                <w:rFonts w:ascii="Times New Roman" w:hAnsi="Times New Roman" w:cs="Times New Roman"/>
                <w:sz w:val="20"/>
                <w:szCs w:val="20"/>
                <w:lang w:val="en-GB"/>
              </w:rPr>
              <w:t xml:space="preserve">) </w:t>
            </w:r>
          </w:p>
        </w:tc>
        <w:tc>
          <w:tcPr>
            <w:tcW w:w="1943"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2,000,000,000*</w:t>
            </w:r>
          </w:p>
        </w:tc>
        <w:tc>
          <w:tcPr>
            <w:tcW w:w="932"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14%</w:t>
            </w:r>
          </w:p>
        </w:tc>
      </w:tr>
      <w:tr w:rsidR="00EA49E4" w:rsidRPr="009A6F69" w:rsidTr="002B3DF4">
        <w:tc>
          <w:tcPr>
            <w:tcW w:w="2126" w:type="pct"/>
          </w:tcPr>
          <w:p w:rsidR="00EA49E4" w:rsidRPr="009A6F69" w:rsidRDefault="00EA49E4" w:rsidP="00AD04ED">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International Private  Insurance</w:t>
            </w:r>
          </w:p>
        </w:tc>
        <w:tc>
          <w:tcPr>
            <w:tcW w:w="1943"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1,000,000,000*</w:t>
            </w:r>
          </w:p>
        </w:tc>
        <w:tc>
          <w:tcPr>
            <w:tcW w:w="932"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7%</w:t>
            </w:r>
          </w:p>
        </w:tc>
      </w:tr>
      <w:tr w:rsidR="00EA49E4" w:rsidRPr="009A6F69" w:rsidTr="002B3DF4">
        <w:tc>
          <w:tcPr>
            <w:tcW w:w="2126" w:type="pct"/>
          </w:tcPr>
          <w:p w:rsidR="00EA49E4" w:rsidRPr="009A6F69" w:rsidRDefault="00EA49E4" w:rsidP="00AD04ED">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Community based health funds</w:t>
            </w:r>
          </w:p>
        </w:tc>
        <w:tc>
          <w:tcPr>
            <w:tcW w:w="1943"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150,000,000*</w:t>
            </w:r>
          </w:p>
        </w:tc>
        <w:tc>
          <w:tcPr>
            <w:tcW w:w="932" w:type="pct"/>
          </w:tcPr>
          <w:p w:rsidR="00EA49E4" w:rsidRPr="009A6F69" w:rsidRDefault="00EA49E4" w:rsidP="001F2090">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1%</w:t>
            </w:r>
          </w:p>
        </w:tc>
      </w:tr>
      <w:tr w:rsidR="00EA49E4" w:rsidRPr="009A6F69" w:rsidTr="002B3DF4">
        <w:tc>
          <w:tcPr>
            <w:tcW w:w="2126" w:type="pct"/>
          </w:tcPr>
          <w:p w:rsidR="00EA49E4" w:rsidRPr="009A6F69" w:rsidRDefault="00EA49E4" w:rsidP="00AD04ED">
            <w:pPr>
              <w:spacing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Total</w:t>
            </w:r>
          </w:p>
        </w:tc>
        <w:tc>
          <w:tcPr>
            <w:tcW w:w="1943" w:type="pct"/>
          </w:tcPr>
          <w:p w:rsidR="00EA49E4" w:rsidRPr="009A6F69" w:rsidRDefault="00EA49E4" w:rsidP="001F2090">
            <w:pPr>
              <w:spacing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14,166,720,817</w:t>
            </w:r>
          </w:p>
        </w:tc>
        <w:tc>
          <w:tcPr>
            <w:tcW w:w="932" w:type="pct"/>
          </w:tcPr>
          <w:p w:rsidR="00EA49E4" w:rsidRPr="009A6F69" w:rsidRDefault="00EA49E4" w:rsidP="001F2090">
            <w:pPr>
              <w:spacing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100%</w:t>
            </w:r>
          </w:p>
        </w:tc>
      </w:tr>
    </w:tbl>
    <w:p w:rsidR="00777751" w:rsidRPr="009A6F69" w:rsidRDefault="00EA49E4" w:rsidP="00777751">
      <w:pPr>
        <w:rPr>
          <w:i/>
          <w:lang w:val="en-GB"/>
        </w:rPr>
      </w:pPr>
      <w:r w:rsidRPr="009A6F69">
        <w:rPr>
          <w:i/>
          <w:lang w:val="en-GB"/>
        </w:rPr>
        <w:t>(*Estimates for MIP’s, CBHF and international private insurance)</w:t>
      </w:r>
    </w:p>
    <w:p w:rsidR="00DE2BD8" w:rsidRPr="009A6F69" w:rsidRDefault="00DE2BD8" w:rsidP="00E01DDD">
      <w:pPr>
        <w:spacing w:after="0" w:line="240" w:lineRule="auto"/>
        <w:rPr>
          <w:lang w:val="en-GB"/>
        </w:rPr>
      </w:pPr>
      <w:r w:rsidRPr="009A6F69">
        <w:rPr>
          <w:lang w:val="en-GB"/>
        </w:rPr>
        <w:t>Since 2009, there has been considerable growth in the</w:t>
      </w:r>
      <w:r w:rsidR="00B46DB3" w:rsidRPr="009A6F69">
        <w:rPr>
          <w:lang w:val="en-GB"/>
        </w:rPr>
        <w:t xml:space="preserve"> private medical insurance</w:t>
      </w:r>
      <w:r w:rsidRPr="009A6F69">
        <w:rPr>
          <w:lang w:val="en-GB"/>
        </w:rPr>
        <w:t xml:space="preserve"> </w:t>
      </w:r>
      <w:r w:rsidR="00574E44" w:rsidRPr="009A6F69">
        <w:rPr>
          <w:lang w:val="en-GB"/>
        </w:rPr>
        <w:t>market</w:t>
      </w:r>
      <w:proofErr w:type="gramStart"/>
      <w:r w:rsidR="00574E44" w:rsidRPr="009A6F69">
        <w:rPr>
          <w:lang w:val="en-GB"/>
        </w:rPr>
        <w:t>,</w:t>
      </w:r>
      <w:r w:rsidR="00F63287" w:rsidRPr="009A6F69">
        <w:rPr>
          <w:lang w:val="en-GB"/>
        </w:rPr>
        <w:t>(</w:t>
      </w:r>
      <w:proofErr w:type="gramEnd"/>
      <w:r w:rsidR="001B3B9E" w:rsidRPr="009A6F69">
        <w:rPr>
          <w:lang w:val="en-GB"/>
        </w:rPr>
        <w:fldChar w:fldCharType="begin"/>
      </w:r>
      <w:r w:rsidR="00F63287" w:rsidRPr="009A6F69">
        <w:rPr>
          <w:lang w:val="en-GB"/>
        </w:rPr>
        <w:instrText xml:space="preserve"> REF _Ref245980143 \h </w:instrText>
      </w:r>
      <w:r w:rsidR="001B3B9E" w:rsidRPr="009A6F69">
        <w:rPr>
          <w:lang w:val="en-GB"/>
        </w:rPr>
      </w:r>
      <w:r w:rsidR="001B3B9E" w:rsidRPr="009A6F69">
        <w:rPr>
          <w:lang w:val="en-GB"/>
        </w:rPr>
        <w:fldChar w:fldCharType="separate"/>
      </w:r>
      <w:r w:rsidR="008A34D7" w:rsidRPr="009A6F69">
        <w:t xml:space="preserve">Figure </w:t>
      </w:r>
      <w:r w:rsidR="008A34D7">
        <w:rPr>
          <w:noProof/>
        </w:rPr>
        <w:t>4</w:t>
      </w:r>
      <w:r w:rsidR="001B3B9E" w:rsidRPr="009A6F69">
        <w:rPr>
          <w:lang w:val="en-GB"/>
        </w:rPr>
        <w:fldChar w:fldCharType="end"/>
      </w:r>
      <w:r w:rsidR="00F63287" w:rsidRPr="009A6F69">
        <w:rPr>
          <w:lang w:val="en-GB"/>
        </w:rPr>
        <w:t>).</w:t>
      </w:r>
    </w:p>
    <w:p w:rsidR="00161806" w:rsidRPr="009A6F69" w:rsidRDefault="001267DA" w:rsidP="00B75BEE">
      <w:pPr>
        <w:keepNext/>
        <w:spacing w:after="0" w:line="240" w:lineRule="auto"/>
        <w:jc w:val="center"/>
        <w:rPr>
          <w:lang w:val="en-GB"/>
        </w:rPr>
      </w:pPr>
      <w:r w:rsidRPr="009A6F69">
        <w:rPr>
          <w:noProof/>
        </w:rPr>
        <w:lastRenderedPageBreak/>
        <w:drawing>
          <wp:inline distT="0" distB="0" distL="0" distR="0">
            <wp:extent cx="4572000" cy="2743200"/>
            <wp:effectExtent l="0" t="0" r="25400" b="2540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E23A6" w:rsidRPr="009A6F69" w:rsidRDefault="00161806" w:rsidP="00747268">
      <w:pPr>
        <w:pStyle w:val="Caption"/>
      </w:pPr>
      <w:bookmarkStart w:id="27" w:name="_Ref245980143"/>
      <w:bookmarkStart w:id="28" w:name="_Ref246131443"/>
      <w:r w:rsidRPr="009A6F69">
        <w:t xml:space="preserve">Figure </w:t>
      </w:r>
      <w:r w:rsidR="001B3B9E" w:rsidRPr="009A6F69">
        <w:fldChar w:fldCharType="begin"/>
      </w:r>
      <w:r w:rsidRPr="009A6F69">
        <w:instrText xml:space="preserve"> SEQ Figure \* ARABIC </w:instrText>
      </w:r>
      <w:r w:rsidR="001B3B9E" w:rsidRPr="009A6F69">
        <w:fldChar w:fldCharType="separate"/>
      </w:r>
      <w:r w:rsidR="008A34D7">
        <w:rPr>
          <w:noProof/>
        </w:rPr>
        <w:t>4</w:t>
      </w:r>
      <w:r w:rsidR="001B3B9E" w:rsidRPr="009A6F69">
        <w:fldChar w:fldCharType="end"/>
      </w:r>
      <w:bookmarkEnd w:id="27"/>
      <w:r w:rsidRPr="009A6F69">
        <w:t xml:space="preserve">: Medical and </w:t>
      </w:r>
      <w:r w:rsidR="00121F14" w:rsidRPr="009A6F69">
        <w:t>t</w:t>
      </w:r>
      <w:r w:rsidRPr="009A6F69">
        <w:t>otal Insurance underwriting Kenya 2009 – 2011. Source ,</w:t>
      </w:r>
      <w:r w:rsidR="001B3B9E" w:rsidRPr="009A6F69">
        <w:fldChar w:fldCharType="begin" w:fldLock="1"/>
      </w:r>
      <w:r w:rsidR="004F4010">
        <w:instrText>ADDIN CSL_CITATION { "citationItems" : [ { "id" : "ITEM-1", "itemData" : { "author" : [ { "dropping-particle" : "", "family" : "Association of Kenya Insurers", "given" : "", "non-dropping-particle" : "", "parse-names" : false, "suffix" : "" } ], "id" : "ITEM-1", "issued" : { "date-parts" : [ [ "2011" ] ] }, "page" : "1-64", "publisher-place" : "Nairobi", "title" : "INSURANCE INDUSTRY ANNUAL REPORT 2011", "type" : "report" }, "uris" : [ "http://www.mendeley.com/documents/?uuid=9b33ed2c-415a-4055-8022-9644edb08955" ] } ], "mendeley" : { "previouslyFormattedCitation" : "(Association of Kenya Insurers, 2011)" }, "properties" : { "noteIndex" : 0 }, "schema" : "https://github.com/citation-style-language/schema/raw/master/csl-citation.json" }</w:instrText>
      </w:r>
      <w:r w:rsidR="001B3B9E" w:rsidRPr="009A6F69">
        <w:fldChar w:fldCharType="separate"/>
      </w:r>
      <w:r w:rsidR="00C63BB9" w:rsidRPr="009A6F69">
        <w:rPr>
          <w:noProof/>
        </w:rPr>
        <w:t>(Association of Kenya Insurers, 2011)</w:t>
      </w:r>
      <w:r w:rsidR="001B3B9E" w:rsidRPr="009A6F69">
        <w:fldChar w:fldCharType="end"/>
      </w:r>
      <w:bookmarkEnd w:id="28"/>
    </w:p>
    <w:p w:rsidR="00A76FDA" w:rsidRPr="009A6F69" w:rsidRDefault="00A76FDA" w:rsidP="00747268">
      <w:pPr>
        <w:rPr>
          <w:lang w:val="en-GB"/>
        </w:rPr>
      </w:pPr>
    </w:p>
    <w:p w:rsidR="004C028E" w:rsidRPr="009A6F69" w:rsidRDefault="00706FE8" w:rsidP="00747268">
      <w:pPr>
        <w:rPr>
          <w:lang w:val="en-GB"/>
        </w:rPr>
      </w:pPr>
      <w:r w:rsidRPr="009A6F69">
        <w:rPr>
          <w:lang w:val="en-GB"/>
        </w:rPr>
        <w:t>In terms of product packaging, private insurance companies provide in-patient cover, then combined in-patient, but almost never outpatient cover only and have limited individual plans preferring group or corporate schemes</w:t>
      </w:r>
      <w:r w:rsidR="00110B2F"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2011a)" }, "properties" : { "noteIndex" : 0 }, "schema" : "https://github.com/citation-style-language/schema/raw/master/csl-citation.json" }</w:instrText>
      </w:r>
      <w:r w:rsidR="001B3B9E" w:rsidRPr="009A6F69">
        <w:rPr>
          <w:lang w:val="en-GB"/>
        </w:rPr>
        <w:fldChar w:fldCharType="separate"/>
      </w:r>
      <w:r w:rsidR="000142E7" w:rsidRPr="009A6F69">
        <w:rPr>
          <w:noProof/>
          <w:lang w:val="en-GB"/>
        </w:rPr>
        <w:t>(Deloitte Consulting, 2011a)</w:t>
      </w:r>
      <w:r w:rsidR="001B3B9E" w:rsidRPr="009A6F69">
        <w:rPr>
          <w:lang w:val="en-GB"/>
        </w:rPr>
        <w:fldChar w:fldCharType="end"/>
      </w:r>
      <w:r w:rsidRPr="009A6F69">
        <w:rPr>
          <w:lang w:val="en-GB"/>
        </w:rPr>
        <w:t xml:space="preserve">. </w:t>
      </w:r>
      <w:r w:rsidR="00BA3BCB" w:rsidRPr="009A6F69">
        <w:rPr>
          <w:lang w:val="en-GB"/>
        </w:rPr>
        <w:t xml:space="preserve">Further they are limited in requiring physician authorisation for almost all types of care. </w:t>
      </w:r>
      <w:r w:rsidR="00181ECC" w:rsidRPr="009A6F69">
        <w:rPr>
          <w:lang w:val="en-GB"/>
        </w:rPr>
        <w:t>Private insurance is based on the ability to pay</w:t>
      </w:r>
      <w:r w:rsidR="00470793" w:rsidRPr="009A6F69">
        <w:rPr>
          <w:lang w:val="en-GB"/>
        </w:rPr>
        <w:t xml:space="preserve"> and to an extent the client determines what services are offered by the provider</w:t>
      </w:r>
      <w:proofErr w:type="gramStart"/>
      <w:r w:rsidR="00B32BE8">
        <w:rPr>
          <w:lang w:val="en-GB"/>
        </w:rPr>
        <w:t>,(</w:t>
      </w:r>
      <w:proofErr w:type="gramEnd"/>
      <w:r w:rsidR="00B32BE8">
        <w:rPr>
          <w:lang w:val="en-GB"/>
        </w:rPr>
        <w:t>KII2)</w:t>
      </w:r>
      <w:r w:rsidR="00181ECC" w:rsidRPr="009A6F69">
        <w:rPr>
          <w:lang w:val="en-GB"/>
        </w:rPr>
        <w:t xml:space="preserve">. Analysis of the distribution of health benefits in the Kenyan health system as at 2007, showed that </w:t>
      </w:r>
      <w:r w:rsidR="00DD2A06" w:rsidRPr="009A6F69">
        <w:rPr>
          <w:lang w:val="en-GB"/>
        </w:rPr>
        <w:t xml:space="preserve"> the private-not-for- profit sector was pro-poor, public sector benefits showed an equal distribution, while the private-for-profit sector remained pro-rich. Larger pro-rich disparities were recorded for inpatient compared to outpatient benefits at the hospital level, but primary health care services were pro-poor. Benefits were distributed on the basis of ability to pay and not on need for care</w:t>
      </w:r>
      <w:r w:rsidR="002C4A13" w:rsidRPr="009A6F69">
        <w:rPr>
          <w:lang w:val="en-GB"/>
        </w:rPr>
        <w:t>,</w:t>
      </w:r>
      <w:r w:rsidR="001B3B9E" w:rsidRPr="009A6F69">
        <w:rPr>
          <w:lang w:val="en-GB"/>
        </w:rPr>
        <w:fldChar w:fldCharType="begin" w:fldLock="1"/>
      </w:r>
      <w:r w:rsidR="004F4010">
        <w:rPr>
          <w:lang w:val="en-GB"/>
        </w:rPr>
        <w:instrText>ADDIN CSL_CITATION { "citationItems" : [ { "id" : "ITEM-1", "itemData" : { "DOI" : "10.1186/1471-2458-12-20", "ISSN" : "1471-2458", "PMID" : "22233470", "abstract" : "BACKGROUND: The 58th World Health Assembly called for all health systems to move towards universal coverage where everyone has access to key promotive, preventive, curative and rehabilitative health interventions at an affordable cost. Universal coverage involves ensuring that health care benefits are distributed on the basis of need for care and not on ability to pay. The distribution of health care benefits is therefore an important policy question, which health systems should address. The aim of this study is to assess the distribution of health care benefits in the Kenyan health system, compare changes over two time periods and demonstrate the extent to which the distribution meets the principles of universal coverage.\n\nMETHODS: Two nationally representative cross-sectional households surveys conducted in 2003 and 2007 were the main sources of data. A comprehensive analysis of the entire health system is conducted including the public sector, private-not-for-profit and private-for-profit sectors. Standard benefit incidence analysis techniques were applied and adopted to allow application to private sector services.\n\nRESULTS: The three sectors recorded similar levels of pro-rich distribution in 2003, but in 2007, the private-not-for-profit sector was pro-poor, public sector benefits showed an equal distribution, while the private-for-profit sector remained pro-rich. Larger pro-rich disparities were recorded for inpatient compared to outpatient benefits at the hospital level, but primary health care services were pro-poor. Benefits were distributed on the basis of ability to pay and not on need for care.\n\nCONCLUSIONS: The principles of universal coverage require that all should benefit from health care according to need. The Kenyan health sector is clearly inequitable and benefits are not distributed on the basis of need. Deliberate efforts should be directed to restructuring the Kenyan health system to address access barriers and ensure that all Kenyans benefit from health care when they need it.", "author" : [ { "dropping-particle" : "", "family" : "Chuma", "given" : "Jane", "non-dropping-particle" : "", "parse-names" : false, "suffix" : "" }, { "dropping-particle" : "", "family" : "Maina", "given" : "Thomas", "non-dropping-particle" : "", "parse-names" : false, "suffix" : "" }, { "dropping-particle" : "", "family" : "Ataguba", "given" : "John", "non-dropping-particle" : "", "parse-names" : false, "suffix" : "" } ], "container-title" : "BMC public health", "id" : "ITEM-1", "issue" : "1", "issued" : { "date-parts" : [ [ "2012", "1" ] ] }, "page" : "20", "publisher" : "BioMed Central Ltd", "title" : "Does the distribution of health care benefits in Kenya meet the principles of universal coverage?", "type" : "article-journal", "volume" : "12" }, "uris" : [ "http://www.mendeley.com/documents/?uuid=c053805d-018a-4c0b-af4b-3679004feb69" ] } ], "mendeley" : { "previouslyFormattedCitation" : "(Chuma, Maina, &amp; Ataguba, 2012)" }, "properties" : { "noteIndex" : 0 }, "schema" : "https://github.com/citation-style-language/schema/raw/master/csl-citation.json" }</w:instrText>
      </w:r>
      <w:r w:rsidR="001B3B9E" w:rsidRPr="009A6F69">
        <w:rPr>
          <w:lang w:val="en-GB"/>
        </w:rPr>
        <w:fldChar w:fldCharType="separate"/>
      </w:r>
      <w:r w:rsidR="0032437D" w:rsidRPr="009A6F69">
        <w:rPr>
          <w:noProof/>
          <w:lang w:val="en-GB"/>
        </w:rPr>
        <w:t>(</w:t>
      </w:r>
      <w:proofErr w:type="spellStart"/>
      <w:r w:rsidR="0032437D" w:rsidRPr="009A6F69">
        <w:rPr>
          <w:noProof/>
          <w:lang w:val="en-GB"/>
        </w:rPr>
        <w:t>Chuma</w:t>
      </w:r>
      <w:proofErr w:type="spellEnd"/>
      <w:r w:rsidR="0032437D" w:rsidRPr="009A6F69">
        <w:rPr>
          <w:noProof/>
          <w:lang w:val="en-GB"/>
        </w:rPr>
        <w:t>, Maina, &amp; Ataguba, 2012)</w:t>
      </w:r>
      <w:r w:rsidR="001B3B9E" w:rsidRPr="009A6F69">
        <w:rPr>
          <w:lang w:val="en-GB"/>
        </w:rPr>
        <w:fldChar w:fldCharType="end"/>
      </w:r>
      <w:r w:rsidR="00DD2A06" w:rsidRPr="009A6F69">
        <w:rPr>
          <w:lang w:val="en-GB"/>
        </w:rPr>
        <w:t>.</w:t>
      </w:r>
      <w:r w:rsidR="006C2966" w:rsidRPr="009A6F69">
        <w:rPr>
          <w:lang w:val="en-GB"/>
        </w:rPr>
        <w:t xml:space="preserve"> As a result private providers do not follow KEPH except where </w:t>
      </w:r>
      <w:r w:rsidR="005C32B2" w:rsidRPr="009A6F69">
        <w:rPr>
          <w:lang w:val="en-GB"/>
        </w:rPr>
        <w:t>it coincides with the services they provide.</w:t>
      </w:r>
      <w:r w:rsidR="0049188B">
        <w:rPr>
          <w:lang w:val="en-GB"/>
        </w:rPr>
        <w:t xml:space="preserve"> </w:t>
      </w:r>
    </w:p>
    <w:p w:rsidR="00871450" w:rsidRPr="009A6F69" w:rsidRDefault="00871450" w:rsidP="00871450">
      <w:pPr>
        <w:rPr>
          <w:b/>
          <w:bCs/>
          <w:lang w:val="en-GB"/>
        </w:rPr>
      </w:pPr>
      <w:r w:rsidRPr="009A6F69">
        <w:rPr>
          <w:lang w:val="en-GB"/>
        </w:rPr>
        <w:t xml:space="preserve">There are several ways to analyze financial benefits to insured members. The commonest is to look at the benefit pay-out ratios (loss ratios) and management expenses. The global best practices allow for benefit pay out of 70-80%, </w:t>
      </w:r>
      <w:r w:rsidRPr="009A6F69">
        <w:rPr>
          <w:lang w:val="en-GB"/>
        </w:rPr>
        <w:lastRenderedPageBreak/>
        <w:t xml:space="preserve">administration expenses of up to 10% for social health insurance and up to 20% for private insurance. </w:t>
      </w:r>
    </w:p>
    <w:p w:rsidR="0021781A" w:rsidRPr="009A6F69" w:rsidRDefault="00871450" w:rsidP="00777751">
      <w:pPr>
        <w:rPr>
          <w:lang w:val="en-GB"/>
        </w:rPr>
      </w:pPr>
      <w:r w:rsidRPr="009A6F69">
        <w:rPr>
          <w:lang w:val="en-GB"/>
        </w:rPr>
        <w:t>NH</w:t>
      </w:r>
      <w:r w:rsidR="00570FA5" w:rsidRPr="009A6F69">
        <w:rPr>
          <w:lang w:val="en-GB"/>
        </w:rPr>
        <w:t>I</w:t>
      </w:r>
      <w:r w:rsidRPr="009A6F69">
        <w:rPr>
          <w:lang w:val="en-GB"/>
        </w:rPr>
        <w:t xml:space="preserve">F </w:t>
      </w:r>
      <w:proofErr w:type="spellStart"/>
      <w:r w:rsidR="009A6F69" w:rsidRPr="009A6F69">
        <w:rPr>
          <w:lang w:val="en-GB"/>
        </w:rPr>
        <w:t>pay out</w:t>
      </w:r>
      <w:proofErr w:type="spellEnd"/>
      <w:r w:rsidRPr="009A6F69">
        <w:rPr>
          <w:lang w:val="en-GB"/>
        </w:rPr>
        <w:t xml:space="preserve"> ratio has increased from a low of 32% in 2003 to the 2009 level of 55%. This is a significant improvement but it falls way below the global </w:t>
      </w:r>
      <w:r w:rsidR="009A6F69" w:rsidRPr="009A6F69">
        <w:rPr>
          <w:lang w:val="en-GB"/>
        </w:rPr>
        <w:t>benchmark</w:t>
      </w:r>
      <w:r w:rsidRPr="009A6F69">
        <w:rPr>
          <w:lang w:val="en-GB"/>
        </w:rPr>
        <w:t xml:space="preserve"> of 70-80%. CBHF schemes appeared to have to greatest financial benefit to members due to a very high </w:t>
      </w:r>
      <w:proofErr w:type="spellStart"/>
      <w:r w:rsidR="009A6F69" w:rsidRPr="009A6F69">
        <w:rPr>
          <w:lang w:val="en-GB"/>
        </w:rPr>
        <w:t>pay out</w:t>
      </w:r>
      <w:proofErr w:type="spellEnd"/>
      <w:r w:rsidRPr="009A6F69">
        <w:rPr>
          <w:lang w:val="en-GB"/>
        </w:rPr>
        <w:t xml:space="preserve"> ratio (92% to 102% for </w:t>
      </w:r>
      <w:proofErr w:type="spellStart"/>
      <w:r w:rsidRPr="009A6F69">
        <w:rPr>
          <w:lang w:val="en-GB"/>
        </w:rPr>
        <w:t>Jamii</w:t>
      </w:r>
      <w:proofErr w:type="spellEnd"/>
      <w:r w:rsidRPr="009A6F69">
        <w:rPr>
          <w:lang w:val="en-GB"/>
        </w:rPr>
        <w:t xml:space="preserve"> Bora from 2003-2005) (KSSIP, 2012).</w:t>
      </w:r>
    </w:p>
    <w:p w:rsidR="001F627A" w:rsidRPr="009A6F69" w:rsidRDefault="001F627A" w:rsidP="00B354BE">
      <w:pPr>
        <w:pStyle w:val="Caption"/>
        <w:spacing w:after="0"/>
      </w:pPr>
      <w:r w:rsidRPr="009A6F69">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9</w:t>
      </w:r>
      <w:r w:rsidR="001B3B9E" w:rsidRPr="009A6F69">
        <w:fldChar w:fldCharType="end"/>
      </w:r>
      <w:r w:rsidRPr="009A6F69">
        <w:t>: Health Insurance: Range of products from various prepaid schemes in Kenya</w:t>
      </w:r>
    </w:p>
    <w:tbl>
      <w:tblPr>
        <w:tblStyle w:val="TableGrid"/>
        <w:tblW w:w="0" w:type="auto"/>
        <w:tblLook w:val="04A0"/>
      </w:tblPr>
      <w:tblGrid>
        <w:gridCol w:w="1339"/>
        <w:gridCol w:w="937"/>
        <w:gridCol w:w="1066"/>
        <w:gridCol w:w="1046"/>
        <w:gridCol w:w="1057"/>
        <w:gridCol w:w="923"/>
        <w:gridCol w:w="1494"/>
      </w:tblGrid>
      <w:tr w:rsidR="00FD6B5C" w:rsidRPr="009A6F69" w:rsidTr="00624C08">
        <w:tc>
          <w:tcPr>
            <w:tcW w:w="1339" w:type="dxa"/>
          </w:tcPr>
          <w:p w:rsidR="00FD6B5C" w:rsidRPr="009A6F69" w:rsidRDefault="00FD6B5C" w:rsidP="00B354BE">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Prepaid Scheme</w:t>
            </w:r>
          </w:p>
        </w:tc>
        <w:tc>
          <w:tcPr>
            <w:tcW w:w="937" w:type="dxa"/>
          </w:tcPr>
          <w:p w:rsidR="00FD6B5C" w:rsidRPr="009A6F69" w:rsidRDefault="00FD6B5C" w:rsidP="00B354BE">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In-patient</w:t>
            </w:r>
          </w:p>
        </w:tc>
        <w:tc>
          <w:tcPr>
            <w:tcW w:w="1066" w:type="dxa"/>
          </w:tcPr>
          <w:p w:rsidR="00FD6B5C" w:rsidRPr="009A6F69" w:rsidRDefault="00FD6B5C" w:rsidP="00B354BE">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Outpatient Only</w:t>
            </w:r>
          </w:p>
        </w:tc>
        <w:tc>
          <w:tcPr>
            <w:tcW w:w="1046" w:type="dxa"/>
          </w:tcPr>
          <w:p w:rsidR="00FD6B5C" w:rsidRPr="009A6F69" w:rsidRDefault="00FD6B5C" w:rsidP="00B354BE">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In-patient and outpatient </w:t>
            </w:r>
          </w:p>
        </w:tc>
        <w:tc>
          <w:tcPr>
            <w:tcW w:w="1057" w:type="dxa"/>
          </w:tcPr>
          <w:p w:rsidR="00FD6B5C" w:rsidRPr="009A6F69" w:rsidRDefault="00FD6B5C" w:rsidP="00B354BE">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Individual Cover</w:t>
            </w:r>
          </w:p>
        </w:tc>
        <w:tc>
          <w:tcPr>
            <w:tcW w:w="923" w:type="dxa"/>
          </w:tcPr>
          <w:p w:rsidR="00FD6B5C" w:rsidRPr="009A6F69" w:rsidRDefault="00FD6B5C" w:rsidP="00B354BE">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Group </w:t>
            </w:r>
            <w:r w:rsidR="00574E44" w:rsidRPr="009A6F69">
              <w:rPr>
                <w:rFonts w:ascii="Times New Roman" w:hAnsi="Times New Roman" w:cs="Times New Roman"/>
                <w:sz w:val="20"/>
                <w:szCs w:val="20"/>
                <w:lang w:val="en-GB"/>
              </w:rPr>
              <w:t>Cover</w:t>
            </w:r>
          </w:p>
        </w:tc>
        <w:tc>
          <w:tcPr>
            <w:tcW w:w="1494" w:type="dxa"/>
          </w:tcPr>
          <w:p w:rsidR="00FD6B5C" w:rsidRPr="009A6F69" w:rsidRDefault="00FD6B5C" w:rsidP="00B354BE">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Waiting Period (gynaecological conditions)</w:t>
            </w:r>
          </w:p>
        </w:tc>
      </w:tr>
      <w:tr w:rsidR="00FD6B5C" w:rsidRPr="009A6F69" w:rsidTr="00624C08">
        <w:tc>
          <w:tcPr>
            <w:tcW w:w="1339" w:type="dxa"/>
          </w:tcPr>
          <w:p w:rsidR="00FD6B5C" w:rsidRPr="009A6F69" w:rsidRDefault="00FD6B5C" w:rsidP="00B354BE">
            <w:pPr>
              <w:spacing w:line="240" w:lineRule="auto"/>
              <w:rPr>
                <w:rFonts w:ascii="Times New Roman" w:hAnsi="Times New Roman" w:cs="Times New Roman"/>
                <w:sz w:val="20"/>
                <w:szCs w:val="20"/>
                <w:lang w:val="en-GB"/>
              </w:rPr>
            </w:pPr>
            <w:proofErr w:type="spellStart"/>
            <w:r w:rsidRPr="009A6F69">
              <w:rPr>
                <w:rFonts w:ascii="Times New Roman" w:hAnsi="Times New Roman" w:cs="Times New Roman"/>
                <w:sz w:val="20"/>
                <w:szCs w:val="20"/>
                <w:lang w:val="en-GB"/>
              </w:rPr>
              <w:t>Britak</w:t>
            </w:r>
            <w:proofErr w:type="spellEnd"/>
            <w:r w:rsidRPr="009A6F69">
              <w:rPr>
                <w:rFonts w:ascii="Times New Roman" w:hAnsi="Times New Roman" w:cs="Times New Roman"/>
                <w:sz w:val="20"/>
                <w:szCs w:val="20"/>
                <w:lang w:val="en-GB"/>
              </w:rPr>
              <w:t xml:space="preserve"> </w:t>
            </w:r>
          </w:p>
        </w:tc>
        <w:tc>
          <w:tcPr>
            <w:tcW w:w="93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6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4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5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923"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494"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12 months </w:t>
            </w:r>
          </w:p>
        </w:tc>
      </w:tr>
      <w:tr w:rsidR="00FD6B5C" w:rsidRPr="009A6F69" w:rsidTr="00624C08">
        <w:tc>
          <w:tcPr>
            <w:tcW w:w="1339"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APA</w:t>
            </w:r>
          </w:p>
        </w:tc>
        <w:tc>
          <w:tcPr>
            <w:tcW w:w="93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6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4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5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923"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494" w:type="dxa"/>
          </w:tcPr>
          <w:p w:rsidR="00FD6B5C" w:rsidRPr="009A6F69" w:rsidRDefault="00FD6B5C" w:rsidP="00B354BE">
            <w:pPr>
              <w:spacing w:line="240" w:lineRule="auto"/>
              <w:rPr>
                <w:rFonts w:ascii="Times New Roman" w:hAnsi="Times New Roman" w:cs="Times New Roman"/>
                <w:sz w:val="20"/>
                <w:szCs w:val="20"/>
                <w:lang w:val="en-GB"/>
              </w:rPr>
            </w:pPr>
          </w:p>
        </w:tc>
      </w:tr>
      <w:tr w:rsidR="00FD6B5C" w:rsidRPr="009A6F69" w:rsidTr="00624C08">
        <w:tc>
          <w:tcPr>
            <w:tcW w:w="1339"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Jubilee</w:t>
            </w:r>
          </w:p>
        </w:tc>
        <w:tc>
          <w:tcPr>
            <w:tcW w:w="93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6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4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5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923"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494"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24 months</w:t>
            </w:r>
          </w:p>
        </w:tc>
      </w:tr>
      <w:tr w:rsidR="00FD6B5C" w:rsidRPr="009A6F69" w:rsidTr="00624C08">
        <w:tc>
          <w:tcPr>
            <w:tcW w:w="1339"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UAP</w:t>
            </w:r>
          </w:p>
        </w:tc>
        <w:tc>
          <w:tcPr>
            <w:tcW w:w="93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6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4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5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923"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494" w:type="dxa"/>
          </w:tcPr>
          <w:p w:rsidR="00FD6B5C" w:rsidRPr="009A6F69" w:rsidRDefault="00FD6B5C" w:rsidP="00B354BE">
            <w:pPr>
              <w:spacing w:line="240" w:lineRule="auto"/>
              <w:rPr>
                <w:rFonts w:ascii="Times New Roman" w:hAnsi="Times New Roman" w:cs="Times New Roman"/>
                <w:sz w:val="20"/>
                <w:szCs w:val="20"/>
                <w:lang w:val="en-GB"/>
              </w:rPr>
            </w:pPr>
          </w:p>
        </w:tc>
      </w:tr>
      <w:tr w:rsidR="00FD6B5C" w:rsidRPr="009A6F69" w:rsidTr="00624C08">
        <w:tc>
          <w:tcPr>
            <w:tcW w:w="1339"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CFC/Heritage</w:t>
            </w:r>
          </w:p>
        </w:tc>
        <w:tc>
          <w:tcPr>
            <w:tcW w:w="93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6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4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5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923"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494" w:type="dxa"/>
          </w:tcPr>
          <w:p w:rsidR="00FD6B5C" w:rsidRPr="009A6F69" w:rsidRDefault="00FD6B5C" w:rsidP="00B354BE">
            <w:pPr>
              <w:spacing w:line="240" w:lineRule="auto"/>
              <w:rPr>
                <w:rFonts w:ascii="Times New Roman" w:hAnsi="Times New Roman" w:cs="Times New Roman"/>
                <w:sz w:val="20"/>
                <w:szCs w:val="20"/>
                <w:lang w:val="en-GB"/>
              </w:rPr>
            </w:pPr>
          </w:p>
        </w:tc>
      </w:tr>
      <w:tr w:rsidR="00FD6B5C" w:rsidRPr="009A6F69" w:rsidTr="00624C08">
        <w:tc>
          <w:tcPr>
            <w:tcW w:w="1339"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AAR</w:t>
            </w:r>
          </w:p>
        </w:tc>
        <w:tc>
          <w:tcPr>
            <w:tcW w:w="93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6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4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5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923"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494" w:type="dxa"/>
          </w:tcPr>
          <w:p w:rsidR="00FD6B5C" w:rsidRPr="009A6F69" w:rsidRDefault="00FD6B5C" w:rsidP="00B354BE">
            <w:pPr>
              <w:spacing w:line="240" w:lineRule="auto"/>
              <w:rPr>
                <w:rFonts w:ascii="Times New Roman" w:hAnsi="Times New Roman" w:cs="Times New Roman"/>
                <w:sz w:val="20"/>
                <w:szCs w:val="20"/>
                <w:lang w:val="en-GB"/>
              </w:rPr>
            </w:pPr>
          </w:p>
        </w:tc>
      </w:tr>
      <w:tr w:rsidR="00FD6B5C" w:rsidRPr="009A6F69" w:rsidTr="00624C08">
        <w:tc>
          <w:tcPr>
            <w:tcW w:w="1339"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RHEA</w:t>
            </w:r>
          </w:p>
        </w:tc>
        <w:tc>
          <w:tcPr>
            <w:tcW w:w="93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6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4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5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923"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494" w:type="dxa"/>
          </w:tcPr>
          <w:p w:rsidR="00FD6B5C" w:rsidRPr="009A6F69" w:rsidRDefault="00FD6B5C" w:rsidP="00B354BE">
            <w:pPr>
              <w:spacing w:line="240" w:lineRule="auto"/>
              <w:rPr>
                <w:rFonts w:ascii="Times New Roman" w:hAnsi="Times New Roman" w:cs="Times New Roman"/>
                <w:sz w:val="20"/>
                <w:szCs w:val="20"/>
                <w:lang w:val="en-GB"/>
              </w:rPr>
            </w:pPr>
          </w:p>
        </w:tc>
      </w:tr>
      <w:tr w:rsidR="00FD6B5C" w:rsidRPr="009A6F69" w:rsidTr="00624C08">
        <w:tc>
          <w:tcPr>
            <w:tcW w:w="1339"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NHIF</w:t>
            </w:r>
          </w:p>
        </w:tc>
        <w:tc>
          <w:tcPr>
            <w:tcW w:w="93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6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4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5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923"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494" w:type="dxa"/>
          </w:tcPr>
          <w:p w:rsidR="00FD6B5C" w:rsidRPr="009A6F69" w:rsidRDefault="00FD6B5C" w:rsidP="00B354BE">
            <w:pPr>
              <w:spacing w:line="240" w:lineRule="auto"/>
              <w:rPr>
                <w:rFonts w:ascii="Times New Roman" w:hAnsi="Times New Roman" w:cs="Times New Roman"/>
                <w:sz w:val="20"/>
                <w:szCs w:val="20"/>
                <w:lang w:val="en-GB"/>
              </w:rPr>
            </w:pPr>
          </w:p>
        </w:tc>
      </w:tr>
      <w:tr w:rsidR="00FD6B5C" w:rsidRPr="009A6F69" w:rsidTr="00624C08">
        <w:tc>
          <w:tcPr>
            <w:tcW w:w="1339" w:type="dxa"/>
          </w:tcPr>
          <w:p w:rsidR="00FD6B5C" w:rsidRPr="009A6F69" w:rsidRDefault="00FD6B5C" w:rsidP="00B354BE">
            <w:pPr>
              <w:spacing w:line="240" w:lineRule="auto"/>
              <w:rPr>
                <w:rFonts w:ascii="Times New Roman" w:hAnsi="Times New Roman" w:cs="Times New Roman"/>
                <w:sz w:val="20"/>
                <w:szCs w:val="20"/>
                <w:lang w:val="en-GB"/>
              </w:rPr>
            </w:pPr>
            <w:proofErr w:type="spellStart"/>
            <w:r w:rsidRPr="009A6F69">
              <w:rPr>
                <w:rFonts w:ascii="Times New Roman" w:hAnsi="Times New Roman" w:cs="Times New Roman"/>
                <w:sz w:val="20"/>
                <w:szCs w:val="20"/>
                <w:lang w:val="en-GB"/>
              </w:rPr>
              <w:t>Jamii</w:t>
            </w:r>
            <w:proofErr w:type="spellEnd"/>
            <w:r w:rsidRPr="009A6F69">
              <w:rPr>
                <w:rFonts w:ascii="Times New Roman" w:hAnsi="Times New Roman" w:cs="Times New Roman"/>
                <w:sz w:val="20"/>
                <w:szCs w:val="20"/>
                <w:lang w:val="en-GB"/>
              </w:rPr>
              <w:t xml:space="preserve"> Bora</w:t>
            </w:r>
          </w:p>
        </w:tc>
        <w:tc>
          <w:tcPr>
            <w:tcW w:w="93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6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No</w:t>
            </w:r>
          </w:p>
        </w:tc>
        <w:tc>
          <w:tcPr>
            <w:tcW w:w="1046"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057"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923" w:type="dxa"/>
          </w:tcPr>
          <w:p w:rsidR="00FD6B5C" w:rsidRPr="009A6F69" w:rsidRDefault="00FD6B5C" w:rsidP="00B354BE">
            <w:pPr>
              <w:spacing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Yes</w:t>
            </w:r>
          </w:p>
        </w:tc>
        <w:tc>
          <w:tcPr>
            <w:tcW w:w="1494" w:type="dxa"/>
          </w:tcPr>
          <w:p w:rsidR="00FD6B5C" w:rsidRPr="009A6F69" w:rsidRDefault="00FD6B5C" w:rsidP="00B354BE">
            <w:pPr>
              <w:spacing w:line="240" w:lineRule="auto"/>
              <w:rPr>
                <w:rFonts w:ascii="Times New Roman" w:hAnsi="Times New Roman" w:cs="Times New Roman"/>
                <w:sz w:val="20"/>
                <w:szCs w:val="20"/>
                <w:lang w:val="en-GB"/>
              </w:rPr>
            </w:pPr>
          </w:p>
        </w:tc>
      </w:tr>
    </w:tbl>
    <w:p w:rsidR="00F53674" w:rsidRPr="009A6F69" w:rsidRDefault="004172A0" w:rsidP="00747268">
      <w:pPr>
        <w:pStyle w:val="NormalWeb"/>
        <w:spacing w:before="0" w:beforeAutospacing="0" w:after="120" w:afterAutospacing="0"/>
        <w:rPr>
          <w:lang w:val="en-GB"/>
        </w:rPr>
      </w:pPr>
      <w:r w:rsidRPr="009A6F69">
        <w:rPr>
          <w:lang w:val="en-GB"/>
        </w:rPr>
        <w:t xml:space="preserve">Adapted from Deloitte Consulting, 2011. </w:t>
      </w:r>
      <w:proofErr w:type="gramStart"/>
      <w:r w:rsidRPr="009A6F69">
        <w:rPr>
          <w:i/>
          <w:iCs/>
          <w:lang w:val="en-GB"/>
        </w:rPr>
        <w:t>Market Assessment of Private Prepaid Schemes in Kenya</w:t>
      </w:r>
      <w:r w:rsidRPr="009A6F69">
        <w:rPr>
          <w:lang w:val="en-GB"/>
        </w:rPr>
        <w:t>, Nairobi.</w:t>
      </w:r>
      <w:proofErr w:type="gramEnd"/>
    </w:p>
    <w:p w:rsidR="00061D8D" w:rsidRPr="009A6F69" w:rsidRDefault="001B3B9E" w:rsidP="00777751">
      <w:pPr>
        <w:rPr>
          <w:lang w:val="en-GB"/>
        </w:rPr>
      </w:pPr>
      <w:r w:rsidRPr="001B3B9E">
        <w:rPr>
          <w:noProof/>
          <w:lang w:val="en-GB"/>
        </w:rPr>
        <w:pict>
          <v:shape id="Text Box 3" o:spid="_x0000_s1035" type="#_x0000_t202" style="position:absolute;margin-left:3in;margin-top:15.45pt;width:198pt;height:163.9pt;z-index:25165926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" fillcolor="#f2f2f2 [3052]" strokecolor="#4f81bd [3204]" strokeweight="2pt">
            <v:shadow on="t50800f" opacity="26214f" origin="-.5,-.5" offset=".74836mm,.74836mm"/>
            <v:textbox>
              <w:txbxContent>
                <w:p w:rsidR="000221CD" w:rsidRPr="00D6291E" w:rsidRDefault="000221CD" w:rsidP="008416F2">
                  <w:pPr>
                    <w:spacing w:after="0" w:line="240" w:lineRule="auto"/>
                    <w:rPr>
                      <w:sz w:val="20"/>
                    </w:rPr>
                  </w:pPr>
                  <w:r w:rsidRPr="00D6291E">
                    <w:rPr>
                      <w:sz w:val="20"/>
                    </w:rPr>
                    <w:t xml:space="preserve">Case study: </w:t>
                  </w:r>
                  <w:r w:rsidRPr="00D6291E">
                    <w:rPr>
                      <w:b/>
                      <w:sz w:val="20"/>
                    </w:rPr>
                    <w:t xml:space="preserve">Jubilee Insurance Co Ltd. </w:t>
                  </w:r>
                </w:p>
                <w:p w:rsidR="000221CD" w:rsidRPr="00D6291E" w:rsidRDefault="000221CD" w:rsidP="008416F2">
                  <w:pPr>
                    <w:spacing w:after="0" w:line="240" w:lineRule="auto"/>
                    <w:rPr>
                      <w:sz w:val="20"/>
                    </w:rPr>
                  </w:pPr>
                  <w:r w:rsidRPr="00D6291E">
                    <w:rPr>
                      <w:sz w:val="20"/>
                    </w:rPr>
                    <w:t>Jubilee Insurance Co ltd is the market leader in medical insurance business with 29% of the market. In 2011</w:t>
                  </w:r>
                  <w:r>
                    <w:rPr>
                      <w:sz w:val="20"/>
                    </w:rPr>
                    <w:t>,</w:t>
                  </w:r>
                  <w:r w:rsidRPr="00D6291E">
                    <w:rPr>
                      <w:sz w:val="20"/>
                    </w:rPr>
                    <w:t xml:space="preserve"> Jubilee Holdings Limited reported gross written premiums </w:t>
                  </w:r>
                  <w:proofErr w:type="spellStart"/>
                  <w:r w:rsidRPr="00D6291E">
                    <w:rPr>
                      <w:sz w:val="20"/>
                    </w:rPr>
                    <w:t>Kshs</w:t>
                  </w:r>
                  <w:proofErr w:type="spellEnd"/>
                  <w:r w:rsidRPr="00D6291E">
                    <w:rPr>
                      <w:sz w:val="20"/>
                    </w:rPr>
                    <w:t xml:space="preserve"> 20.251 billion.  Medical insurance grew faster than the overall business reporting premiums </w:t>
                  </w:r>
                  <w:proofErr w:type="gramStart"/>
                  <w:r w:rsidRPr="00D6291E">
                    <w:rPr>
                      <w:sz w:val="20"/>
                    </w:rPr>
                    <w:t xml:space="preserve">of  </w:t>
                  </w:r>
                  <w:proofErr w:type="spellStart"/>
                  <w:r w:rsidRPr="00D6291E">
                    <w:rPr>
                      <w:sz w:val="20"/>
                    </w:rPr>
                    <w:t>Kshs</w:t>
                  </w:r>
                  <w:proofErr w:type="spellEnd"/>
                  <w:proofErr w:type="gramEnd"/>
                  <w:r w:rsidRPr="00D6291E">
                    <w:rPr>
                      <w:sz w:val="20"/>
                    </w:rPr>
                    <w:t xml:space="preserve"> 5.042 billion. Sound underwriting and provider relationship management enabled Jubilee to report an underwriting profitability of </w:t>
                  </w:r>
                  <w:proofErr w:type="spellStart"/>
                  <w:r w:rsidRPr="00D6291E">
                    <w:rPr>
                      <w:sz w:val="20"/>
                    </w:rPr>
                    <w:t>Kshs</w:t>
                  </w:r>
                  <w:proofErr w:type="spellEnd"/>
                  <w:r w:rsidRPr="00D6291E">
                    <w:rPr>
                      <w:sz w:val="20"/>
                    </w:rPr>
                    <w:t xml:space="preserve"> 283 million in 2012.</w:t>
                  </w:r>
                  <w:r w:rsidR="001B3B9E" w:rsidRPr="00D6291E">
                    <w:rPr>
                      <w:sz w:val="20"/>
                    </w:rPr>
                    <w:fldChar w:fldCharType="begin" w:fldLock="1"/>
                  </w:r>
                  <w:r>
                    <w:rPr>
                      <w:sz w:val="20"/>
                    </w:rPr>
                    <w:instrText>ADDIN CSL_CITATION { "citationItems" : [ { "id" : "ITEM-1", "itemData" : { "author" : [ { "dropping-particle" : "", "family" : "Jubilee Holdings Ltd", "given" : "", "non-dropping-particle" : "", "parse-names" : false, "suffix" : "" } ], "id" : "ITEM-1", "issued" : { "date-parts" : [ [ "2012" ] ] }, "page" : "1-45", "publisher-place" : "Nairobi", "title" : "Jubilee Holding: 2012 Annual Report &amp; FInancial Statements", "type" : "report" }, "uris" : [ "http://www.mendeley.com/documents/?uuid=48a91433-a8ff-4f58-acb3-fcc8ea6c4543" ] } ], "mendeley" : { "previouslyFormattedCitation" : "(Jubilee Holdings Ltd, 2012)" }, "properties" : { "noteIndex" : 0 }, "schema" : "https://github.com/citation-style-language/schema/raw/master/csl-citation.json" }</w:instrText>
                  </w:r>
                  <w:r w:rsidR="001B3B9E" w:rsidRPr="00D6291E">
                    <w:rPr>
                      <w:sz w:val="20"/>
                    </w:rPr>
                    <w:fldChar w:fldCharType="separate"/>
                  </w:r>
                  <w:r w:rsidRPr="00D6291E">
                    <w:rPr>
                      <w:noProof/>
                      <w:sz w:val="20"/>
                    </w:rPr>
                    <w:t>(Jubilee Holdings Ltd, 2012)</w:t>
                  </w:r>
                  <w:r w:rsidR="001B3B9E" w:rsidRPr="00D6291E">
                    <w:rPr>
                      <w:sz w:val="20"/>
                    </w:rPr>
                    <w:fldChar w:fldCharType="end"/>
                  </w:r>
                  <w:r w:rsidRPr="00D6291E">
                    <w:rPr>
                      <w:sz w:val="20"/>
                    </w:rPr>
                    <w:t xml:space="preserve">. </w:t>
                  </w:r>
                </w:p>
                <w:p w:rsidR="000221CD" w:rsidRPr="00D6291E" w:rsidRDefault="000221CD">
                  <w:pPr>
                    <w:rPr>
                      <w:sz w:val="20"/>
                    </w:rPr>
                  </w:pPr>
                </w:p>
              </w:txbxContent>
            </v:textbox>
            <w10:wrap type="square"/>
          </v:shape>
        </w:pict>
      </w:r>
      <w:r w:rsidR="00C2096E" w:rsidRPr="009A6F69">
        <w:rPr>
          <w:lang w:val="en-GB"/>
        </w:rPr>
        <w:t>Further individual insurance schemes are small</w:t>
      </w:r>
      <w:r w:rsidR="00D82575" w:rsidRPr="009A6F69">
        <w:rPr>
          <w:lang w:val="en-GB"/>
        </w:rPr>
        <w:t xml:space="preserve">, </w:t>
      </w:r>
      <w:r w:rsidR="00C963FF" w:rsidRPr="009A6F69">
        <w:rPr>
          <w:lang w:val="en-GB"/>
        </w:rPr>
        <w:t>independent of each other</w:t>
      </w:r>
      <w:r w:rsidR="00D82575" w:rsidRPr="009A6F69">
        <w:rPr>
          <w:lang w:val="en-GB"/>
        </w:rPr>
        <w:t xml:space="preserve"> and </w:t>
      </w:r>
      <w:r w:rsidR="002C01F9" w:rsidRPr="009A6F69">
        <w:rPr>
          <w:lang w:val="en-GB"/>
        </w:rPr>
        <w:t xml:space="preserve">required to report each insurance line </w:t>
      </w:r>
      <w:r w:rsidR="00AC6FEF" w:rsidRPr="009A6F69">
        <w:rPr>
          <w:lang w:val="en-GB"/>
        </w:rPr>
        <w:t xml:space="preserve">separately. </w:t>
      </w:r>
      <w:r w:rsidR="002C01F9" w:rsidRPr="009A6F69">
        <w:rPr>
          <w:lang w:val="en-GB"/>
        </w:rPr>
        <w:t>This competitive structure does not allow</w:t>
      </w:r>
      <w:r w:rsidR="00D82575" w:rsidRPr="009A6F69">
        <w:rPr>
          <w:lang w:val="en-GB"/>
        </w:rPr>
        <w:t xml:space="preserve"> cross-subsidization across income groups and the financial risks of illness to be shared between the sick and the healthy. </w:t>
      </w:r>
      <w:r w:rsidR="00802CFE" w:rsidRPr="009A6F69">
        <w:rPr>
          <w:lang w:val="en-GB"/>
        </w:rPr>
        <w:t>Further, pricing of health insurance in Kenya is generally done by referring to competitors</w:t>
      </w:r>
      <w:r w:rsidR="00EB540A" w:rsidRPr="009A6F69">
        <w:rPr>
          <w:lang w:val="en-GB"/>
        </w:rPr>
        <w:t>’</w:t>
      </w:r>
      <w:r w:rsidR="00802CFE" w:rsidRPr="009A6F69">
        <w:rPr>
          <w:lang w:val="en-GB"/>
        </w:rPr>
        <w:t xml:space="preserve"> premium, not through any analysis of actual or potential claims. </w:t>
      </w:r>
      <w:r w:rsidR="006E7D84" w:rsidRPr="009A6F69">
        <w:rPr>
          <w:lang w:val="en-GB"/>
        </w:rPr>
        <w:t>M</w:t>
      </w:r>
      <w:r w:rsidR="00D82575" w:rsidRPr="009A6F69">
        <w:rPr>
          <w:lang w:val="en-GB"/>
        </w:rPr>
        <w:t xml:space="preserve">ultiple, small risk pools (e.g. insurance </w:t>
      </w:r>
      <w:r w:rsidR="00D82575" w:rsidRPr="009A6F69">
        <w:rPr>
          <w:lang w:val="en-GB"/>
        </w:rPr>
        <w:lastRenderedPageBreak/>
        <w:t xml:space="preserve">schemes) are </w:t>
      </w:r>
      <w:r w:rsidR="00D85B60" w:rsidRPr="009A6F69">
        <w:rPr>
          <w:lang w:val="en-GB"/>
        </w:rPr>
        <w:t xml:space="preserve">generally </w:t>
      </w:r>
      <w:r w:rsidR="00D82575" w:rsidRPr="009A6F69">
        <w:rPr>
          <w:lang w:val="en-GB"/>
        </w:rPr>
        <w:t>not viable without some mechanism for transferring funds between them according to the risk profiles and incomes of their populations,</w:t>
      </w:r>
      <w:r w:rsidRPr="009A6F69">
        <w:rPr>
          <w:lang w:val="en-GB"/>
        </w:rPr>
        <w:fldChar w:fldCharType="begin" w:fldLock="1"/>
      </w:r>
      <w:r w:rsidR="004F4010">
        <w:rPr>
          <w:lang w:val="en-GB"/>
        </w:rPr>
        <w:instrText>ADDIN CSL_CITATION { "citationItems" : [ { "id" : "ITEM-1", "itemData" : { "DOI" : "10.2471/BLT.08.060137", "author" : [ { "dropping-particle" : "", "family" : "Carrin", "given" : "Guy", "non-dropping-particle" : "", "parse-names" : false, "suffix" : "" }, { "dropping-particle" : "", "family" : "Xu", "given" : "Ke", "non-dropping-particle" : "", "parse-names" : false, "suffix" : "" }, { "dropping-particle" : "", "family" : "Evans", "given" : "David B", "non-dropping-particle" : "", "parse-names" : false, "suffix" : "" } ], "container-title" : "Bulletin of the World Health Organization", "id" : "ITEM-1", "issue" : "November", "issued" : { "date-parts" : [ [ "2008" ] ] }, "page" : "60137-60137", "title" : "Editorials Exploring the features of universal coverage", "type" : "article-journal", "volume" : "86" }, "uris" : [ "http://www.mendeley.com/documents/?uuid=4cbf729b-e8d0-489c-82bd-67ce1a185211" ] } ], "mendeley" : { "previouslyFormattedCitation" : "(Carrin et al., 2008)" }, "properties" : { "noteIndex" : 0 }, "schema" : "https://github.com/citation-style-language/schema/raw/master/csl-citation.json" }</w:instrText>
      </w:r>
      <w:r w:rsidRPr="009A6F69">
        <w:rPr>
          <w:lang w:val="en-GB"/>
        </w:rPr>
        <w:fldChar w:fldCharType="separate"/>
      </w:r>
      <w:r w:rsidR="00C63BB9" w:rsidRPr="009A6F69">
        <w:rPr>
          <w:noProof/>
          <w:lang w:val="en-GB"/>
        </w:rPr>
        <w:t>(</w:t>
      </w:r>
      <w:proofErr w:type="spellStart"/>
      <w:r w:rsidR="00C63BB9" w:rsidRPr="009A6F69">
        <w:rPr>
          <w:noProof/>
          <w:lang w:val="en-GB"/>
        </w:rPr>
        <w:t>Carrin</w:t>
      </w:r>
      <w:proofErr w:type="spellEnd"/>
      <w:r w:rsidR="00C63BB9" w:rsidRPr="009A6F69">
        <w:rPr>
          <w:noProof/>
          <w:lang w:val="en-GB"/>
        </w:rPr>
        <w:t xml:space="preserve"> et al., 2008)</w:t>
      </w:r>
      <w:r w:rsidRPr="009A6F69">
        <w:rPr>
          <w:lang w:val="en-GB"/>
        </w:rPr>
        <w:fldChar w:fldCharType="end"/>
      </w:r>
      <w:r w:rsidR="00D82575" w:rsidRPr="009A6F69">
        <w:rPr>
          <w:lang w:val="en-GB"/>
        </w:rPr>
        <w:t>.</w:t>
      </w:r>
      <w:r w:rsidR="00DD2A06" w:rsidRPr="009A6F69">
        <w:rPr>
          <w:lang w:val="en-GB"/>
        </w:rPr>
        <w:t xml:space="preserve"> </w:t>
      </w:r>
      <w:r w:rsidR="00061D8D" w:rsidRPr="009A6F69">
        <w:rPr>
          <w:lang w:val="en-GB"/>
        </w:rPr>
        <w:t xml:space="preserve">The </w:t>
      </w:r>
      <w:r w:rsidR="00F63562" w:rsidRPr="009A6F69">
        <w:rPr>
          <w:lang w:val="en-GB"/>
        </w:rPr>
        <w:t xml:space="preserve">challenge of </w:t>
      </w:r>
      <w:r w:rsidR="00061D8D" w:rsidRPr="009A6F69">
        <w:rPr>
          <w:lang w:val="en-GB"/>
        </w:rPr>
        <w:t xml:space="preserve">small pools are illustrated by insurance companies being unwilling to underwrite the risk for outpatient care but prepared to offer claims administration especially to large private companies that </w:t>
      </w:r>
      <w:r w:rsidR="00696309" w:rsidRPr="009A6F69">
        <w:rPr>
          <w:lang w:val="en-GB"/>
        </w:rPr>
        <w:t>self-</w:t>
      </w:r>
      <w:r w:rsidR="00061D8D" w:rsidRPr="009A6F69">
        <w:rPr>
          <w:lang w:val="en-GB"/>
        </w:rPr>
        <w:t>insure</w:t>
      </w:r>
      <w:r w:rsidR="00696309" w:rsidRPr="009A6F69">
        <w:rPr>
          <w:lang w:val="en-GB"/>
        </w:rPr>
        <w:t>,</w:t>
      </w:r>
      <w:r w:rsidRPr="009A6F69">
        <w:rPr>
          <w:lang w:val="en-GB"/>
        </w:rPr>
        <w:fldChar w:fldCharType="begin" w:fldLock="1"/>
      </w:r>
      <w:r w:rsidR="004F4010">
        <w:rPr>
          <w:lang w:val="en-GB"/>
        </w:rPr>
        <w:instrText>ADDIN CSL_CITATION { "citationItems" : [ { "id" : "ITEM-1", "itemData" : { "author" : [ { "dropping-particle" : "", "family" : "The World Bank", "given" : "", "non-dropping-particle" : "", "parse-names" : false, "suffix" : "" } ], "collection-editor" : "World Bank Working Papers", "id" : "ITEM-1", "issued" : { "date-parts" : [ [ "2010" ] ] }, "number" : "193", "page" : "1-190", "publisher-place" : "Washington DC", "title" : "Private Health Sector Assessment in Kenya", "type" : "article" }, "uris" : [ "http://www.mendeley.com/documents/?uuid=1af543fd-2640-45d9-8fa6-f8f77f9331e2" ] } ], "mendeley" : { "previouslyFormattedCitation" : "(The World Bank, 2010)" }, "properties" : { "noteIndex" : 0 }, "schema" : "https://github.com/citation-style-language/schema/raw/master/csl-citation.json" }</w:instrText>
      </w:r>
      <w:r w:rsidRPr="009A6F69">
        <w:rPr>
          <w:lang w:val="en-GB"/>
        </w:rPr>
        <w:fldChar w:fldCharType="separate"/>
      </w:r>
      <w:r w:rsidR="00696309" w:rsidRPr="009A6F69">
        <w:rPr>
          <w:noProof/>
          <w:lang w:val="en-GB"/>
        </w:rPr>
        <w:t>(The World Bank, 2010)</w:t>
      </w:r>
      <w:r w:rsidRPr="009A6F69">
        <w:rPr>
          <w:lang w:val="en-GB"/>
        </w:rPr>
        <w:fldChar w:fldCharType="end"/>
      </w:r>
      <w:r w:rsidR="00061D8D" w:rsidRPr="009A6F69">
        <w:rPr>
          <w:lang w:val="en-GB"/>
        </w:rPr>
        <w:t xml:space="preserve">. </w:t>
      </w:r>
      <w:r w:rsidR="00D85B60" w:rsidRPr="009A6F69">
        <w:rPr>
          <w:lang w:val="en-GB"/>
        </w:rPr>
        <w:t xml:space="preserve">They therefore have high premiums and are seen by the general public and companies as profiting excessively. </w:t>
      </w:r>
    </w:p>
    <w:p w:rsidR="00331F80" w:rsidRPr="009A6F69" w:rsidRDefault="001B3B9E" w:rsidP="00777751">
      <w:pPr>
        <w:rPr>
          <w:lang w:val="en-GB"/>
        </w:rPr>
      </w:pPr>
      <w:r>
        <w:rPr>
          <w:noProof/>
        </w:rPr>
        <w:pict>
          <v:shape id="Text Box 5" o:spid="_x0000_s1036" type="#_x0000_t202" style="position:absolute;margin-left:234pt;margin-top:28.15pt;width:198pt;height:153pt;z-index:25166131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" fillcolor="#f2f2f2 [3052]" strokecolor="#4f81bd [3204]" strokeweight="2pt">
            <v:textbox>
              <w:txbxContent>
                <w:p w:rsidR="000221CD" w:rsidRPr="00202C6E" w:rsidRDefault="000221CD" w:rsidP="00202C6E">
                  <w:pPr>
                    <w:spacing w:line="240" w:lineRule="auto"/>
                    <w:rPr>
                      <w:sz w:val="20"/>
                      <w:szCs w:val="20"/>
                    </w:rPr>
                  </w:pPr>
                  <w:r w:rsidRPr="00202C6E">
                    <w:rPr>
                      <w:sz w:val="20"/>
                      <w:szCs w:val="20"/>
                      <w:lang w:val="en-GB"/>
                    </w:rPr>
                    <w:t xml:space="preserve">At present, the most successful CBHI program in Kenya is </w:t>
                  </w:r>
                  <w:proofErr w:type="spellStart"/>
                  <w:r w:rsidRPr="00202C6E">
                    <w:rPr>
                      <w:sz w:val="20"/>
                      <w:szCs w:val="20"/>
                      <w:lang w:val="en-GB"/>
                    </w:rPr>
                    <w:t>Jamii</w:t>
                  </w:r>
                  <w:proofErr w:type="spellEnd"/>
                  <w:r w:rsidRPr="00202C6E">
                    <w:rPr>
                      <w:sz w:val="20"/>
                      <w:szCs w:val="20"/>
                      <w:lang w:val="en-GB"/>
                    </w:rPr>
                    <w:t xml:space="preserve"> Bora Health Insurance (JBHI). It has an estimated membership of up to 13, 000. The annual contribution of members is </w:t>
                  </w:r>
                  <w:proofErr w:type="spellStart"/>
                  <w:r w:rsidRPr="00202C6E">
                    <w:rPr>
                      <w:sz w:val="20"/>
                      <w:szCs w:val="20"/>
                      <w:lang w:val="en-GB"/>
                    </w:rPr>
                    <w:t>Ksh</w:t>
                  </w:r>
                  <w:proofErr w:type="spellEnd"/>
                  <w:r w:rsidRPr="00202C6E">
                    <w:rPr>
                      <w:sz w:val="20"/>
                      <w:szCs w:val="20"/>
                      <w:lang w:val="en-GB"/>
                    </w:rPr>
                    <w:t xml:space="preserve"> 1,200 (US$ 16) per member covering a family of up to six, </w:t>
                  </w:r>
                  <w:r w:rsidR="001B3B9E" w:rsidRPr="00202C6E">
                    <w:rPr>
                      <w:sz w:val="20"/>
                      <w:szCs w:val="20"/>
                      <w:lang w:val="en-GB"/>
                    </w:rPr>
                    <w:fldChar w:fldCharType="begin" w:fldLock="1"/>
                  </w:r>
                  <w:r>
                    <w:rPr>
                      <w:sz w:val="20"/>
                      <w:szCs w:val="20"/>
                      <w:lang w:val="en-GB"/>
                    </w:rPr>
                    <w:instrText>ADDIN CSL_CITATION { "citationItems" : [ { "id" : "ITEM-1", "itemData" : { "ISSN" : "1937-8688", "PMID" : "22891093", "abstract" : "BACKGROUND: Out-of-pocket payments create financial barriers to health care access. There is an increasing interest in the role of community based health insurance schemes in improving equity and access of the poor to essential health care. The aim of this study was to assess the impact of Jamii Bora Health Insurance on access to health care among the urban poor.\n\nMETHODS: Data was obtained from the household health interview survey in Kibera and Mathare slums, which consisted of 420 respondents, aged 18 and above who were registered as members of Jamii Bora Trust. The members of Jamii Bora Trust were divided into two groups the insured and the non-insured.\n\nRESULTS: In total, 17.9% respondents were hospitalized and women (19.6%) were more likely to be admitted than men (14.7%). Those in the poorest quintile had the highest probability of admission (18.1%). Those with secondary school education, large household size, and aged 50 and above also had slightly greater probability of admission (p&lt;0.25). 86% of admissions among the insured respondents were covered JBHI and those in the poorest quintile were more likely to use the JBHI benefit. Results from the logistic regression revealed that the probability of being admitted, whether overall admission or admission covered by the JBHI benefit was determined by the presence of chronic condition (p&lt;0.01).\n\nCONCLUSION: Utilization and take up of the JBHI benefits was high. Overall, JBHI favoured the members in the lower income quintiles who were more likely to use health care services covered by the JBHI scheme.", "author" : [ { "dropping-particle" : "", "family" : "Mwaura", "given" : "Judy Wanja", "non-dropping-particle" : "", "parse-names" : false, "suffix" : "" }, { "dropping-particle" : "", "family" : "Pongpanich", "given" : "Sathirakorn", "non-dropping-particle" : "", "parse-names" : false, "suffix" : "" } ], "container-title" : "The Pan African medical journal", "id" : "ITEM-1", "issued" : { "date-parts" : [ [ "2012", "1" ] ] }, "page" : "35", "title" : "Access to health care: the role of a community based health insurance in Kenya.", "type" : "article-journal", "volume" : "12" }, "uris" : [ "http://www.mendeley.com/documents/?uuid=9a5db5dc-99bd-45a9-b692-f9da4855f0c0" ] } ], "mendeley" : { "previouslyFormattedCitation" : "(Mwaura &amp; Pongpanich, 2012)" }, "properties" : { "noteIndex" : 0 }, "schema" : "https://github.com/citation-style-language/schema/raw/master/csl-citation.json" }</w:instrText>
                  </w:r>
                  <w:r w:rsidR="001B3B9E" w:rsidRPr="00202C6E">
                    <w:rPr>
                      <w:sz w:val="20"/>
                      <w:szCs w:val="20"/>
                      <w:lang w:val="en-GB"/>
                    </w:rPr>
                    <w:fldChar w:fldCharType="separate"/>
                  </w:r>
                  <w:r w:rsidRPr="00202C6E">
                    <w:rPr>
                      <w:noProof/>
                      <w:sz w:val="20"/>
                      <w:szCs w:val="20"/>
                      <w:lang w:val="en-GB"/>
                    </w:rPr>
                    <w:t>(Mwaura &amp; Pongpanich, 2012)</w:t>
                  </w:r>
                  <w:r w:rsidR="001B3B9E" w:rsidRPr="00202C6E">
                    <w:rPr>
                      <w:sz w:val="20"/>
                      <w:szCs w:val="20"/>
                      <w:lang w:val="en-GB"/>
                    </w:rPr>
                    <w:fldChar w:fldCharType="end"/>
                  </w:r>
                  <w:r w:rsidRPr="00202C6E">
                    <w:rPr>
                      <w:sz w:val="20"/>
                      <w:szCs w:val="20"/>
                      <w:lang w:val="en-GB"/>
                    </w:rPr>
                    <w:t>. To offer health insurance, JBHI has partnered with over 70 public or faith-based hospitals. While JBHI scheme has no co-payments or exclusions it only covers inpatient treatment costs.</w:t>
                  </w:r>
                </w:p>
              </w:txbxContent>
            </v:textbox>
            <w10:wrap type="square"/>
          </v:shape>
        </w:pict>
      </w:r>
      <w:r w:rsidR="00B1594A" w:rsidRPr="009A6F69">
        <w:rPr>
          <w:lang w:val="en-GB"/>
        </w:rPr>
        <w:t>Strong evidence suggests that CBHF and SHI provide financial protection for their members in terms of reducing their OOPS, and that they improve utilization of inpatient and outpatient services</w:t>
      </w:r>
      <w:r w:rsidRPr="009A6F69">
        <w:rPr>
          <w:lang w:val="en-GB"/>
        </w:rPr>
        <w:fldChar w:fldCharType="begin" w:fldLock="1"/>
      </w:r>
      <w:r w:rsidR="004F4010">
        <w:rPr>
          <w:lang w:val="en-GB"/>
        </w:rPr>
        <w:instrText>ADDIN CSL_CITATION { "citationItems" : [ { "id" : "ITEM-1", "itemData" : { "DOI" : "10.2471/BLT.12.102301", "author" : [ { "dropping-particle" : "", "family" : "Spaan", "given" : "Ernst", "non-dropping-particle" : "", "parse-names" : false, "suffix" : "" }, { "dropping-particle" : "", "family" : "Mathijssen", "given" : "Judith", "non-dropping-particle" : "", "parse-names" : false, "suffix" : "" }, { "dropping-particle" : "", "family" : "Tromp", "given" : "Noor", "non-dropping-particle" : "", "parse-names" : false, "suffix" : "" }, { "dropping-particle" : "", "family" : "Mcbain", "given" : "Florence", "non-dropping-particle" : "", "parse-names" : false, "suffix" : "" }, { "dropping-particle" : "", "family" : "Baltussen", "given" : "Rob", "non-dropping-particle" : "", "parse-names" : false, "suffix" : "" } ], "container-title" : "Bulletin of the World Health Organization", "id" : "ITEM-1", "issue" : "January", "issued" : { "date-parts" : [ [ "2012" ] ] }, "page" : "685-692", "title" : "The impact of health insurance in Africa and Asia : a systematic review", "type" : "article-journal", "volume" : "90" }, "uris" : [ "http://www.mendeley.com/documents/?uuid=62e0f725-807d-466c-9925-371b9f9b49ec" ] } ], "mendeley" : { "previouslyFormattedCitation" : "(Spaan, Mathijssen, Tromp, Mcbain, &amp; Baltussen, 2012)" }, "properties" : { "noteIndex" : 0 }, "schema" : "https://github.com/citation-style-language/schema/raw/master/csl-citation.json" }</w:instrText>
      </w:r>
      <w:r w:rsidRPr="009A6F69">
        <w:rPr>
          <w:lang w:val="en-GB"/>
        </w:rPr>
        <w:fldChar w:fldCharType="separate"/>
      </w:r>
      <w:r w:rsidR="003865E0" w:rsidRPr="009A6F69">
        <w:rPr>
          <w:noProof/>
          <w:lang w:val="en-GB"/>
        </w:rPr>
        <w:t>(</w:t>
      </w:r>
      <w:proofErr w:type="spellStart"/>
      <w:r w:rsidR="003865E0" w:rsidRPr="009A6F69">
        <w:rPr>
          <w:noProof/>
          <w:lang w:val="en-GB"/>
        </w:rPr>
        <w:t>Spaan</w:t>
      </w:r>
      <w:proofErr w:type="spellEnd"/>
      <w:r w:rsidR="003865E0" w:rsidRPr="009A6F69">
        <w:rPr>
          <w:noProof/>
          <w:lang w:val="en-GB"/>
        </w:rPr>
        <w:t>, Mathijssen, Tromp, Mcbain, &amp; Baltussen, 2012)</w:t>
      </w:r>
      <w:r w:rsidRPr="009A6F69">
        <w:rPr>
          <w:lang w:val="en-GB"/>
        </w:rPr>
        <w:fldChar w:fldCharType="end"/>
      </w:r>
      <w:r w:rsidR="00B1594A" w:rsidRPr="009A6F69">
        <w:rPr>
          <w:lang w:val="en-GB"/>
        </w:rPr>
        <w:t xml:space="preserve">. </w:t>
      </w:r>
      <w:r w:rsidR="00777751" w:rsidRPr="009A6F69">
        <w:rPr>
          <w:lang w:val="en-GB"/>
        </w:rPr>
        <w:t xml:space="preserve">The stated goal of moving towards an SHI platform requires a shift from the 12% of pooled funds and covering the 80% of population </w:t>
      </w:r>
      <w:r w:rsidR="00EF3EAB" w:rsidRPr="009A6F69">
        <w:rPr>
          <w:lang w:val="en-GB"/>
        </w:rPr>
        <w:t xml:space="preserve">not currently covered by pooled funds. </w:t>
      </w:r>
      <w:r w:rsidR="00C347AB" w:rsidRPr="009A6F69">
        <w:rPr>
          <w:lang w:val="en-GB"/>
        </w:rPr>
        <w:t>The challenge is that t</w:t>
      </w:r>
      <w:r w:rsidR="00EF3EAB" w:rsidRPr="009A6F69">
        <w:rPr>
          <w:lang w:val="en-GB"/>
        </w:rPr>
        <w:t>his population is found mainly in the informal sector and rural areas</w:t>
      </w:r>
      <w:r w:rsidR="00260E98" w:rsidRPr="009A6F69">
        <w:rPr>
          <w:lang w:val="en-GB"/>
        </w:rPr>
        <w:t xml:space="preserve">. Membership to a health insurance scheme </w:t>
      </w:r>
      <w:r w:rsidR="003E2F13" w:rsidRPr="009A6F69">
        <w:rPr>
          <w:lang w:val="en-GB"/>
        </w:rPr>
        <w:t xml:space="preserve">in Kenya </w:t>
      </w:r>
      <w:r w:rsidR="00260E98" w:rsidRPr="009A6F69">
        <w:rPr>
          <w:lang w:val="en-GB"/>
        </w:rPr>
        <w:t>is related to level of education, level of income, whether one is in a rural or urban area and status of employment</w:t>
      </w:r>
      <w:r w:rsidRPr="009A6F69">
        <w:rPr>
          <w:lang w:val="en-GB"/>
        </w:rPr>
        <w:fldChar w:fldCharType="begin" w:fldLock="1"/>
      </w:r>
      <w:r w:rsidR="004F4010">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2011a)" }, "properties" : { "noteIndex" : 0 }, "schema" : "https://github.com/citation-style-language/schema/raw/master/csl-citation.json" }</w:instrText>
      </w:r>
      <w:r w:rsidRPr="009A6F69">
        <w:rPr>
          <w:lang w:val="en-GB"/>
        </w:rPr>
        <w:fldChar w:fldCharType="separate"/>
      </w:r>
      <w:r w:rsidR="000142E7" w:rsidRPr="009A6F69">
        <w:rPr>
          <w:noProof/>
          <w:lang w:val="en-GB"/>
        </w:rPr>
        <w:t>(Deloitte Consulting, 2011a)</w:t>
      </w:r>
      <w:r w:rsidRPr="009A6F69">
        <w:rPr>
          <w:lang w:val="en-GB"/>
        </w:rPr>
        <w:fldChar w:fldCharType="end"/>
      </w:r>
      <w:r w:rsidR="00260E98" w:rsidRPr="009A6F69">
        <w:rPr>
          <w:lang w:val="en-GB"/>
        </w:rPr>
        <w:t>.</w:t>
      </w:r>
      <w:r w:rsidR="00B1594A" w:rsidRPr="009A6F69">
        <w:rPr>
          <w:lang w:val="en-GB"/>
        </w:rPr>
        <w:t xml:space="preserve"> </w:t>
      </w:r>
    </w:p>
    <w:p w:rsidR="008A04B8" w:rsidRPr="009A6F69" w:rsidRDefault="002A01BC" w:rsidP="00777751">
      <w:pPr>
        <w:rPr>
          <w:b/>
          <w:bCs/>
          <w:lang w:val="en-GB"/>
        </w:rPr>
      </w:pPr>
      <w:r w:rsidRPr="009A6F69">
        <w:rPr>
          <w:lang w:val="en-GB"/>
        </w:rPr>
        <w:t xml:space="preserve">Considering the low percentage of people covered by CBHIs, the approach as currently being done </w:t>
      </w:r>
      <w:r w:rsidR="006357E1" w:rsidRPr="009A6F69">
        <w:rPr>
          <w:lang w:val="en-GB"/>
        </w:rPr>
        <w:t xml:space="preserve">has </w:t>
      </w:r>
      <w:r w:rsidRPr="009A6F69">
        <w:rPr>
          <w:lang w:val="en-GB"/>
        </w:rPr>
        <w:t xml:space="preserve">limited potential </w:t>
      </w:r>
      <w:r w:rsidR="006357E1" w:rsidRPr="009A6F69">
        <w:rPr>
          <w:lang w:val="en-GB"/>
        </w:rPr>
        <w:t>in</w:t>
      </w:r>
      <w:r w:rsidRPr="009A6F69">
        <w:rPr>
          <w:lang w:val="en-GB"/>
        </w:rPr>
        <w:t xml:space="preserve"> improving health access to low-income populations due to heavy dependence on subsidies</w:t>
      </w:r>
      <w:r w:rsidR="006357E1" w:rsidRPr="009A6F69">
        <w:rPr>
          <w:lang w:val="en-GB"/>
        </w:rPr>
        <w:t xml:space="preserve">, </w:t>
      </w:r>
      <w:r w:rsidRPr="009A6F69">
        <w:rPr>
          <w:lang w:val="en-GB"/>
        </w:rPr>
        <w:t xml:space="preserve">  financial and managerial insufficiencies</w:t>
      </w:r>
      <w:r w:rsidR="006357E1" w:rsidRPr="009A6F69">
        <w:rPr>
          <w:lang w:val="en-GB"/>
        </w:rPr>
        <w:t xml:space="preserve"> and tiny risk pools with high levels of adverse selection</w:t>
      </w:r>
      <w:r w:rsidRPr="009A6F69">
        <w:rPr>
          <w:lang w:val="en-GB"/>
        </w:rPr>
        <w:t xml:space="preserve"> (</w:t>
      </w:r>
      <w:proofErr w:type="spellStart"/>
      <w:r w:rsidRPr="009A6F69">
        <w:rPr>
          <w:lang w:val="en-GB"/>
        </w:rPr>
        <w:t>Mwaura</w:t>
      </w:r>
      <w:proofErr w:type="spellEnd"/>
      <w:r w:rsidRPr="009A6F69">
        <w:rPr>
          <w:lang w:val="en-GB"/>
        </w:rPr>
        <w:t xml:space="preserve"> &amp; </w:t>
      </w:r>
      <w:proofErr w:type="spellStart"/>
      <w:r w:rsidRPr="009A6F69">
        <w:rPr>
          <w:lang w:val="en-GB"/>
        </w:rPr>
        <w:t>Ponpanich</w:t>
      </w:r>
      <w:proofErr w:type="spellEnd"/>
      <w:r w:rsidRPr="009A6F69">
        <w:rPr>
          <w:lang w:val="en-GB"/>
        </w:rPr>
        <w:t xml:space="preserve">, 2012 ).  </w:t>
      </w:r>
    </w:p>
    <w:p w:rsidR="00E97503" w:rsidRPr="009A6F69" w:rsidRDefault="004E251F" w:rsidP="00777751">
      <w:pPr>
        <w:rPr>
          <w:lang w:val="en-GB"/>
        </w:rPr>
      </w:pPr>
      <w:r w:rsidRPr="009A6F69">
        <w:rPr>
          <w:lang w:val="en-GB"/>
        </w:rPr>
        <w:t>Therefore</w:t>
      </w:r>
      <w:r w:rsidR="00C04A0D" w:rsidRPr="009A6F69">
        <w:rPr>
          <w:lang w:val="en-GB"/>
        </w:rPr>
        <w:t xml:space="preserve"> moving towards universal coverage through SHI and CBHF requires strategies that can capture the poor and relatively less educated Kenyans.</w:t>
      </w:r>
      <w:r w:rsidR="00592CCC" w:rsidRPr="009A6F69">
        <w:rPr>
          <w:lang w:val="en-GB"/>
        </w:rPr>
        <w:t xml:space="preserve"> Further no SHI system is financed entirely by payroll deductions. Kenya has to follow examples of governments that have extended coverage to people who cannot pay, </w:t>
      </w:r>
      <w:r w:rsidR="00592CCC" w:rsidRPr="009A6F69">
        <w:rPr>
          <w:lang w:val="en-GB"/>
        </w:rPr>
        <w:lastRenderedPageBreak/>
        <w:t>such as the poor and the unemployed, meeting or subsidizing their contributions from government tax or non-tax revenues</w:t>
      </w:r>
      <w:r w:rsidR="001B3B9E" w:rsidRPr="009A6F69">
        <w:rPr>
          <w:lang w:val="en-GB"/>
        </w:rPr>
        <w:fldChar w:fldCharType="begin" w:fldLock="1"/>
      </w:r>
      <w:r w:rsidR="004F4010">
        <w:rPr>
          <w:lang w:val="en-GB"/>
        </w:rPr>
        <w:instrText>ADDIN CSL_CITATION { "citationItems" : [ { "id" : "ITEM-1", "itemData" : { "author" : [ { "dropping-particle" : "", "family" : "Doetinchem", "given" : "Ole", "non-dropping-particle" : "", "parse-names" : false, "suffix" : "" }, { "dropping-particle" : "", "family" : "Carrin", "given" : "Guy", "non-dropping-particle" : "", "parse-names" : false, "suffix" : "" }, { "dropping-particle" : "", "family" : "Evans", "given" : "David", "non-dropping-particle" : "", "parse-names" : false, "suffix" : "" } ], "collection-editor" : "World Health Report (2010)", "id" : "ITEM-1", "issued" : { "date-parts" : [ [ "2010" ] ] }, "number" : "Background Paper, 26", "publisher-place" : "Geneva", "title" : "Thinking of introducing social health insurance ? Ten questions", "type" : "article" }, "uris" : [ "http://www.mendeley.com/documents/?uuid=009e1076-9410-4e3a-afb7-463e7b85f59f" ] } ], "mendeley" : { "previouslyFormattedCitation" : "(Doetinchem, Carrin, &amp; Evans, 2010)" }, "properties" : { "noteIndex" : 0 }, "schema" : "https://github.com/citation-style-language/schema/raw/master/csl-citation.json" }</w:instrText>
      </w:r>
      <w:r w:rsidR="001B3B9E" w:rsidRPr="009A6F69">
        <w:rPr>
          <w:lang w:val="en-GB"/>
        </w:rPr>
        <w:fldChar w:fldCharType="separate"/>
      </w:r>
      <w:r w:rsidR="00592CCC" w:rsidRPr="009A6F69">
        <w:rPr>
          <w:noProof/>
          <w:lang w:val="en-GB"/>
        </w:rPr>
        <w:t>(</w:t>
      </w:r>
      <w:proofErr w:type="spellStart"/>
      <w:r w:rsidR="00592CCC" w:rsidRPr="009A6F69">
        <w:rPr>
          <w:noProof/>
          <w:lang w:val="en-GB"/>
        </w:rPr>
        <w:t>Doetinchem</w:t>
      </w:r>
      <w:proofErr w:type="spellEnd"/>
      <w:r w:rsidR="00592CCC" w:rsidRPr="009A6F69">
        <w:rPr>
          <w:noProof/>
          <w:lang w:val="en-GB"/>
        </w:rPr>
        <w:t>, Carrin, &amp; Evans, 2010)</w:t>
      </w:r>
      <w:r w:rsidR="001B3B9E" w:rsidRPr="009A6F69">
        <w:rPr>
          <w:lang w:val="en-GB"/>
        </w:rPr>
        <w:fldChar w:fldCharType="end"/>
      </w:r>
      <w:r w:rsidR="00592CCC" w:rsidRPr="009A6F69">
        <w:rPr>
          <w:lang w:val="en-GB"/>
        </w:rPr>
        <w:t>.</w:t>
      </w:r>
    </w:p>
    <w:p w:rsidR="006F4DD6" w:rsidRDefault="00992297" w:rsidP="00777751">
      <w:pPr>
        <w:rPr>
          <w:lang w:val="en-GB"/>
        </w:rPr>
      </w:pPr>
      <w:r w:rsidRPr="009A6F69">
        <w:rPr>
          <w:lang w:val="en-GB"/>
        </w:rPr>
        <w:t xml:space="preserve">Further there </w:t>
      </w:r>
      <w:r w:rsidR="009F4F4F" w:rsidRPr="009A6F69">
        <w:rPr>
          <w:lang w:val="en-GB"/>
        </w:rPr>
        <w:t>is weak</w:t>
      </w:r>
      <w:r w:rsidR="000F4142" w:rsidRPr="009A6F69">
        <w:rPr>
          <w:lang w:val="en-GB"/>
        </w:rPr>
        <w:t xml:space="preserve"> evidence that both SHI and CBHF</w:t>
      </w:r>
      <w:r w:rsidR="009F4F4F" w:rsidRPr="009A6F69">
        <w:rPr>
          <w:lang w:val="en-GB"/>
        </w:rPr>
        <w:t xml:space="preserve"> have a positive impact on social inclusion as indicated by enrolment and utilization patterns among vulnerable groups</w:t>
      </w:r>
      <w:r w:rsidR="001B3B9E" w:rsidRPr="009A6F69">
        <w:rPr>
          <w:lang w:val="en-GB"/>
        </w:rPr>
        <w:fldChar w:fldCharType="begin" w:fldLock="1"/>
      </w:r>
      <w:r w:rsidR="004F4010">
        <w:rPr>
          <w:lang w:val="en-GB"/>
        </w:rPr>
        <w:instrText>ADDIN CSL_CITATION { "citationItems" : [ { "id" : "ITEM-1", "itemData" : { "DOI" : "10.2471/BLT.12.102301", "author" : [ { "dropping-particle" : "", "family" : "Spaan", "given" : "Ernst", "non-dropping-particle" : "", "parse-names" : false, "suffix" : "" }, { "dropping-particle" : "", "family" : "Mathijssen", "given" : "Judith", "non-dropping-particle" : "", "parse-names" : false, "suffix" : "" }, { "dropping-particle" : "", "family" : "Tromp", "given" : "Noor", "non-dropping-particle" : "", "parse-names" : false, "suffix" : "" }, { "dropping-particle" : "", "family" : "Mcbain", "given" : "Florence", "non-dropping-particle" : "", "parse-names" : false, "suffix" : "" }, { "dropping-particle" : "", "family" : "Baltussen", "given" : "Rob", "non-dropping-particle" : "", "parse-names" : false, "suffix" : "" } ], "container-title" : "Bulletin of the World Health Organization", "id" : "ITEM-1", "issue" : "January", "issued" : { "date-parts" : [ [ "2012" ] ] }, "page" : "685-692", "title" : "The impact of health insurance in Africa and Asia : a systematic review", "type" : "article-journal", "volume" : "90" }, "uris" : [ "http://www.mendeley.com/documents/?uuid=62e0f725-807d-466c-9925-371b9f9b49ec" ] } ], "mendeley" : { "previouslyFormattedCitation" : "(Spaan et al., 2012)" }, "properties" : { "noteIndex" : 0 }, "schema" : "https://github.com/citation-style-language/schema/raw/master/csl-citation.json" }</w:instrText>
      </w:r>
      <w:r w:rsidR="001B3B9E" w:rsidRPr="009A6F69">
        <w:rPr>
          <w:lang w:val="en-GB"/>
        </w:rPr>
        <w:fldChar w:fldCharType="separate"/>
      </w:r>
      <w:r w:rsidR="001B120D" w:rsidRPr="009A6F69">
        <w:rPr>
          <w:noProof/>
          <w:lang w:val="en-GB"/>
        </w:rPr>
        <w:t>(</w:t>
      </w:r>
      <w:proofErr w:type="spellStart"/>
      <w:r w:rsidR="001B120D" w:rsidRPr="009A6F69">
        <w:rPr>
          <w:noProof/>
          <w:lang w:val="en-GB"/>
        </w:rPr>
        <w:t>Spaan</w:t>
      </w:r>
      <w:proofErr w:type="spellEnd"/>
      <w:r w:rsidR="001B120D" w:rsidRPr="009A6F69">
        <w:rPr>
          <w:noProof/>
          <w:lang w:val="en-GB"/>
        </w:rPr>
        <w:t xml:space="preserve"> et al., 2012)</w:t>
      </w:r>
      <w:r w:rsidR="001B3B9E" w:rsidRPr="009A6F69">
        <w:rPr>
          <w:lang w:val="en-GB"/>
        </w:rPr>
        <w:fldChar w:fldCharType="end"/>
      </w:r>
      <w:r w:rsidR="009F4F4F" w:rsidRPr="009A6F69">
        <w:rPr>
          <w:lang w:val="en-GB"/>
        </w:rPr>
        <w:t>.</w:t>
      </w:r>
      <w:r w:rsidR="00F40123" w:rsidRPr="009A6F69">
        <w:rPr>
          <w:lang w:val="en-GB"/>
        </w:rPr>
        <w:t xml:space="preserve"> </w:t>
      </w:r>
      <w:r w:rsidR="0037080C" w:rsidRPr="009A6F69">
        <w:rPr>
          <w:lang w:val="en-GB"/>
        </w:rPr>
        <w:t>Comparing Kenya with countries such as Rwanda (91% coverage) and Ghana (60% coverage) some of the enabling factors for increasing coverage rapidly include a strong pre-existing community-based healthcare financing system, strong solidarity concept, legal, regulatory and institutional reforms to mandate cover, government subsidies and donor support</w:t>
      </w:r>
      <w:r w:rsidR="00C16386"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2011a)" }, "properties" : { "noteIndex" : 0 }, "schema" : "https://github.com/citation-style-language/schema/raw/master/csl-citation.json" }</w:instrText>
      </w:r>
      <w:r w:rsidR="001B3B9E" w:rsidRPr="009A6F69">
        <w:rPr>
          <w:lang w:val="en-GB"/>
        </w:rPr>
        <w:fldChar w:fldCharType="separate"/>
      </w:r>
      <w:r w:rsidR="000142E7" w:rsidRPr="009A6F69">
        <w:rPr>
          <w:noProof/>
          <w:lang w:val="en-GB"/>
        </w:rPr>
        <w:t>(Deloitte Consulting, 2011a)</w:t>
      </w:r>
      <w:r w:rsidR="001B3B9E" w:rsidRPr="009A6F69">
        <w:rPr>
          <w:lang w:val="en-GB"/>
        </w:rPr>
        <w:fldChar w:fldCharType="end"/>
      </w:r>
      <w:r w:rsidR="0037080C" w:rsidRPr="009A6F69">
        <w:rPr>
          <w:lang w:val="en-GB"/>
        </w:rPr>
        <w:t xml:space="preserve">. </w:t>
      </w:r>
      <w:r w:rsidR="004004A9" w:rsidRPr="009A6F69">
        <w:rPr>
          <w:lang w:val="en-GB"/>
        </w:rPr>
        <w:t xml:space="preserve">No single enabling legislation has been done to promote a robust healthcare financing system. However </w:t>
      </w:r>
      <w:r w:rsidR="002673C6" w:rsidRPr="009A6F69">
        <w:rPr>
          <w:lang w:val="en-GB"/>
        </w:rPr>
        <w:t>occasional</w:t>
      </w:r>
      <w:r w:rsidR="004004A9" w:rsidRPr="009A6F69">
        <w:rPr>
          <w:lang w:val="en-GB"/>
        </w:rPr>
        <w:t xml:space="preserve"> subsidiary legislation is passed </w:t>
      </w:r>
      <w:r w:rsidR="008F3D56" w:rsidRPr="009A6F69">
        <w:rPr>
          <w:lang w:val="en-GB"/>
        </w:rPr>
        <w:t xml:space="preserve">as part of </w:t>
      </w:r>
      <w:r w:rsidR="004004A9" w:rsidRPr="009A6F69">
        <w:rPr>
          <w:lang w:val="en-GB"/>
        </w:rPr>
        <w:t xml:space="preserve">the </w:t>
      </w:r>
      <w:r w:rsidR="008F3D56" w:rsidRPr="009A6F69">
        <w:rPr>
          <w:lang w:val="en-GB"/>
        </w:rPr>
        <w:t xml:space="preserve">annual </w:t>
      </w:r>
      <w:r w:rsidR="004004A9" w:rsidRPr="009A6F69">
        <w:rPr>
          <w:lang w:val="en-GB"/>
        </w:rPr>
        <w:t xml:space="preserve">government budget </w:t>
      </w:r>
      <w:r w:rsidR="008F3D56" w:rsidRPr="009A6F69">
        <w:rPr>
          <w:lang w:val="en-GB"/>
        </w:rPr>
        <w:t>process</w:t>
      </w:r>
      <w:proofErr w:type="gramStart"/>
      <w:r w:rsidR="00B76CAD" w:rsidRPr="009A6F69">
        <w:rPr>
          <w:lang w:val="en-GB"/>
        </w:rPr>
        <w:t>,(</w:t>
      </w:r>
      <w:proofErr w:type="gramEnd"/>
      <w:r w:rsidR="001B3B9E" w:rsidRPr="009A6F69">
        <w:rPr>
          <w:lang w:val="en-GB"/>
        </w:rPr>
        <w:fldChar w:fldCharType="begin"/>
      </w:r>
      <w:r w:rsidR="00B76CAD" w:rsidRPr="009A6F69">
        <w:rPr>
          <w:lang w:val="en-GB"/>
        </w:rPr>
        <w:instrText xml:space="preserve"> REF _Ref246064620 \h </w:instrText>
      </w:r>
      <w:r w:rsidR="001B3B9E" w:rsidRPr="009A6F69">
        <w:rPr>
          <w:lang w:val="en-GB"/>
        </w:rPr>
      </w:r>
      <w:r w:rsidR="001B3B9E" w:rsidRPr="009A6F69">
        <w:rPr>
          <w:lang w:val="en-GB"/>
        </w:rPr>
        <w:fldChar w:fldCharType="separate"/>
      </w:r>
      <w:r w:rsidR="008A34D7" w:rsidRPr="009A6F69">
        <w:t xml:space="preserve">Table </w:t>
      </w:r>
      <w:r w:rsidR="008A34D7">
        <w:rPr>
          <w:noProof/>
        </w:rPr>
        <w:t>10</w:t>
      </w:r>
      <w:r w:rsidR="001B3B9E" w:rsidRPr="009A6F69">
        <w:rPr>
          <w:lang w:val="en-GB"/>
        </w:rPr>
        <w:fldChar w:fldCharType="end"/>
      </w:r>
      <w:r w:rsidR="00B76CAD" w:rsidRPr="009A6F69">
        <w:rPr>
          <w:lang w:val="en-GB"/>
        </w:rPr>
        <w:t>)</w:t>
      </w:r>
    </w:p>
    <w:p w:rsidR="00631376" w:rsidRDefault="00631376" w:rsidP="00777751">
      <w:pPr>
        <w:rPr>
          <w:lang w:val="en-GB"/>
        </w:rPr>
      </w:pPr>
    </w:p>
    <w:p w:rsidR="00631376" w:rsidRDefault="00631376" w:rsidP="00777751">
      <w:pPr>
        <w:rPr>
          <w:lang w:val="en-GB"/>
        </w:rPr>
      </w:pPr>
    </w:p>
    <w:p w:rsidR="00631376" w:rsidRDefault="00631376" w:rsidP="00777751">
      <w:pPr>
        <w:rPr>
          <w:lang w:val="en-GB"/>
        </w:rPr>
      </w:pPr>
    </w:p>
    <w:p w:rsidR="00631376" w:rsidRDefault="00631376" w:rsidP="00777751">
      <w:pPr>
        <w:rPr>
          <w:lang w:val="en-GB"/>
        </w:rPr>
      </w:pPr>
    </w:p>
    <w:p w:rsidR="00631376" w:rsidRPr="009A6F69" w:rsidRDefault="00631376" w:rsidP="00777751">
      <w:pPr>
        <w:rPr>
          <w:lang w:val="en-GB"/>
        </w:rPr>
      </w:pPr>
    </w:p>
    <w:p w:rsidR="005F3E7A" w:rsidRPr="009A6F69" w:rsidRDefault="005F3E7A" w:rsidP="00512868">
      <w:pPr>
        <w:pStyle w:val="Caption"/>
        <w:spacing w:after="0"/>
      </w:pPr>
      <w:bookmarkStart w:id="29" w:name="_Ref246064620"/>
      <w:r w:rsidRPr="009A6F69">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10</w:t>
      </w:r>
      <w:r w:rsidR="001B3B9E" w:rsidRPr="009A6F69">
        <w:fldChar w:fldCharType="end"/>
      </w:r>
      <w:bookmarkEnd w:id="29"/>
      <w:r w:rsidRPr="009A6F69">
        <w:t xml:space="preserve">: Recent legislation passed on health insurance </w:t>
      </w:r>
    </w:p>
    <w:tbl>
      <w:tblPr>
        <w:tblStyle w:val="TableGrid"/>
        <w:tblW w:w="5000" w:type="pct"/>
        <w:tblLook w:val="04A0"/>
      </w:tblPr>
      <w:tblGrid>
        <w:gridCol w:w="3978"/>
        <w:gridCol w:w="3061"/>
        <w:gridCol w:w="1817"/>
      </w:tblGrid>
      <w:tr w:rsidR="00F52649" w:rsidRPr="009A6F69" w:rsidTr="00F52649">
        <w:tc>
          <w:tcPr>
            <w:tcW w:w="2246" w:type="pct"/>
          </w:tcPr>
          <w:p w:rsidR="006F4DD6" w:rsidRPr="009A6F69" w:rsidRDefault="006F4DD6" w:rsidP="00512868">
            <w:pPr>
              <w:spacing w:after="0" w:line="240" w:lineRule="auto"/>
              <w:rPr>
                <w:sz w:val="18"/>
                <w:szCs w:val="18"/>
                <w:lang w:val="en-GB"/>
              </w:rPr>
            </w:pPr>
            <w:r w:rsidRPr="009A6F69">
              <w:rPr>
                <w:sz w:val="18"/>
                <w:szCs w:val="18"/>
                <w:lang w:val="en-GB"/>
              </w:rPr>
              <w:t>Legislation</w:t>
            </w:r>
          </w:p>
        </w:tc>
        <w:tc>
          <w:tcPr>
            <w:tcW w:w="1728" w:type="pct"/>
          </w:tcPr>
          <w:p w:rsidR="006F4DD6" w:rsidRPr="009A6F69" w:rsidRDefault="006F4DD6" w:rsidP="00512868">
            <w:pPr>
              <w:spacing w:after="0" w:line="240" w:lineRule="auto"/>
              <w:rPr>
                <w:sz w:val="18"/>
                <w:szCs w:val="18"/>
                <w:lang w:val="en-GB"/>
              </w:rPr>
            </w:pPr>
            <w:r w:rsidRPr="009A6F69">
              <w:rPr>
                <w:sz w:val="18"/>
                <w:szCs w:val="18"/>
                <w:lang w:val="en-GB"/>
              </w:rPr>
              <w:t xml:space="preserve">Notes </w:t>
            </w:r>
          </w:p>
        </w:tc>
        <w:tc>
          <w:tcPr>
            <w:tcW w:w="1026" w:type="pct"/>
          </w:tcPr>
          <w:p w:rsidR="006F4DD6" w:rsidRPr="009A6F69" w:rsidRDefault="006F4DD6" w:rsidP="00512868">
            <w:pPr>
              <w:spacing w:after="0" w:line="240" w:lineRule="auto"/>
              <w:rPr>
                <w:sz w:val="18"/>
                <w:szCs w:val="18"/>
                <w:lang w:val="en-GB"/>
              </w:rPr>
            </w:pPr>
            <w:r w:rsidRPr="009A6F69">
              <w:rPr>
                <w:sz w:val="18"/>
                <w:szCs w:val="18"/>
                <w:lang w:val="en-GB"/>
              </w:rPr>
              <w:t xml:space="preserve">Source </w:t>
            </w:r>
          </w:p>
        </w:tc>
      </w:tr>
      <w:tr w:rsidR="00F52649" w:rsidRPr="009A6F69" w:rsidTr="00F52649">
        <w:tc>
          <w:tcPr>
            <w:tcW w:w="2246" w:type="pct"/>
          </w:tcPr>
          <w:p w:rsidR="006F4DD6" w:rsidRPr="009A6F69" w:rsidRDefault="006F4DD6" w:rsidP="00846910">
            <w:pPr>
              <w:spacing w:after="0" w:line="240" w:lineRule="auto"/>
              <w:rPr>
                <w:sz w:val="18"/>
                <w:szCs w:val="18"/>
                <w:lang w:val="en-GB"/>
              </w:rPr>
            </w:pPr>
            <w:r w:rsidRPr="009A6F69">
              <w:rPr>
                <w:sz w:val="18"/>
                <w:szCs w:val="18"/>
                <w:lang w:val="en-GB"/>
              </w:rPr>
              <w:t>Legal Notice No 57, the Insurance (Amendment) Regulations 2012</w:t>
            </w:r>
          </w:p>
          <w:p w:rsidR="00846910" w:rsidRPr="009A6F69" w:rsidRDefault="006F4DD6" w:rsidP="00846910">
            <w:pPr>
              <w:spacing w:after="0" w:line="240" w:lineRule="auto"/>
              <w:rPr>
                <w:sz w:val="18"/>
                <w:szCs w:val="18"/>
                <w:lang w:val="en-GB"/>
              </w:rPr>
            </w:pPr>
            <w:r w:rsidRPr="009A6F69">
              <w:rPr>
                <w:sz w:val="18"/>
                <w:szCs w:val="18"/>
                <w:lang w:val="en-GB"/>
              </w:rPr>
              <w:t>Effective 15th June, 2012,</w:t>
            </w:r>
          </w:p>
          <w:p w:rsidR="009809E2" w:rsidRPr="009A6F69" w:rsidRDefault="009809E2" w:rsidP="00846910">
            <w:pPr>
              <w:spacing w:after="0" w:line="240" w:lineRule="auto"/>
              <w:rPr>
                <w:sz w:val="18"/>
                <w:szCs w:val="18"/>
                <w:lang w:val="en-GB"/>
              </w:rPr>
            </w:pPr>
            <w:r w:rsidRPr="009A6F69">
              <w:rPr>
                <w:sz w:val="18"/>
                <w:szCs w:val="18"/>
                <w:lang w:val="en-GB"/>
              </w:rPr>
              <w:t>Micro-insurance business incorporated under the third schedule of the regulations</w:t>
            </w:r>
            <w:proofErr w:type="gramStart"/>
            <w:r w:rsidRPr="009A6F69">
              <w:rPr>
                <w:sz w:val="18"/>
                <w:szCs w:val="18"/>
                <w:lang w:val="en-GB"/>
              </w:rPr>
              <w:t>.“</w:t>
            </w:r>
            <w:proofErr w:type="gramEnd"/>
          </w:p>
        </w:tc>
        <w:tc>
          <w:tcPr>
            <w:tcW w:w="1728" w:type="pct"/>
          </w:tcPr>
          <w:p w:rsidR="006F4DD6" w:rsidRPr="009A6F69" w:rsidRDefault="006F4DD6" w:rsidP="00846910">
            <w:pPr>
              <w:spacing w:after="0" w:line="240" w:lineRule="auto"/>
              <w:rPr>
                <w:sz w:val="18"/>
                <w:szCs w:val="18"/>
                <w:lang w:val="en-GB"/>
              </w:rPr>
            </w:pPr>
            <w:r w:rsidRPr="009A6F69">
              <w:rPr>
                <w:sz w:val="18"/>
                <w:szCs w:val="18"/>
                <w:lang w:val="en-GB"/>
              </w:rPr>
              <w:t xml:space="preserve">Micro -insurance business </w:t>
            </w:r>
            <w:r w:rsidR="00665B97" w:rsidRPr="009A6F69">
              <w:rPr>
                <w:sz w:val="18"/>
                <w:szCs w:val="18"/>
                <w:lang w:val="en-GB"/>
              </w:rPr>
              <w:t xml:space="preserve">now regulated similar to other forms of insurance. </w:t>
            </w:r>
          </w:p>
          <w:p w:rsidR="00CC123A" w:rsidRPr="009A6F69" w:rsidRDefault="00CC123A" w:rsidP="00846910">
            <w:pPr>
              <w:spacing w:after="0" w:line="240" w:lineRule="auto"/>
              <w:rPr>
                <w:sz w:val="18"/>
                <w:szCs w:val="18"/>
                <w:lang w:val="en-GB"/>
              </w:rPr>
            </w:pPr>
            <w:r w:rsidRPr="009A6F69">
              <w:rPr>
                <w:sz w:val="18"/>
                <w:szCs w:val="18"/>
                <w:lang w:val="en-GB"/>
              </w:rPr>
              <w:t>Increased bureaucracy? Possible stifling of innovation</w:t>
            </w:r>
            <w:r w:rsidR="0009342E" w:rsidRPr="009A6F69">
              <w:rPr>
                <w:sz w:val="18"/>
                <w:szCs w:val="18"/>
                <w:lang w:val="en-GB"/>
              </w:rPr>
              <w:t>?</w:t>
            </w:r>
          </w:p>
        </w:tc>
        <w:tc>
          <w:tcPr>
            <w:tcW w:w="1026" w:type="pct"/>
          </w:tcPr>
          <w:p w:rsidR="006F4DD6" w:rsidRPr="009A6F69" w:rsidRDefault="001B3B9E" w:rsidP="00512868">
            <w:pPr>
              <w:spacing w:line="240" w:lineRule="auto"/>
              <w:rPr>
                <w:sz w:val="18"/>
                <w:szCs w:val="18"/>
                <w:lang w:val="en-GB"/>
              </w:rPr>
            </w:pPr>
            <w:r w:rsidRPr="009A6F69">
              <w:rPr>
                <w:sz w:val="18"/>
                <w:szCs w:val="18"/>
                <w:lang w:val="en-GB"/>
              </w:rPr>
              <w:fldChar w:fldCharType="begin" w:fldLock="1"/>
            </w:r>
            <w:r w:rsidR="004F4010">
              <w:rPr>
                <w:sz w:val="18"/>
                <w:szCs w:val="18"/>
                <w:lang w:val="en-GB"/>
              </w:rPr>
              <w:instrText>ADDIN CSL_CITATION { "citationItems" : [ { "id" : "ITEM-1", "itemData" : { "author" : [ { "dropping-particle" : "", "family" : "Association of Kenya Insurers", "given" : "", "non-dropping-particle" : "", "parse-names" : false, "suffix" : "" } ], "id" : "ITEM-1", "issued" : { "date-parts" : [ [ "2012" ] ] }, "page" : "68", "publisher-place" : "Nairobi", "title" : "Insurance Industry Annual Report 2012", "type" : "report" }, "uris" : [ "http://www.mendeley.com/documents/?uuid=dbb8eed7-df4c-438a-a2a2-d1a7917fd39f" ] } ], "mendeley" : { "previouslyFormattedCitation" : "(Association of Kenya Insurers, 2012)" }, "properties" : { "noteIndex" : 0 }, "schema" : "https://github.com/citation-style-language/schema/raw/master/csl-citation.json" }</w:instrText>
            </w:r>
            <w:r w:rsidRPr="009A6F69">
              <w:rPr>
                <w:sz w:val="18"/>
                <w:szCs w:val="18"/>
                <w:lang w:val="en-GB"/>
              </w:rPr>
              <w:fldChar w:fldCharType="separate"/>
            </w:r>
            <w:r w:rsidR="000B3F85" w:rsidRPr="009A6F69">
              <w:rPr>
                <w:noProof/>
                <w:sz w:val="18"/>
                <w:szCs w:val="18"/>
                <w:lang w:val="en-GB"/>
              </w:rPr>
              <w:t>(Association of Kenya Insurers, 2012)</w:t>
            </w:r>
            <w:r w:rsidRPr="009A6F69">
              <w:rPr>
                <w:sz w:val="18"/>
                <w:szCs w:val="18"/>
                <w:lang w:val="en-GB"/>
              </w:rPr>
              <w:fldChar w:fldCharType="end"/>
            </w:r>
          </w:p>
        </w:tc>
      </w:tr>
      <w:tr w:rsidR="00F52649" w:rsidRPr="009A6F69" w:rsidTr="00F52649">
        <w:tc>
          <w:tcPr>
            <w:tcW w:w="2246" w:type="pct"/>
          </w:tcPr>
          <w:p w:rsidR="006F4DD6" w:rsidRPr="009A6F69" w:rsidRDefault="00AD7631" w:rsidP="00512868">
            <w:pPr>
              <w:spacing w:line="240" w:lineRule="auto"/>
              <w:rPr>
                <w:color w:val="000000" w:themeColor="text1"/>
                <w:sz w:val="18"/>
                <w:szCs w:val="18"/>
                <w:lang w:val="en-GB"/>
              </w:rPr>
            </w:pPr>
            <w:r w:rsidRPr="009A6F69">
              <w:rPr>
                <w:color w:val="000000" w:themeColor="text1"/>
                <w:sz w:val="18"/>
                <w:szCs w:val="18"/>
                <w:lang w:val="en-GB"/>
              </w:rPr>
              <w:t>The Income Tax Act, Cap 470 - Section 5(4), medical benefits or medical services utilized by the beneficiaries of an employee were made exempt from taxation effective 9th June, 2011</w:t>
            </w:r>
          </w:p>
        </w:tc>
        <w:tc>
          <w:tcPr>
            <w:tcW w:w="1728" w:type="pct"/>
          </w:tcPr>
          <w:p w:rsidR="00846910" w:rsidRPr="009A6F69" w:rsidRDefault="006F14FB" w:rsidP="00846910">
            <w:pPr>
              <w:spacing w:after="0" w:line="240" w:lineRule="auto"/>
              <w:rPr>
                <w:color w:val="000000" w:themeColor="text1"/>
                <w:sz w:val="18"/>
                <w:szCs w:val="18"/>
                <w:lang w:val="en-GB"/>
              </w:rPr>
            </w:pPr>
            <w:r w:rsidRPr="009A6F69">
              <w:rPr>
                <w:color w:val="000000" w:themeColor="text1"/>
                <w:sz w:val="18"/>
                <w:szCs w:val="18"/>
                <w:lang w:val="en-GB"/>
              </w:rPr>
              <w:t>Beneficiary</w:t>
            </w:r>
            <w:r w:rsidR="00D95392" w:rsidRPr="009A6F69">
              <w:rPr>
                <w:color w:val="000000" w:themeColor="text1"/>
                <w:sz w:val="18"/>
                <w:szCs w:val="18"/>
                <w:lang w:val="en-GB"/>
              </w:rPr>
              <w:t xml:space="preserve"> was defined to mean a spouse and not more than four (4) children below the age of twenty-one (21) years</w:t>
            </w:r>
            <w:r w:rsidR="0009342E" w:rsidRPr="009A6F69">
              <w:rPr>
                <w:color w:val="000000" w:themeColor="text1"/>
                <w:sz w:val="18"/>
                <w:szCs w:val="18"/>
                <w:lang w:val="en-GB"/>
              </w:rPr>
              <w:t>.</w:t>
            </w:r>
          </w:p>
          <w:p w:rsidR="0009342E" w:rsidRPr="009A6F69" w:rsidRDefault="00FE7592" w:rsidP="00846910">
            <w:pPr>
              <w:spacing w:after="0" w:line="240" w:lineRule="auto"/>
              <w:rPr>
                <w:color w:val="000000" w:themeColor="text1"/>
                <w:sz w:val="18"/>
                <w:szCs w:val="18"/>
                <w:lang w:val="en-GB"/>
              </w:rPr>
            </w:pPr>
            <w:r w:rsidRPr="009A6F69">
              <w:rPr>
                <w:color w:val="000000" w:themeColor="text1"/>
                <w:sz w:val="18"/>
                <w:szCs w:val="18"/>
                <w:lang w:val="en-GB"/>
              </w:rPr>
              <w:t>Benefits the formal sector.</w:t>
            </w:r>
          </w:p>
        </w:tc>
        <w:tc>
          <w:tcPr>
            <w:tcW w:w="1026" w:type="pct"/>
          </w:tcPr>
          <w:p w:rsidR="006F4DD6" w:rsidRPr="009A6F69" w:rsidRDefault="00B86190" w:rsidP="00512868">
            <w:pPr>
              <w:spacing w:line="240" w:lineRule="auto"/>
              <w:rPr>
                <w:color w:val="000000" w:themeColor="text1"/>
                <w:sz w:val="18"/>
                <w:szCs w:val="18"/>
                <w:lang w:val="en-GB"/>
              </w:rPr>
            </w:pPr>
            <w:r w:rsidRPr="009A6F69">
              <w:rPr>
                <w:color w:val="000000" w:themeColor="text1"/>
                <w:sz w:val="18"/>
                <w:szCs w:val="18"/>
                <w:lang w:val="en-GB"/>
              </w:rPr>
              <w:t>Association of Kenya Insurers, 2011</w:t>
            </w:r>
          </w:p>
        </w:tc>
      </w:tr>
      <w:tr w:rsidR="00F52649" w:rsidRPr="009A6F69" w:rsidTr="00F52649">
        <w:tc>
          <w:tcPr>
            <w:tcW w:w="2246" w:type="pct"/>
          </w:tcPr>
          <w:p w:rsidR="00F43CBC" w:rsidRPr="009A6F69" w:rsidRDefault="002B606D" w:rsidP="007F0FCE">
            <w:pPr>
              <w:spacing w:line="240" w:lineRule="auto"/>
              <w:rPr>
                <w:color w:val="000000" w:themeColor="text1"/>
                <w:sz w:val="18"/>
                <w:szCs w:val="18"/>
                <w:lang w:val="en-GB"/>
              </w:rPr>
            </w:pPr>
            <w:r w:rsidRPr="009A6F69">
              <w:rPr>
                <w:sz w:val="18"/>
                <w:szCs w:val="18"/>
                <w:lang w:val="en-GB"/>
              </w:rPr>
              <w:t>The Cancer Prevention and Control Act, 2012 bars the exclusion of insurance services and states that a person shall not be compelled to disclose their cancer status for the purpose only of gaining access to any credit or loan services</w:t>
            </w:r>
            <w:r w:rsidR="007F0FCE" w:rsidRPr="009A6F69">
              <w:rPr>
                <w:sz w:val="18"/>
                <w:szCs w:val="18"/>
                <w:lang w:val="en-GB"/>
              </w:rPr>
              <w:t xml:space="preserve"> or </w:t>
            </w:r>
            <w:r w:rsidRPr="009A6F69">
              <w:rPr>
                <w:sz w:val="18"/>
                <w:szCs w:val="18"/>
                <w:lang w:val="en-GB"/>
              </w:rPr>
              <w:t>insurance service</w:t>
            </w:r>
            <w:r w:rsidRPr="009A6F69">
              <w:rPr>
                <w:color w:val="000000" w:themeColor="text1"/>
                <w:sz w:val="18"/>
                <w:szCs w:val="18"/>
                <w:lang w:val="en-GB"/>
              </w:rPr>
              <w:t>.</w:t>
            </w:r>
          </w:p>
        </w:tc>
        <w:tc>
          <w:tcPr>
            <w:tcW w:w="1728" w:type="pct"/>
          </w:tcPr>
          <w:p w:rsidR="00F43CBC" w:rsidRPr="009A6F69" w:rsidRDefault="00864284" w:rsidP="00512868">
            <w:pPr>
              <w:spacing w:line="240" w:lineRule="auto"/>
              <w:rPr>
                <w:color w:val="000000" w:themeColor="text1"/>
                <w:sz w:val="18"/>
                <w:szCs w:val="18"/>
                <w:lang w:val="en-GB"/>
              </w:rPr>
            </w:pPr>
            <w:r w:rsidRPr="009A6F69">
              <w:rPr>
                <w:sz w:val="18"/>
                <w:szCs w:val="18"/>
                <w:lang w:val="en-GB"/>
              </w:rPr>
              <w:t>Act passed by Parliament to enhance access to medical care for patients suffering from cancer.</w:t>
            </w:r>
          </w:p>
        </w:tc>
        <w:tc>
          <w:tcPr>
            <w:tcW w:w="1026" w:type="pct"/>
          </w:tcPr>
          <w:p w:rsidR="00F43CBC" w:rsidRPr="009A6F69" w:rsidRDefault="008C6C7D" w:rsidP="00512868">
            <w:pPr>
              <w:spacing w:line="240" w:lineRule="auto"/>
              <w:rPr>
                <w:color w:val="000000" w:themeColor="text1"/>
                <w:sz w:val="18"/>
                <w:szCs w:val="18"/>
                <w:lang w:val="en-GB"/>
              </w:rPr>
            </w:pPr>
            <w:r w:rsidRPr="009A6F69">
              <w:rPr>
                <w:noProof/>
                <w:sz w:val="18"/>
                <w:szCs w:val="18"/>
                <w:lang w:val="en-GB"/>
              </w:rPr>
              <w:t>National Council for Law Reporting, 2012</w:t>
            </w:r>
          </w:p>
        </w:tc>
      </w:tr>
    </w:tbl>
    <w:p w:rsidR="006F4DD6" w:rsidRPr="009A6F69" w:rsidRDefault="006F4DD6" w:rsidP="00777751">
      <w:pPr>
        <w:rPr>
          <w:lang w:val="en-GB"/>
        </w:rPr>
      </w:pPr>
    </w:p>
    <w:p w:rsidR="00BC4980" w:rsidRPr="009A6F69" w:rsidRDefault="001973B8" w:rsidP="00777751">
      <w:pPr>
        <w:rPr>
          <w:lang w:val="en-GB"/>
        </w:rPr>
      </w:pPr>
      <w:r w:rsidRPr="009A6F69">
        <w:rPr>
          <w:lang w:val="en-GB"/>
        </w:rPr>
        <w:lastRenderedPageBreak/>
        <w:t>For Kenya given the weak leadership, relatively low donor dependency, weak social cohesion, and the devolution of government as envisaged under the constitution SHI and CBHF require considering social engineering in order to work well</w:t>
      </w:r>
      <w:r w:rsidR="006E2AAC"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"Deloitte Consulting", "given" : "", "non-dropping-particle" : "", "parse-names" : false, "suffix" : "" } ], "id" : "ITEM-1", "issued" : { "date-parts" : [ [ "2011" ] ] }, "page" : "213", "publisher-place" : "Nairobi", "title" : "Strategic review of the National Hospital Insurance Fund-Kenya", "type" : "report" }, "uris" : [ "http://www.mendeley.com/documents/?uuid=43f17e03-901c-4819-9404-ea2cfeb7e50f" ] } ], "mendeley" : { "previouslyFormattedCitation" : "(Deloitte Consulting, 2011b)" }, "properties" : { "noteIndex" : 0 }, "schema" : "https://github.com/citation-style-language/schema/raw/master/csl-citation.json" }</w:instrText>
      </w:r>
      <w:r w:rsidR="001B3B9E" w:rsidRPr="009A6F69">
        <w:rPr>
          <w:lang w:val="en-GB"/>
        </w:rPr>
        <w:fldChar w:fldCharType="separate"/>
      </w:r>
      <w:r w:rsidR="000142E7" w:rsidRPr="009A6F69">
        <w:rPr>
          <w:noProof/>
          <w:lang w:val="en-GB"/>
        </w:rPr>
        <w:t>(Deloitte Consulting, 2011b)</w:t>
      </w:r>
      <w:r w:rsidR="001B3B9E" w:rsidRPr="009A6F69">
        <w:rPr>
          <w:lang w:val="en-GB"/>
        </w:rPr>
        <w:fldChar w:fldCharType="end"/>
      </w:r>
      <w:r w:rsidRPr="009A6F69">
        <w:rPr>
          <w:lang w:val="en-GB"/>
        </w:rPr>
        <w:t xml:space="preserve">.  </w:t>
      </w:r>
    </w:p>
    <w:p w:rsidR="00DE411D" w:rsidRPr="009A6F69" w:rsidRDefault="00DE411D" w:rsidP="00A977C1">
      <w:pPr>
        <w:pStyle w:val="Heading2"/>
        <w:rPr>
          <w:lang w:val="en-GB"/>
        </w:rPr>
      </w:pPr>
      <w:bookmarkStart w:id="30" w:name="_Toc254256131"/>
      <w:r w:rsidRPr="009A6F69">
        <w:rPr>
          <w:lang w:val="en-GB"/>
        </w:rPr>
        <w:t>Kenya Essential Package for Health (KEPH)</w:t>
      </w:r>
      <w:bookmarkEnd w:id="30"/>
    </w:p>
    <w:p w:rsidR="00631376" w:rsidRDefault="00DE411D" w:rsidP="00DE411D">
      <w:pPr>
        <w:rPr>
          <w:bCs/>
          <w:lang w:val="en-GB"/>
        </w:rPr>
      </w:pPr>
      <w:r w:rsidRPr="009A6F69">
        <w:rPr>
          <w:bCs/>
          <w:lang w:val="en-GB"/>
        </w:rPr>
        <w:t xml:space="preserve">The adoption of the Kenya Essential Package for Health (KEPH) </w:t>
      </w:r>
      <w:r w:rsidR="00E12654" w:rsidRPr="009A6F69">
        <w:rPr>
          <w:bCs/>
          <w:lang w:val="en-GB"/>
        </w:rPr>
        <w:t>attempted</w:t>
      </w:r>
      <w:r w:rsidRPr="009A6F69">
        <w:rPr>
          <w:bCs/>
          <w:lang w:val="en-GB"/>
        </w:rPr>
        <w:t xml:space="preserve"> to change delivery of health services by moving away from the long-standing emphasis on curing disease to the promotion of programmes and actions to improve individual health. </w:t>
      </w:r>
      <w:r w:rsidR="00A063BF" w:rsidRPr="009A6F69">
        <w:rPr>
          <w:bCs/>
          <w:lang w:val="en-GB"/>
        </w:rPr>
        <w:t>This is reflected in expenditures on public health programmes as a proportion of total health expenditure (THE), which increased from 9%</w:t>
      </w:r>
      <w:r w:rsidR="00A977C1" w:rsidRPr="009A6F69">
        <w:rPr>
          <w:bCs/>
          <w:lang w:val="en-GB"/>
        </w:rPr>
        <w:t xml:space="preserve"> </w:t>
      </w:r>
      <w:r w:rsidR="00A063BF" w:rsidRPr="009A6F69">
        <w:rPr>
          <w:bCs/>
          <w:lang w:val="en-GB"/>
        </w:rPr>
        <w:t>in 2001/02 to 23%</w:t>
      </w:r>
      <w:r w:rsidR="00A977C1" w:rsidRPr="009A6F69">
        <w:rPr>
          <w:bCs/>
          <w:lang w:val="en-GB"/>
        </w:rPr>
        <w:t xml:space="preserve"> </w:t>
      </w:r>
      <w:r w:rsidR="00A063BF" w:rsidRPr="009A6F69">
        <w:rPr>
          <w:bCs/>
          <w:lang w:val="en-GB"/>
        </w:rPr>
        <w:t xml:space="preserve">in 2009/10. </w:t>
      </w:r>
      <w:r w:rsidR="00503931" w:rsidRPr="009A6F69">
        <w:rPr>
          <w:bCs/>
          <w:lang w:val="en-GB"/>
        </w:rPr>
        <w:t>Inpatient care took 22</w:t>
      </w:r>
      <w:r w:rsidR="00A063BF" w:rsidRPr="009A6F69">
        <w:rPr>
          <w:bCs/>
          <w:lang w:val="en-GB"/>
        </w:rPr>
        <w:t>%</w:t>
      </w:r>
      <w:r w:rsidR="00A977C1" w:rsidRPr="009A6F69">
        <w:rPr>
          <w:bCs/>
          <w:lang w:val="en-GB"/>
        </w:rPr>
        <w:t xml:space="preserve"> </w:t>
      </w:r>
      <w:r w:rsidR="00A063BF" w:rsidRPr="009A6F69">
        <w:rPr>
          <w:bCs/>
          <w:lang w:val="en-GB"/>
        </w:rPr>
        <w:t xml:space="preserve">of THE in 2009/10, down from 32% </w:t>
      </w:r>
      <w:r w:rsidR="00503931" w:rsidRPr="009A6F69">
        <w:rPr>
          <w:bCs/>
          <w:lang w:val="en-GB"/>
        </w:rPr>
        <w:t>in 2001/02</w:t>
      </w:r>
      <w:r w:rsidR="000E2956" w:rsidRPr="009A6F69">
        <w:rPr>
          <w:bCs/>
          <w:lang w:val="en-GB"/>
        </w:rPr>
        <w:t>,</w:t>
      </w:r>
      <w:r w:rsidR="001B3B9E" w:rsidRPr="009A6F69">
        <w:rPr>
          <w:bCs/>
          <w:lang w:val="en-GB"/>
        </w:rPr>
        <w:fldChar w:fldCharType="begin" w:fldLock="1"/>
      </w:r>
      <w:r w:rsidR="004F4010">
        <w:rPr>
          <w:bCs/>
          <w:lang w:val="en-GB"/>
        </w:rPr>
        <w:instrText>ADDIN CSL_CITATION { "citationItems" : [ { "id" : "ITEM-1", "itemData" : { "author" : [ { "dropping-particle" : "", "family" : "Ministry of Medical Services &amp; Ministry of Public Health and Sanitation", "given" : "", "non-dropping-particle" : "", "parse-names" : false, "suffix" : "" } ], "container-title" : "Health (San Francisco)", "id" : "ITEM-1", "issued" : { "date-parts" : [ [ "2010" ] ] }, "page" : "80", "publisher-place" : "Nairobi", "title" : "NATIONAL HEALTH ACCOUNTS 2009/10", "type" : "report" }, "uris" : [ "http://www.mendeley.com/documents/?uuid=fc0fd0b4-5266-417b-87e3-3a723074bd8b" ] } ], "mendeley" : { "previouslyFormattedCitation" : "(Ministry of Medical Services &amp; Ministry of Public Health and Sanitation, 2010)" }, "properties" : { "noteIndex" : 0 }, "schema" : "https://github.com/citation-style-language/schema/raw/master/csl-citation.json" }</w:instrText>
      </w:r>
      <w:r w:rsidR="001B3B9E" w:rsidRPr="009A6F69">
        <w:rPr>
          <w:bCs/>
          <w:lang w:val="en-GB"/>
        </w:rPr>
        <w:fldChar w:fldCharType="separate"/>
      </w:r>
      <w:r w:rsidR="00974B5D" w:rsidRPr="009A6F69">
        <w:rPr>
          <w:bCs/>
          <w:noProof/>
          <w:lang w:val="en-GB"/>
        </w:rPr>
        <w:t>(Ministry of Medical Services &amp; Ministry of Public Health and Sanitation, 2010)</w:t>
      </w:r>
      <w:r w:rsidR="001B3B9E" w:rsidRPr="009A6F69">
        <w:rPr>
          <w:bCs/>
          <w:lang w:val="en-GB"/>
        </w:rPr>
        <w:fldChar w:fldCharType="end"/>
      </w:r>
      <w:r w:rsidR="00503931" w:rsidRPr="009A6F69">
        <w:rPr>
          <w:bCs/>
          <w:lang w:val="en-GB"/>
        </w:rPr>
        <w:t xml:space="preserve">. </w:t>
      </w:r>
      <w:r w:rsidRPr="009A6F69">
        <w:rPr>
          <w:bCs/>
          <w:lang w:val="en-GB"/>
        </w:rPr>
        <w:t>Significantly, the shift introduced a major focus at the community level. The KEPH approach integrates health programs into a single package that focuses on interventions to improve health in each of six defined cohorts of the human development cycle, and to organize the delivery of services around well-defined levels of care,</w:t>
      </w:r>
      <w:r w:rsidR="001B3B9E" w:rsidRPr="009A6F69">
        <w:rPr>
          <w:bCs/>
          <w:lang w:val="en-GB"/>
        </w:rPr>
        <w:fldChar w:fldCharType="begin" w:fldLock="1"/>
      </w:r>
      <w:r w:rsidR="004F4010">
        <w:rPr>
          <w:bCs/>
          <w:lang w:val="en-GB"/>
        </w:rPr>
        <w:instrText>ADDIN CSL_CITATION { "citationItems" : [ { "id" : "ITEM-1", "itemData" : { "author" : [ { "dropping-particle" : "", "family" : "Ministry of Public Health and Sanitation", "given" : "", "non-dropping-particle" : "", "parse-names" : false, "suffix" : "" } ], "id" : "ITEM-1", "issue" : "December 2008", "issued" : { "date-parts" : [ [ "2008" ] ] }, "note" : "        From Duplicate 2 (                           Reversing the trends The Second Strategic Plan of Kenya Annual Operational Plan 6 July 2010 \u2013 June 2011                         - Sector, National Health )\n                \n        \n        \n      ", "page" : "1-90", "publisher-place" : "Nairobi", "title" : "Ministry of Public Health and Sanitation Strategic plan 2008-2012", "type" : "report" }, "uris" : [ "http://www.mendeley.com/documents/?uuid=8d6cbaf1-6eb0-48c3-b3c8-ff0d62046c35" ] } ], "mendeley" : { "previouslyFormattedCitation" : "(Ministry of Public Health and Sanitation, 2008)" }, "properties" : { "noteIndex" : 0 }, "schema" : "https://github.com/citation-style-language/schema/raw/master/csl-citation.json" }</w:instrText>
      </w:r>
      <w:r w:rsidR="001B3B9E" w:rsidRPr="009A6F69">
        <w:rPr>
          <w:bCs/>
          <w:lang w:val="en-GB"/>
        </w:rPr>
        <w:fldChar w:fldCharType="separate"/>
      </w:r>
      <w:r w:rsidRPr="009A6F69">
        <w:rPr>
          <w:bCs/>
          <w:noProof/>
          <w:lang w:val="en-GB"/>
        </w:rPr>
        <w:t>(Ministry of Public Health and Sanitation, 2008)</w:t>
      </w:r>
      <w:r w:rsidR="001B3B9E" w:rsidRPr="009A6F69">
        <w:rPr>
          <w:bCs/>
          <w:lang w:val="en-GB"/>
        </w:rPr>
        <w:fldChar w:fldCharType="end"/>
      </w:r>
      <w:r w:rsidRPr="009A6F69">
        <w:rPr>
          <w:bCs/>
          <w:lang w:val="en-GB"/>
        </w:rPr>
        <w:t xml:space="preserve">. </w:t>
      </w:r>
    </w:p>
    <w:p w:rsidR="00631376" w:rsidRDefault="00631376" w:rsidP="00DE411D">
      <w:pPr>
        <w:rPr>
          <w:bCs/>
          <w:lang w:val="en-GB"/>
        </w:rPr>
      </w:pPr>
    </w:p>
    <w:p w:rsidR="00631376" w:rsidRDefault="00631376" w:rsidP="00DE411D">
      <w:pPr>
        <w:rPr>
          <w:bCs/>
          <w:lang w:val="en-GB"/>
        </w:rPr>
      </w:pPr>
    </w:p>
    <w:p w:rsidR="00DE411D" w:rsidRPr="009A6F69" w:rsidRDefault="00DE411D" w:rsidP="00DE411D">
      <w:pPr>
        <w:rPr>
          <w:bCs/>
          <w:lang w:val="en-GB"/>
        </w:rPr>
      </w:pPr>
      <w:r w:rsidRPr="009A6F69">
        <w:rPr>
          <w:bCs/>
          <w:lang w:val="en-GB"/>
        </w:rPr>
        <w:t>The KEPH life cycle cohorts are six</w:t>
      </w:r>
      <w:r w:rsidR="00905834" w:rsidRPr="009A6F69">
        <w:rPr>
          <w:bCs/>
          <w:lang w:val="en-GB"/>
        </w:rPr>
        <w:t xml:space="preserve"> as outlined in</w:t>
      </w:r>
      <w:r w:rsidRPr="009A6F69">
        <w:rPr>
          <w:bCs/>
          <w:lang w:val="en-GB"/>
        </w:rPr>
        <w:t xml:space="preserve"> </w:t>
      </w:r>
      <w:r w:rsidR="001B3B9E" w:rsidRPr="009A6F69">
        <w:rPr>
          <w:bCs/>
          <w:lang w:val="en-GB"/>
        </w:rPr>
        <w:fldChar w:fldCharType="begin"/>
      </w:r>
      <w:r w:rsidRPr="009A6F69">
        <w:rPr>
          <w:bCs/>
          <w:lang w:val="en-GB"/>
        </w:rPr>
        <w:instrText xml:space="preserve"> REF _Ref245972436 \h </w:instrText>
      </w:r>
      <w:r w:rsidR="001B3B9E" w:rsidRPr="009A6F69">
        <w:rPr>
          <w:bCs/>
          <w:lang w:val="en-GB"/>
        </w:rPr>
      </w:r>
      <w:r w:rsidR="001B3B9E" w:rsidRPr="009A6F69">
        <w:rPr>
          <w:bCs/>
          <w:lang w:val="en-GB"/>
        </w:rPr>
        <w:fldChar w:fldCharType="separate"/>
      </w:r>
      <w:r w:rsidR="008A34D7" w:rsidRPr="009A6F69">
        <w:t xml:space="preserve">Figure </w:t>
      </w:r>
      <w:r w:rsidR="008A34D7">
        <w:rPr>
          <w:noProof/>
        </w:rPr>
        <w:t>5</w:t>
      </w:r>
      <w:r w:rsidR="001B3B9E" w:rsidRPr="009A6F69">
        <w:rPr>
          <w:bCs/>
          <w:lang w:val="en-GB"/>
        </w:rPr>
        <w:fldChar w:fldCharType="end"/>
      </w:r>
      <w:r w:rsidRPr="009A6F69">
        <w:rPr>
          <w:bCs/>
          <w:lang w:val="en-GB"/>
        </w:rPr>
        <w:t xml:space="preserve">. </w:t>
      </w:r>
    </w:p>
    <w:tbl>
      <w:tblPr>
        <w:tblStyle w:val="LightShading-Accent1"/>
        <w:tblW w:w="2805" w:type="pct"/>
        <w:tblLook w:val="04A0"/>
      </w:tblPr>
      <w:tblGrid>
        <w:gridCol w:w="4968"/>
      </w:tblGrid>
      <w:tr w:rsidR="00BB63D8" w:rsidRPr="009A6F69" w:rsidTr="00E67AD1">
        <w:trPr>
          <w:cnfStyle w:val="100000000000"/>
        </w:trPr>
        <w:tc>
          <w:tcPr>
            <w:cnfStyle w:val="001000000000"/>
            <w:tcW w:w="5000" w:type="pct"/>
          </w:tcPr>
          <w:p w:rsidR="00DE411D" w:rsidRPr="009A6F69" w:rsidRDefault="00DE411D" w:rsidP="007F2D84">
            <w:pPr>
              <w:spacing w:line="240" w:lineRule="auto"/>
              <w:rPr>
                <w:b w:val="0"/>
                <w:bCs w:val="0"/>
                <w:sz w:val="22"/>
                <w:lang w:val="en-GB"/>
              </w:rPr>
            </w:pPr>
            <w:r w:rsidRPr="009A6F69">
              <w:rPr>
                <w:b w:val="0"/>
                <w:bCs w:val="0"/>
                <w:sz w:val="22"/>
                <w:lang w:val="en-GB"/>
              </w:rPr>
              <w:t>Pregnancy and the newborn (2 weeks of age)</w:t>
            </w:r>
          </w:p>
        </w:tc>
      </w:tr>
      <w:tr w:rsidR="00BB63D8" w:rsidRPr="009A6F69" w:rsidTr="00E67AD1">
        <w:trPr>
          <w:cnfStyle w:val="000000100000"/>
        </w:trPr>
        <w:tc>
          <w:tcPr>
            <w:cnfStyle w:val="001000000000"/>
            <w:tcW w:w="5000" w:type="pct"/>
          </w:tcPr>
          <w:p w:rsidR="00DE411D" w:rsidRPr="009A6F69" w:rsidRDefault="00DE411D" w:rsidP="007F2D84">
            <w:pPr>
              <w:spacing w:line="240" w:lineRule="auto"/>
              <w:rPr>
                <w:b w:val="0"/>
                <w:bCs w:val="0"/>
                <w:sz w:val="22"/>
                <w:lang w:val="en-GB"/>
              </w:rPr>
            </w:pPr>
            <w:r w:rsidRPr="009A6F69">
              <w:rPr>
                <w:b w:val="0"/>
                <w:bCs w:val="0"/>
                <w:sz w:val="22"/>
                <w:lang w:val="en-GB"/>
              </w:rPr>
              <w:t>Early childhood (2 weeks to 5 years)</w:t>
            </w:r>
          </w:p>
        </w:tc>
      </w:tr>
      <w:tr w:rsidR="00BB63D8" w:rsidRPr="009A6F69" w:rsidTr="00E67AD1">
        <w:tc>
          <w:tcPr>
            <w:cnfStyle w:val="001000000000"/>
            <w:tcW w:w="5000" w:type="pct"/>
          </w:tcPr>
          <w:p w:rsidR="00DE411D" w:rsidRPr="009A6F69" w:rsidRDefault="00DE411D" w:rsidP="007F2D84">
            <w:pPr>
              <w:spacing w:line="240" w:lineRule="auto"/>
              <w:rPr>
                <w:b w:val="0"/>
                <w:bCs w:val="0"/>
                <w:sz w:val="22"/>
                <w:lang w:val="en-GB"/>
              </w:rPr>
            </w:pPr>
            <w:r w:rsidRPr="009A6F69">
              <w:rPr>
                <w:b w:val="0"/>
                <w:bCs w:val="0"/>
                <w:sz w:val="22"/>
                <w:lang w:val="en-GB"/>
              </w:rPr>
              <w:t>Late childhood (6-12 years)</w:t>
            </w:r>
          </w:p>
        </w:tc>
      </w:tr>
      <w:tr w:rsidR="00BB63D8" w:rsidRPr="009A6F69" w:rsidTr="00E67AD1">
        <w:trPr>
          <w:cnfStyle w:val="000000100000"/>
        </w:trPr>
        <w:tc>
          <w:tcPr>
            <w:cnfStyle w:val="001000000000"/>
            <w:tcW w:w="5000" w:type="pct"/>
          </w:tcPr>
          <w:p w:rsidR="00DE411D" w:rsidRPr="009A6F69" w:rsidRDefault="00DE411D" w:rsidP="007F2D84">
            <w:pPr>
              <w:spacing w:line="240" w:lineRule="auto"/>
              <w:rPr>
                <w:b w:val="0"/>
                <w:bCs w:val="0"/>
                <w:sz w:val="22"/>
                <w:lang w:val="en-GB"/>
              </w:rPr>
            </w:pPr>
            <w:r w:rsidRPr="009A6F69">
              <w:rPr>
                <w:b w:val="0"/>
                <w:bCs w:val="0"/>
                <w:sz w:val="22"/>
                <w:lang w:val="en-GB"/>
              </w:rPr>
              <w:t>Youth and adolescence (13-24 years)</w:t>
            </w:r>
          </w:p>
        </w:tc>
      </w:tr>
      <w:tr w:rsidR="00BB63D8" w:rsidRPr="009A6F69" w:rsidTr="00E67AD1">
        <w:tc>
          <w:tcPr>
            <w:cnfStyle w:val="001000000000"/>
            <w:tcW w:w="5000" w:type="pct"/>
          </w:tcPr>
          <w:p w:rsidR="00DE411D" w:rsidRPr="009A6F69" w:rsidRDefault="00DE411D" w:rsidP="007F2D84">
            <w:pPr>
              <w:spacing w:line="240" w:lineRule="auto"/>
              <w:rPr>
                <w:b w:val="0"/>
                <w:bCs w:val="0"/>
                <w:sz w:val="22"/>
                <w:lang w:val="en-GB"/>
              </w:rPr>
            </w:pPr>
            <w:r w:rsidRPr="009A6F69">
              <w:rPr>
                <w:b w:val="0"/>
                <w:bCs w:val="0"/>
                <w:sz w:val="22"/>
                <w:lang w:val="en-GB"/>
              </w:rPr>
              <w:t>Adulthood (25 – 59 years)</w:t>
            </w:r>
          </w:p>
        </w:tc>
      </w:tr>
      <w:tr w:rsidR="00BB63D8" w:rsidRPr="009A6F69" w:rsidTr="00E67AD1">
        <w:trPr>
          <w:cnfStyle w:val="000000100000"/>
        </w:trPr>
        <w:tc>
          <w:tcPr>
            <w:cnfStyle w:val="001000000000"/>
            <w:tcW w:w="5000" w:type="pct"/>
          </w:tcPr>
          <w:p w:rsidR="00DE411D" w:rsidRPr="009A6F69" w:rsidRDefault="00DE411D" w:rsidP="00541D9C">
            <w:pPr>
              <w:keepNext/>
              <w:spacing w:after="0" w:line="240" w:lineRule="auto"/>
              <w:rPr>
                <w:b w:val="0"/>
                <w:bCs w:val="0"/>
                <w:sz w:val="22"/>
                <w:lang w:val="en-GB"/>
              </w:rPr>
            </w:pPr>
            <w:r w:rsidRPr="009A6F69">
              <w:rPr>
                <w:b w:val="0"/>
                <w:bCs w:val="0"/>
                <w:sz w:val="22"/>
                <w:lang w:val="en-GB"/>
              </w:rPr>
              <w:t>Elderly (60 years +)</w:t>
            </w:r>
          </w:p>
        </w:tc>
      </w:tr>
    </w:tbl>
    <w:p w:rsidR="00E904E6" w:rsidRPr="009A6F69" w:rsidRDefault="00DE411D" w:rsidP="00024B57">
      <w:pPr>
        <w:pStyle w:val="Caption"/>
      </w:pPr>
      <w:bookmarkStart w:id="31" w:name="_Ref245972436"/>
      <w:bookmarkStart w:id="32" w:name="_Ref245972429"/>
      <w:r w:rsidRPr="009A6F69">
        <w:t xml:space="preserve">Figure </w:t>
      </w:r>
      <w:r w:rsidR="001B3B9E" w:rsidRPr="009A6F69">
        <w:fldChar w:fldCharType="begin"/>
      </w:r>
      <w:r w:rsidRPr="009A6F69">
        <w:instrText xml:space="preserve"> SEQ Figure \* ARABIC </w:instrText>
      </w:r>
      <w:r w:rsidR="001B3B9E" w:rsidRPr="009A6F69">
        <w:fldChar w:fldCharType="separate"/>
      </w:r>
      <w:r w:rsidR="008A34D7">
        <w:rPr>
          <w:noProof/>
        </w:rPr>
        <w:t>5</w:t>
      </w:r>
      <w:r w:rsidR="001B3B9E" w:rsidRPr="009A6F69">
        <w:fldChar w:fldCharType="end"/>
      </w:r>
      <w:bookmarkEnd w:id="31"/>
      <w:r w:rsidRPr="009A6F69">
        <w:t>: KEPH Life Cycle Cohorts.</w:t>
      </w:r>
      <w:bookmarkEnd w:id="32"/>
    </w:p>
    <w:p w:rsidR="00024B57" w:rsidRPr="009A6F69" w:rsidRDefault="00024B57" w:rsidP="00024B57">
      <w:pPr>
        <w:rPr>
          <w:lang w:val="en-GB"/>
        </w:rPr>
      </w:pPr>
    </w:p>
    <w:p w:rsidR="003F6200" w:rsidRPr="009A6F69" w:rsidRDefault="00083B3D" w:rsidP="007231E6">
      <w:pPr>
        <w:rPr>
          <w:lang w:val="en-GB"/>
        </w:rPr>
      </w:pPr>
      <w:r w:rsidRPr="009A6F69">
        <w:rPr>
          <w:lang w:val="en-GB"/>
        </w:rPr>
        <w:t>Within the KEPH, the GOK has selected a set of priority interventions as a minimum package for immediate implementation, e.g., HIV/AIDS, se</w:t>
      </w:r>
      <w:r w:rsidR="009B7B8A" w:rsidRPr="009A6F69">
        <w:rPr>
          <w:lang w:val="en-GB"/>
        </w:rPr>
        <w:t xml:space="preserve">xually transmitted </w:t>
      </w:r>
      <w:r w:rsidR="009B7B8A" w:rsidRPr="009A6F69">
        <w:rPr>
          <w:lang w:val="en-GB"/>
        </w:rPr>
        <w:lastRenderedPageBreak/>
        <w:t>infections, maternal and child health (M</w:t>
      </w:r>
      <w:r w:rsidRPr="009A6F69">
        <w:rPr>
          <w:lang w:val="en-GB"/>
        </w:rPr>
        <w:t>NCH</w:t>
      </w:r>
      <w:r w:rsidR="009B7B8A" w:rsidRPr="009A6F69">
        <w:rPr>
          <w:lang w:val="en-GB"/>
        </w:rPr>
        <w:t>)</w:t>
      </w:r>
      <w:r w:rsidRPr="009A6F69">
        <w:rPr>
          <w:lang w:val="en-GB"/>
        </w:rPr>
        <w:t xml:space="preserve">, </w:t>
      </w:r>
      <w:r w:rsidR="009B7B8A" w:rsidRPr="009A6F69">
        <w:rPr>
          <w:lang w:val="en-GB"/>
        </w:rPr>
        <w:t>family planning (</w:t>
      </w:r>
      <w:r w:rsidRPr="009A6F69">
        <w:rPr>
          <w:lang w:val="en-GB"/>
        </w:rPr>
        <w:t>FP</w:t>
      </w:r>
      <w:r w:rsidR="009B7B8A" w:rsidRPr="009A6F69">
        <w:rPr>
          <w:lang w:val="en-GB"/>
        </w:rPr>
        <w:t>)</w:t>
      </w:r>
      <w:r w:rsidRPr="009A6F69">
        <w:rPr>
          <w:lang w:val="en-GB"/>
        </w:rPr>
        <w:t>, malaria, TB, and environmental health</w:t>
      </w:r>
      <w:r w:rsidR="00C97281" w:rsidRPr="009A6F69">
        <w:rPr>
          <w:lang w:val="en-GB"/>
        </w:rPr>
        <w:t xml:space="preserve">, </w:t>
      </w:r>
      <w:r w:rsidR="001B3B9E" w:rsidRPr="009A6F69">
        <w:rPr>
          <w:lang w:val="en-GB"/>
        </w:rPr>
        <w:fldChar w:fldCharType="begin" w:fldLock="1"/>
      </w:r>
      <w:r w:rsidR="004F4010">
        <w:rPr>
          <w:lang w:val="en-GB"/>
        </w:rPr>
        <w:instrText>ADDIN CSL_CITATION { "citationItems" : [ { "id" : "ITEM-1", "itemData" : { "author" : [ { "dropping-particle" : "", "family" : "USAID Kenya", "given" : "", "non-dropping-particle" : "", "parse-names" : false, "suffix" : "" } ], "container-title" : "World Health", "id" : "ITEM-1", "issued" : { "date-parts" : [ [ "2010" ] ] }, "title" : "USAID / KENYA FIVE YEAR IMPLEMENTATION FRAMEWORK FOR THE HEALTH SECTOR", "type" : "report" }, "uris" : [ "http://www.mendeley.com/documents/?uuid=e28c0be5-6009-4012-a641-7ce2ce60e8e1" ] } ], "mendeley" : { "previouslyFormattedCitation" : "(USAID Kenya, 2010)" }, "properties" : { "noteIndex" : 0 }, "schema" : "https://github.com/citation-style-language/schema/raw/master/csl-citation.json" }</w:instrText>
      </w:r>
      <w:r w:rsidR="001B3B9E" w:rsidRPr="009A6F69">
        <w:rPr>
          <w:lang w:val="en-GB"/>
        </w:rPr>
        <w:fldChar w:fldCharType="separate"/>
      </w:r>
      <w:r w:rsidR="00C97281" w:rsidRPr="009A6F69">
        <w:rPr>
          <w:noProof/>
          <w:lang w:val="en-GB"/>
        </w:rPr>
        <w:t>(USAID Kenya, 2010)</w:t>
      </w:r>
      <w:r w:rsidR="001B3B9E" w:rsidRPr="009A6F69">
        <w:rPr>
          <w:lang w:val="en-GB"/>
        </w:rPr>
        <w:fldChar w:fldCharType="end"/>
      </w:r>
      <w:r w:rsidRPr="009A6F69">
        <w:rPr>
          <w:lang w:val="en-GB"/>
        </w:rPr>
        <w:t xml:space="preserve">. </w:t>
      </w:r>
      <w:r w:rsidR="00FE7376" w:rsidRPr="009A6F69">
        <w:rPr>
          <w:lang w:val="en-GB"/>
        </w:rPr>
        <w:t xml:space="preserve">These priority interventions cut across the six cohorts. </w:t>
      </w:r>
      <w:r w:rsidR="00996B74" w:rsidRPr="009A6F69">
        <w:rPr>
          <w:lang w:val="en-GB"/>
        </w:rPr>
        <w:t>The breadth of service coverage in terms of population can be viewed by looking at the individual cohorts and select indicators from the ministry of public health and sanitation strategic plan</w:t>
      </w:r>
      <w:r w:rsidR="007A251D"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"Ministry of Public Health and Sanitation", "given" : "", "non-dropping-particle" : "", "parse-names" : false, "suffix" : "" } ], "id" : "ITEM-1", "issue" : "December 2008", "issued" : { "date-parts" : [ [ "2011" ] ] }, "title" : "Ministry of Public Health and Sanitation Strategic plan 2008- 2012", "type" : "report" }, "uris" : [ "http://www.mendeley.com/documents/?uuid=1d0c7c2e-5d35-4b60-bb51-102971538c2a" ] } ], "mendeley" : { "previouslyFormattedCitation" : "(Ministry of Public Health and Sanitation, 2011)" }, "properties" : { "noteIndex" : 0 }, "schema" : "https://github.com/citation-style-language/schema/raw/master/csl-citation.json" }</w:instrText>
      </w:r>
      <w:r w:rsidR="001B3B9E" w:rsidRPr="009A6F69">
        <w:rPr>
          <w:lang w:val="en-GB"/>
        </w:rPr>
        <w:fldChar w:fldCharType="separate"/>
      </w:r>
      <w:r w:rsidR="007A251D" w:rsidRPr="009A6F69">
        <w:rPr>
          <w:noProof/>
          <w:lang w:val="en-GB"/>
        </w:rPr>
        <w:t>(Ministry of Public Health and Sanitation, 2011)</w:t>
      </w:r>
      <w:r w:rsidR="001B3B9E" w:rsidRPr="009A6F69">
        <w:rPr>
          <w:lang w:val="en-GB"/>
        </w:rPr>
        <w:fldChar w:fldCharType="end"/>
      </w:r>
    </w:p>
    <w:p w:rsidR="007A7C98" w:rsidRPr="009A6F69" w:rsidRDefault="00156C90" w:rsidP="0051409C">
      <w:pPr>
        <w:pStyle w:val="Heading2"/>
        <w:rPr>
          <w:lang w:val="en-GB"/>
        </w:rPr>
      </w:pPr>
      <w:bookmarkStart w:id="33" w:name="_Toc254256132"/>
      <w:r w:rsidRPr="009A6F69">
        <w:rPr>
          <w:lang w:val="en-GB"/>
        </w:rPr>
        <w:t xml:space="preserve">KEPH </w:t>
      </w:r>
      <w:r w:rsidR="003F6200" w:rsidRPr="009A6F69">
        <w:rPr>
          <w:lang w:val="en-GB"/>
        </w:rPr>
        <w:t>Cohort 1</w:t>
      </w:r>
      <w:bookmarkEnd w:id="33"/>
    </w:p>
    <w:p w:rsidR="005612E1" w:rsidRPr="009A6F69" w:rsidRDefault="0066282D" w:rsidP="005612E1">
      <w:pPr>
        <w:rPr>
          <w:lang w:val="en-GB"/>
        </w:rPr>
      </w:pPr>
      <w:proofErr w:type="gramStart"/>
      <w:r w:rsidRPr="009A6F69">
        <w:rPr>
          <w:lang w:val="en-GB"/>
        </w:rPr>
        <w:t>For cohort 1, performance has been poor and Kenya will not achieve the MDG targets for maternal and child mortality.</w:t>
      </w:r>
      <w:proofErr w:type="gramEnd"/>
      <w:r w:rsidRPr="009A6F69">
        <w:rPr>
          <w:lang w:val="en-GB"/>
        </w:rPr>
        <w:t xml:space="preserve"> </w:t>
      </w:r>
    </w:p>
    <w:p w:rsidR="00F02888" w:rsidRPr="009A6F69" w:rsidRDefault="00F02888" w:rsidP="0051409C">
      <w:pPr>
        <w:pStyle w:val="Caption"/>
        <w:spacing w:after="0"/>
      </w:pPr>
      <w:r w:rsidRPr="009A6F69">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11</w:t>
      </w:r>
      <w:r w:rsidR="001B3B9E" w:rsidRPr="009A6F69">
        <w:fldChar w:fldCharType="end"/>
      </w:r>
      <w:r w:rsidRPr="009A6F69">
        <w:t xml:space="preserve">: </w:t>
      </w:r>
      <w:r w:rsidR="00111231" w:rsidRPr="009A6F69">
        <w:t xml:space="preserve">Key indicator and achievement </w:t>
      </w:r>
      <w:proofErr w:type="gramStart"/>
      <w:r w:rsidR="00111231" w:rsidRPr="009A6F69">
        <w:t xml:space="preserve">for  </w:t>
      </w:r>
      <w:r w:rsidRPr="009A6F69">
        <w:t>KEPH</w:t>
      </w:r>
      <w:proofErr w:type="gramEnd"/>
      <w:r w:rsidRPr="009A6F69">
        <w:t xml:space="preserve"> </w:t>
      </w:r>
      <w:r w:rsidR="00111231" w:rsidRPr="009A6F69">
        <w:t>c</w:t>
      </w:r>
      <w:r w:rsidRPr="009A6F69">
        <w:t>ohort 1</w:t>
      </w:r>
    </w:p>
    <w:tbl>
      <w:tblPr>
        <w:tblStyle w:val="TableGrid"/>
        <w:tblW w:w="0" w:type="auto"/>
        <w:tblLook w:val="04A0"/>
      </w:tblPr>
      <w:tblGrid>
        <w:gridCol w:w="3708"/>
        <w:gridCol w:w="2413"/>
        <w:gridCol w:w="2735"/>
      </w:tblGrid>
      <w:tr w:rsidR="008F687D" w:rsidRPr="009A6F69" w:rsidTr="00D45F0E">
        <w:tc>
          <w:tcPr>
            <w:tcW w:w="3708" w:type="dxa"/>
          </w:tcPr>
          <w:p w:rsidR="006A249D" w:rsidRPr="009A6F69" w:rsidRDefault="00B55127" w:rsidP="0051409C">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 xml:space="preserve">Indicator </w:t>
            </w:r>
          </w:p>
        </w:tc>
        <w:tc>
          <w:tcPr>
            <w:tcW w:w="2413" w:type="dxa"/>
          </w:tcPr>
          <w:p w:rsidR="006A249D" w:rsidRPr="009A6F69" w:rsidRDefault="00F02888" w:rsidP="0051409C">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 xml:space="preserve">AOP achievement </w:t>
            </w:r>
          </w:p>
        </w:tc>
        <w:tc>
          <w:tcPr>
            <w:tcW w:w="2735" w:type="dxa"/>
          </w:tcPr>
          <w:p w:rsidR="006A249D" w:rsidRPr="009A6F69" w:rsidRDefault="008D7693" w:rsidP="0051409C">
            <w:pPr>
              <w:spacing w:after="0" w:line="240" w:lineRule="auto"/>
              <w:rPr>
                <w:rFonts w:ascii="Times New Roman" w:hAnsi="Times New Roman" w:cs="Times New Roman"/>
                <w:b/>
                <w:sz w:val="20"/>
                <w:szCs w:val="20"/>
                <w:lang w:val="en-GB"/>
              </w:rPr>
            </w:pPr>
            <w:r w:rsidRPr="009A6F69">
              <w:rPr>
                <w:rFonts w:ascii="Times New Roman" w:hAnsi="Times New Roman" w:cs="Times New Roman"/>
                <w:b/>
                <w:sz w:val="20"/>
                <w:szCs w:val="20"/>
                <w:lang w:val="en-GB"/>
              </w:rPr>
              <w:t xml:space="preserve">Source </w:t>
            </w:r>
          </w:p>
        </w:tc>
      </w:tr>
      <w:tr w:rsidR="00904829" w:rsidRPr="009A6F69" w:rsidTr="00D45F0E">
        <w:tc>
          <w:tcPr>
            <w:tcW w:w="3708" w:type="dxa"/>
          </w:tcPr>
          <w:p w:rsidR="00904829" w:rsidRPr="009A6F69" w:rsidRDefault="00904829" w:rsidP="0051409C">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ANC clients (4 visits) coverage</w:t>
            </w:r>
          </w:p>
        </w:tc>
        <w:tc>
          <w:tcPr>
            <w:tcW w:w="2413" w:type="dxa"/>
          </w:tcPr>
          <w:p w:rsidR="00904829" w:rsidRPr="009A6F69" w:rsidRDefault="00904829" w:rsidP="0051409C">
            <w:pPr>
              <w:spacing w:after="0" w:line="240" w:lineRule="auto"/>
              <w:rPr>
                <w:rFonts w:ascii="Times New Roman" w:hAnsi="Times New Roman" w:cs="Times New Roman"/>
                <w:sz w:val="20"/>
                <w:szCs w:val="20"/>
                <w:lang w:val="en-GB"/>
              </w:rPr>
            </w:pPr>
            <w:r w:rsidRPr="009A6F69">
              <w:rPr>
                <w:rFonts w:ascii="Times New Roman" w:hAnsi="Times New Roman" w:cs="Times New Roman"/>
                <w:color w:val="000000"/>
                <w:sz w:val="20"/>
                <w:szCs w:val="20"/>
                <w:lang w:val="en-GB"/>
              </w:rPr>
              <w:t>47% of pregnant women make four or more antenatal visits. 60% of urban women make four or more antenatal care visits, compared with less than half of rural women (44%)</w:t>
            </w:r>
          </w:p>
        </w:tc>
        <w:tc>
          <w:tcPr>
            <w:tcW w:w="2735" w:type="dxa"/>
            <w:vMerge w:val="restart"/>
          </w:tcPr>
          <w:p w:rsidR="00904829" w:rsidRPr="009A6F69" w:rsidRDefault="00904829" w:rsidP="0051409C">
            <w:pPr>
              <w:spacing w:before="100" w:beforeAutospacing="1" w:after="0" w:line="240" w:lineRule="auto"/>
              <w:ind w:left="480" w:hanging="480"/>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Kenya National Bureau of Statistics and ICF Macro, 2010. </w:t>
            </w:r>
            <w:r w:rsidRPr="009A6F69">
              <w:rPr>
                <w:rFonts w:ascii="Times New Roman" w:hAnsi="Times New Roman" w:cs="Times New Roman"/>
                <w:i/>
                <w:iCs/>
                <w:sz w:val="20"/>
                <w:szCs w:val="20"/>
                <w:lang w:val="en-GB"/>
              </w:rPr>
              <w:t>Kenya Demographic and Health Survey 2008-9</w:t>
            </w:r>
            <w:r w:rsidRPr="009A6F69">
              <w:rPr>
                <w:rFonts w:ascii="Times New Roman" w:hAnsi="Times New Roman" w:cs="Times New Roman"/>
                <w:sz w:val="20"/>
                <w:szCs w:val="20"/>
                <w:lang w:val="en-GB"/>
              </w:rPr>
              <w:t>, Nairobi.</w:t>
            </w:r>
          </w:p>
        </w:tc>
      </w:tr>
      <w:tr w:rsidR="00904829" w:rsidRPr="009A6F69" w:rsidTr="00D45F0E">
        <w:tc>
          <w:tcPr>
            <w:tcW w:w="3708" w:type="dxa"/>
          </w:tcPr>
          <w:p w:rsidR="00904829" w:rsidRPr="009A6F69" w:rsidRDefault="00904829" w:rsidP="0051409C">
            <w:pPr>
              <w:spacing w:after="0" w:line="240" w:lineRule="auto"/>
              <w:rPr>
                <w:rFonts w:ascii="Times New Roman" w:hAnsi="Times New Roman" w:cs="Times New Roman"/>
                <w:sz w:val="20"/>
                <w:szCs w:val="20"/>
                <w:lang w:val="en-GB"/>
              </w:rPr>
            </w:pPr>
            <w:r w:rsidRPr="009A6F69">
              <w:rPr>
                <w:rFonts w:ascii="Times New Roman" w:hAnsi="Times New Roman" w:cs="Times New Roman"/>
                <w:sz w:val="20"/>
                <w:szCs w:val="20"/>
                <w:lang w:val="en-GB"/>
              </w:rPr>
              <w:t xml:space="preserve">Deliveries conducted by skilled attendant in health facilities </w:t>
            </w:r>
          </w:p>
        </w:tc>
        <w:tc>
          <w:tcPr>
            <w:tcW w:w="2413" w:type="dxa"/>
          </w:tcPr>
          <w:p w:rsidR="00904829" w:rsidRPr="009A6F69" w:rsidRDefault="00904829" w:rsidP="0051409C">
            <w:pPr>
              <w:spacing w:after="0" w:line="240" w:lineRule="auto"/>
              <w:rPr>
                <w:rFonts w:ascii="Times New Roman" w:hAnsi="Times New Roman" w:cs="Times New Roman"/>
                <w:sz w:val="20"/>
                <w:szCs w:val="20"/>
                <w:lang w:val="en-GB"/>
              </w:rPr>
            </w:pPr>
            <w:r w:rsidRPr="009A6F69">
              <w:rPr>
                <w:rFonts w:ascii="Times New Roman" w:hAnsi="Times New Roman" w:cs="Times New Roman"/>
                <w:color w:val="000000"/>
                <w:sz w:val="20"/>
                <w:szCs w:val="20"/>
                <w:lang w:val="en-GB"/>
              </w:rPr>
              <w:t xml:space="preserve">44 </w:t>
            </w:r>
            <w:r w:rsidR="00AF29E5" w:rsidRPr="009A6F69">
              <w:rPr>
                <w:rFonts w:ascii="Times New Roman" w:hAnsi="Times New Roman" w:cs="Times New Roman"/>
                <w:color w:val="000000"/>
                <w:sz w:val="20"/>
                <w:szCs w:val="20"/>
                <w:lang w:val="en-GB"/>
              </w:rPr>
              <w:t>%</w:t>
            </w:r>
            <w:r w:rsidRPr="009A6F69">
              <w:rPr>
                <w:rFonts w:ascii="Times New Roman" w:hAnsi="Times New Roman" w:cs="Times New Roman"/>
                <w:color w:val="000000"/>
                <w:sz w:val="20"/>
                <w:szCs w:val="20"/>
                <w:lang w:val="en-GB"/>
              </w:rPr>
              <w:t xml:space="preserve"> of births</w:t>
            </w:r>
          </w:p>
        </w:tc>
        <w:tc>
          <w:tcPr>
            <w:tcW w:w="2735" w:type="dxa"/>
            <w:vMerge/>
          </w:tcPr>
          <w:p w:rsidR="00904829" w:rsidRPr="009A6F69" w:rsidRDefault="00904829" w:rsidP="0051409C">
            <w:pPr>
              <w:spacing w:after="0" w:line="240" w:lineRule="auto"/>
              <w:rPr>
                <w:rFonts w:ascii="Times New Roman" w:hAnsi="Times New Roman" w:cs="Times New Roman"/>
                <w:sz w:val="20"/>
                <w:szCs w:val="20"/>
                <w:lang w:val="en-GB"/>
              </w:rPr>
            </w:pPr>
          </w:p>
        </w:tc>
      </w:tr>
    </w:tbl>
    <w:p w:rsidR="007A7C98" w:rsidRPr="009A6F69" w:rsidRDefault="007A7C98" w:rsidP="00777751">
      <w:pPr>
        <w:rPr>
          <w:lang w:val="en-GB"/>
        </w:rPr>
      </w:pPr>
    </w:p>
    <w:p w:rsidR="00EC55F9" w:rsidRPr="009A6F69" w:rsidRDefault="009B1A21" w:rsidP="00777751">
      <w:pPr>
        <w:rPr>
          <w:lang w:val="en-GB"/>
        </w:rPr>
      </w:pPr>
      <w:r w:rsidRPr="009A6F69">
        <w:rPr>
          <w:lang w:val="en-GB"/>
        </w:rPr>
        <w:t>Kenya has a high</w:t>
      </w:r>
      <w:r w:rsidR="00D2628A" w:rsidRPr="009A6F69">
        <w:rPr>
          <w:lang w:val="en-GB"/>
        </w:rPr>
        <w:t xml:space="preserve"> and wide regional differential</w:t>
      </w:r>
      <w:r w:rsidRPr="009A6F69">
        <w:rPr>
          <w:lang w:val="en-GB"/>
        </w:rPr>
        <w:t xml:space="preserve"> in maternal mortality.</w:t>
      </w:r>
      <w:r w:rsidR="00BE339E" w:rsidRPr="009A6F69">
        <w:rPr>
          <w:lang w:val="en-GB"/>
        </w:rPr>
        <w:t xml:space="preserve"> Maternal deaths represent about 15 </w:t>
      </w:r>
      <w:r w:rsidR="00AF29E5" w:rsidRPr="009A6F69">
        <w:rPr>
          <w:lang w:val="en-GB"/>
        </w:rPr>
        <w:t>%</w:t>
      </w:r>
      <w:r w:rsidR="00BE339E" w:rsidRPr="009A6F69">
        <w:rPr>
          <w:lang w:val="en-GB"/>
        </w:rPr>
        <w:t xml:space="preserve"> of all deaths to women aged 15-49 in Kenya representing about 6000 to 8,000 women every year. The maternal mortality ratio has almost remained the same since 1990</w:t>
      </w:r>
      <w:r w:rsidR="00B35723"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001B3B9E" w:rsidRPr="009A6F69">
        <w:rPr>
          <w:lang w:val="en-GB"/>
        </w:rPr>
        <w:fldChar w:fldCharType="separate"/>
      </w:r>
      <w:r w:rsidR="00B35723" w:rsidRPr="009A6F69">
        <w:rPr>
          <w:noProof/>
          <w:lang w:val="en-GB"/>
        </w:rPr>
        <w:t>(Kenya National Bureau of Statistics and ICF Macro, 2010)</w:t>
      </w:r>
      <w:r w:rsidR="001B3B9E" w:rsidRPr="009A6F69">
        <w:rPr>
          <w:lang w:val="en-GB"/>
        </w:rPr>
        <w:fldChar w:fldCharType="end"/>
      </w:r>
      <w:r w:rsidR="00B35723" w:rsidRPr="009A6F69">
        <w:rPr>
          <w:lang w:val="en-GB"/>
        </w:rPr>
        <w:t>.</w:t>
      </w:r>
      <w:r w:rsidR="00690470" w:rsidRPr="009A6F69">
        <w:rPr>
          <w:lang w:val="en-GB"/>
        </w:rPr>
        <w:t xml:space="preserve"> The difference in maternal mortality by county is considerable with </w:t>
      </w:r>
      <w:r w:rsidR="00994776" w:rsidRPr="009A6F69">
        <w:rPr>
          <w:lang w:val="en-GB"/>
        </w:rPr>
        <w:t>the county with highest maternal mortality having 20 times that of the lowest</w:t>
      </w:r>
      <w:r w:rsidR="001730C6" w:rsidRPr="009A6F69">
        <w:rPr>
          <w:lang w:val="en-GB"/>
        </w:rPr>
        <w:t>, (</w:t>
      </w:r>
      <w:r w:rsidR="001B3B9E" w:rsidRPr="009A6F69">
        <w:rPr>
          <w:lang w:val="en-GB"/>
        </w:rPr>
        <w:fldChar w:fldCharType="begin"/>
      </w:r>
      <w:r w:rsidR="001730C6" w:rsidRPr="009A6F69">
        <w:rPr>
          <w:lang w:val="en-GB"/>
        </w:rPr>
        <w:instrText xml:space="preserve"> REF _Ref243416718 \h </w:instrText>
      </w:r>
      <w:r w:rsidR="001B3B9E" w:rsidRPr="009A6F69">
        <w:rPr>
          <w:lang w:val="en-GB"/>
        </w:rPr>
      </w:r>
      <w:r w:rsidR="001B3B9E" w:rsidRPr="009A6F69">
        <w:rPr>
          <w:lang w:val="en-GB"/>
        </w:rPr>
        <w:fldChar w:fldCharType="separate"/>
      </w:r>
      <w:r w:rsidR="008A34D7" w:rsidRPr="009A6F69">
        <w:t xml:space="preserve">Figure </w:t>
      </w:r>
      <w:r w:rsidR="008A34D7">
        <w:rPr>
          <w:noProof/>
        </w:rPr>
        <w:t>6</w:t>
      </w:r>
      <w:r w:rsidR="001B3B9E" w:rsidRPr="009A6F69">
        <w:rPr>
          <w:lang w:val="en-GB"/>
        </w:rPr>
        <w:fldChar w:fldCharType="end"/>
      </w:r>
      <w:r w:rsidR="001730C6" w:rsidRPr="009A6F69">
        <w:rPr>
          <w:lang w:val="en-GB"/>
        </w:rPr>
        <w:t>)</w:t>
      </w:r>
      <w:r w:rsidR="00994776" w:rsidRPr="009A6F69">
        <w:rPr>
          <w:lang w:val="en-GB"/>
        </w:rPr>
        <w:t xml:space="preserve">. </w:t>
      </w:r>
    </w:p>
    <w:p w:rsidR="00FD758B" w:rsidRPr="009A6F69" w:rsidRDefault="00FD758B" w:rsidP="00777751">
      <w:pPr>
        <w:rPr>
          <w:lang w:val="en-GB"/>
        </w:rPr>
      </w:pPr>
    </w:p>
    <w:p w:rsidR="0000633C" w:rsidRPr="009A6F69" w:rsidRDefault="00FD758B" w:rsidP="00501B04">
      <w:pPr>
        <w:keepNext/>
        <w:spacing w:after="0" w:line="240" w:lineRule="auto"/>
        <w:jc w:val="both"/>
        <w:rPr>
          <w:lang w:val="en-GB"/>
        </w:rPr>
      </w:pPr>
      <w:r w:rsidRPr="009A6F69">
        <w:rPr>
          <w:rFonts w:cstheme="minorHAnsi"/>
          <w:noProof/>
          <w:sz w:val="22"/>
          <w:szCs w:val="22"/>
        </w:rPr>
        <w:lastRenderedPageBreak/>
        <w:drawing>
          <wp:inline distT="0" distB="0" distL="0" distR="0">
            <wp:extent cx="3883446" cy="4914900"/>
            <wp:effectExtent l="0" t="0" r="28575" b="12700"/>
            <wp:docPr id="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D758B" w:rsidRPr="009A6F69" w:rsidRDefault="0000633C" w:rsidP="0011207E">
      <w:pPr>
        <w:pStyle w:val="Caption"/>
      </w:pPr>
      <w:bookmarkStart w:id="34" w:name="_Ref243416718"/>
      <w:r w:rsidRPr="009A6F69">
        <w:t xml:space="preserve">Figure </w:t>
      </w:r>
      <w:r w:rsidR="001B3B9E" w:rsidRPr="009A6F69">
        <w:fldChar w:fldCharType="begin"/>
      </w:r>
      <w:r w:rsidRPr="009A6F69">
        <w:instrText xml:space="preserve"> SEQ Figure \* ARABIC </w:instrText>
      </w:r>
      <w:r w:rsidR="001B3B9E" w:rsidRPr="009A6F69">
        <w:fldChar w:fldCharType="separate"/>
      </w:r>
      <w:r w:rsidR="008A34D7">
        <w:rPr>
          <w:noProof/>
        </w:rPr>
        <w:t>6</w:t>
      </w:r>
      <w:r w:rsidR="001B3B9E" w:rsidRPr="009A6F69">
        <w:fldChar w:fldCharType="end"/>
      </w:r>
      <w:bookmarkEnd w:id="34"/>
      <w:r w:rsidRPr="009A6F69">
        <w:t>: Maternal Mortality Ratios by County</w:t>
      </w:r>
    </w:p>
    <w:p w:rsidR="004B42B8" w:rsidRPr="009A6F69" w:rsidRDefault="00B61DDD" w:rsidP="00CC19D3">
      <w:pPr>
        <w:rPr>
          <w:lang w:val="en-GB"/>
        </w:rPr>
      </w:pPr>
      <w:r w:rsidRPr="009A6F69">
        <w:rPr>
          <w:lang w:val="en-GB"/>
        </w:rPr>
        <w:t xml:space="preserve">The comprehensive implementation of PMTCT of HIV interventions including universal testing of all pregnant women, use of combined ART, scheduled caesarean delivery and safer infant feeding practices has reduced MTCT of HIV infection to less than 2% in developed economies, </w:t>
      </w:r>
      <w:r w:rsidR="001B3B9E" w:rsidRPr="009A6F69">
        <w:rPr>
          <w:lang w:val="en-GB"/>
        </w:rPr>
        <w:fldChar w:fldCharType="begin" w:fldLock="1"/>
      </w:r>
      <w:r w:rsidR="004F4010">
        <w:rPr>
          <w:lang w:val="en-GB"/>
        </w:rPr>
        <w:instrText>ADDIN CSL_CITATION { "citationItems" : [ { "id" : "ITEM-1", "itemData" : { "author" : [ { "dropping-particle" : "", "family" : "National AIDS/STI Control Program (NASCOP) Kenya", "given" : "", "non-dropping-particle" : "", "parse-names" : false, "suffix" : "" } ], "id" : "ITEM-1", "issued" : { "date-parts" : [ [ "2011" ] ] }, "title" : "Guidelines for antiretroviral therapy in Kenya 4th Edition 2011", "type" : "report" }, "uris" : [ "http://www.mendeley.com/documents/?uuid=a6125452-9568-4be2-817d-50316215f36b" ] } ], "mendeley" : { "previouslyFormattedCitation" : "(National AIDS/STI Control Program (NASCOP) Kenya, 2011)" }, "properties" : { "noteIndex" : 0 }, "schema" : "https://github.com/citation-style-language/schema/raw/master/csl-citation.json" }</w:instrText>
      </w:r>
      <w:r w:rsidR="001B3B9E" w:rsidRPr="009A6F69">
        <w:rPr>
          <w:lang w:val="en-GB"/>
        </w:rPr>
        <w:fldChar w:fldCharType="separate"/>
      </w:r>
      <w:r w:rsidRPr="009A6F69">
        <w:rPr>
          <w:noProof/>
          <w:lang w:val="en-GB"/>
        </w:rPr>
        <w:t>(National AIDS/STI Control Program (NASCOP) Kenya, 2011)</w:t>
      </w:r>
      <w:r w:rsidR="001B3B9E" w:rsidRPr="009A6F69">
        <w:rPr>
          <w:lang w:val="en-GB"/>
        </w:rPr>
        <w:fldChar w:fldCharType="end"/>
      </w:r>
      <w:r w:rsidRPr="009A6F69">
        <w:rPr>
          <w:lang w:val="en-GB"/>
        </w:rPr>
        <w:t xml:space="preserve">. </w:t>
      </w:r>
      <w:r w:rsidR="00C5753B" w:rsidRPr="009A6F69">
        <w:rPr>
          <w:lang w:val="en-GB"/>
        </w:rPr>
        <w:t>However in Kenya,</w:t>
      </w:r>
      <w:r w:rsidR="00CC19D3" w:rsidRPr="009A6F69">
        <w:rPr>
          <w:lang w:val="en-GB"/>
        </w:rPr>
        <w:t xml:space="preserve"> only 47% of pregnant women make four or more antenatal visits. About 60% of urban women make four or more antenatal care visits, compared with less than half of rural women (44 </w:t>
      </w:r>
      <w:r w:rsidR="00AF29E5" w:rsidRPr="009A6F69">
        <w:rPr>
          <w:lang w:val="en-GB"/>
        </w:rPr>
        <w:t>%</w:t>
      </w:r>
      <w:r w:rsidR="00CC19D3" w:rsidRPr="009A6F69">
        <w:rPr>
          <w:lang w:val="en-GB"/>
        </w:rPr>
        <w:t>)</w:t>
      </w:r>
      <w:r w:rsidR="00C5753B"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001B3B9E" w:rsidRPr="009A6F69">
        <w:rPr>
          <w:lang w:val="en-GB"/>
        </w:rPr>
        <w:fldChar w:fldCharType="separate"/>
      </w:r>
      <w:r w:rsidR="00C5753B" w:rsidRPr="009A6F69">
        <w:rPr>
          <w:noProof/>
          <w:lang w:val="en-GB"/>
        </w:rPr>
        <w:t>(Kenya National Bureau of Statistics and ICF Macro, 2010)</w:t>
      </w:r>
      <w:r w:rsidR="001B3B9E" w:rsidRPr="009A6F69">
        <w:rPr>
          <w:lang w:val="en-GB"/>
        </w:rPr>
        <w:fldChar w:fldCharType="end"/>
      </w:r>
      <w:r w:rsidR="00C5753B" w:rsidRPr="009A6F69">
        <w:rPr>
          <w:lang w:val="en-GB"/>
        </w:rPr>
        <w:t xml:space="preserve">. </w:t>
      </w:r>
      <w:r w:rsidR="00A20AC3" w:rsidRPr="009A6F69">
        <w:rPr>
          <w:lang w:val="en-GB"/>
        </w:rPr>
        <w:t xml:space="preserve">Therefore mortality and morbidity around child birth remains a significant public health issue. </w:t>
      </w:r>
    </w:p>
    <w:p w:rsidR="00B20A05" w:rsidRPr="009A6F69" w:rsidRDefault="00B20A05" w:rsidP="002560C7">
      <w:pPr>
        <w:pStyle w:val="Heading2"/>
        <w:rPr>
          <w:lang w:val="en-GB"/>
        </w:rPr>
      </w:pPr>
    </w:p>
    <w:p w:rsidR="00C65ABF" w:rsidRPr="009A6F69" w:rsidRDefault="003D2A35" w:rsidP="002560C7">
      <w:pPr>
        <w:pStyle w:val="Heading2"/>
        <w:rPr>
          <w:lang w:val="en-GB"/>
        </w:rPr>
      </w:pPr>
      <w:bookmarkStart w:id="35" w:name="_Toc254256133"/>
      <w:r w:rsidRPr="009A6F69">
        <w:rPr>
          <w:lang w:val="en-GB"/>
        </w:rPr>
        <w:t xml:space="preserve">KEPH </w:t>
      </w:r>
      <w:r w:rsidR="00C65ABF" w:rsidRPr="009A6F69">
        <w:rPr>
          <w:lang w:val="en-GB"/>
        </w:rPr>
        <w:t>Cohort 2</w:t>
      </w:r>
      <w:r w:rsidR="00A10F8B" w:rsidRPr="009A6F69">
        <w:rPr>
          <w:lang w:val="en-GB"/>
        </w:rPr>
        <w:t xml:space="preserve"> and 3</w:t>
      </w:r>
      <w:bookmarkEnd w:id="35"/>
    </w:p>
    <w:p w:rsidR="00C65ABF" w:rsidRPr="009A6F69" w:rsidRDefault="001B590D" w:rsidP="002560C7">
      <w:pPr>
        <w:rPr>
          <w:lang w:val="en-GB"/>
        </w:rPr>
      </w:pPr>
      <w:r w:rsidRPr="009A6F69">
        <w:rPr>
          <w:lang w:val="en-GB"/>
        </w:rPr>
        <w:t xml:space="preserve">There has been steady progress in improving the immunization status of children under five. </w:t>
      </w:r>
      <w:r w:rsidR="00216E41" w:rsidRPr="009A6F69">
        <w:rPr>
          <w:lang w:val="en-GB"/>
        </w:rPr>
        <w:t>However there remains considerable variation across the country.</w:t>
      </w:r>
    </w:p>
    <w:p w:rsidR="009A6CD4" w:rsidRPr="009A6F69" w:rsidRDefault="009A6CD4" w:rsidP="001524B2">
      <w:pPr>
        <w:pStyle w:val="Caption"/>
        <w:spacing w:after="0"/>
      </w:pPr>
      <w:r w:rsidRPr="009A6F69">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12</w:t>
      </w:r>
      <w:r w:rsidR="001B3B9E" w:rsidRPr="009A6F69">
        <w:fldChar w:fldCharType="end"/>
      </w:r>
      <w:r w:rsidRPr="009A6F69">
        <w:t xml:space="preserve">: Key indicators and achievement for KEPH </w:t>
      </w:r>
      <w:r w:rsidR="00307E92" w:rsidRPr="009A6F69">
        <w:t>c</w:t>
      </w:r>
      <w:r w:rsidRPr="009A6F69">
        <w:t>ohort 2 and 3</w:t>
      </w:r>
    </w:p>
    <w:tbl>
      <w:tblPr>
        <w:tblStyle w:val="TableGrid"/>
        <w:tblW w:w="0" w:type="auto"/>
        <w:tblLook w:val="04A0"/>
      </w:tblPr>
      <w:tblGrid>
        <w:gridCol w:w="3386"/>
        <w:gridCol w:w="2735"/>
        <w:gridCol w:w="2735"/>
      </w:tblGrid>
      <w:tr w:rsidR="002560C7" w:rsidRPr="009A6F69" w:rsidTr="00690470">
        <w:tc>
          <w:tcPr>
            <w:tcW w:w="3386" w:type="dxa"/>
          </w:tcPr>
          <w:p w:rsidR="002560C7" w:rsidRPr="009A6F69" w:rsidRDefault="00AB7D5F" w:rsidP="001524B2">
            <w:pPr>
              <w:spacing w:after="0" w:line="240" w:lineRule="auto"/>
              <w:rPr>
                <w:b/>
                <w:sz w:val="20"/>
                <w:szCs w:val="20"/>
                <w:lang w:val="en-GB"/>
              </w:rPr>
            </w:pPr>
            <w:r w:rsidRPr="009A6F69">
              <w:rPr>
                <w:b/>
                <w:sz w:val="20"/>
                <w:szCs w:val="20"/>
                <w:lang w:val="en-GB"/>
              </w:rPr>
              <w:t xml:space="preserve">Select </w:t>
            </w:r>
            <w:r w:rsidR="002560C7" w:rsidRPr="009A6F69">
              <w:rPr>
                <w:b/>
                <w:sz w:val="20"/>
                <w:szCs w:val="20"/>
                <w:lang w:val="en-GB"/>
              </w:rPr>
              <w:t xml:space="preserve">Indicator </w:t>
            </w:r>
          </w:p>
        </w:tc>
        <w:tc>
          <w:tcPr>
            <w:tcW w:w="2735" w:type="dxa"/>
          </w:tcPr>
          <w:p w:rsidR="002560C7" w:rsidRPr="009A6F69" w:rsidRDefault="002560C7" w:rsidP="001524B2">
            <w:pPr>
              <w:spacing w:after="0" w:line="240" w:lineRule="auto"/>
              <w:rPr>
                <w:b/>
                <w:sz w:val="20"/>
                <w:szCs w:val="20"/>
                <w:lang w:val="en-GB"/>
              </w:rPr>
            </w:pPr>
            <w:r w:rsidRPr="009A6F69">
              <w:rPr>
                <w:b/>
                <w:sz w:val="20"/>
                <w:szCs w:val="20"/>
                <w:lang w:val="en-GB"/>
              </w:rPr>
              <w:t xml:space="preserve">AOP achievement </w:t>
            </w:r>
          </w:p>
        </w:tc>
        <w:tc>
          <w:tcPr>
            <w:tcW w:w="2735" w:type="dxa"/>
          </w:tcPr>
          <w:p w:rsidR="002560C7" w:rsidRPr="009A6F69" w:rsidRDefault="00B843F7" w:rsidP="001524B2">
            <w:pPr>
              <w:spacing w:after="0" w:line="240" w:lineRule="auto"/>
              <w:rPr>
                <w:b/>
                <w:sz w:val="20"/>
                <w:szCs w:val="20"/>
                <w:lang w:val="en-GB"/>
              </w:rPr>
            </w:pPr>
            <w:r w:rsidRPr="009A6F69">
              <w:rPr>
                <w:b/>
                <w:sz w:val="20"/>
                <w:szCs w:val="20"/>
                <w:lang w:val="en-GB"/>
              </w:rPr>
              <w:t>Source</w:t>
            </w:r>
          </w:p>
        </w:tc>
      </w:tr>
      <w:tr w:rsidR="002560C7" w:rsidRPr="009A6F69" w:rsidTr="00690470">
        <w:tc>
          <w:tcPr>
            <w:tcW w:w="3386" w:type="dxa"/>
          </w:tcPr>
          <w:p w:rsidR="002560C7" w:rsidRPr="009A6F69" w:rsidRDefault="00A71557" w:rsidP="004B36E0">
            <w:pPr>
              <w:spacing w:line="240" w:lineRule="auto"/>
              <w:rPr>
                <w:sz w:val="20"/>
                <w:szCs w:val="20"/>
                <w:lang w:val="en-GB"/>
              </w:rPr>
            </w:pPr>
            <w:r w:rsidRPr="009A6F69">
              <w:rPr>
                <w:sz w:val="20"/>
                <w:szCs w:val="20"/>
                <w:lang w:val="en-GB"/>
              </w:rPr>
              <w:t>The proportion of children 12- 23 months vaccinated against measles</w:t>
            </w:r>
          </w:p>
        </w:tc>
        <w:tc>
          <w:tcPr>
            <w:tcW w:w="2735" w:type="dxa"/>
          </w:tcPr>
          <w:p w:rsidR="002560C7" w:rsidRPr="009A6F69" w:rsidRDefault="00612E4B" w:rsidP="004B36E0">
            <w:pPr>
              <w:spacing w:line="240" w:lineRule="auto"/>
              <w:rPr>
                <w:sz w:val="20"/>
                <w:szCs w:val="20"/>
                <w:lang w:val="en-GB"/>
              </w:rPr>
            </w:pPr>
            <w:r w:rsidRPr="009A6F69">
              <w:rPr>
                <w:sz w:val="20"/>
                <w:szCs w:val="20"/>
                <w:lang w:val="en-GB"/>
              </w:rPr>
              <w:t xml:space="preserve">85 </w:t>
            </w:r>
            <w:r w:rsidR="00A71557" w:rsidRPr="009A6F69">
              <w:rPr>
                <w:sz w:val="20"/>
                <w:szCs w:val="20"/>
                <w:lang w:val="en-GB"/>
              </w:rPr>
              <w:t>%</w:t>
            </w:r>
          </w:p>
        </w:tc>
        <w:tc>
          <w:tcPr>
            <w:tcW w:w="2735" w:type="dxa"/>
          </w:tcPr>
          <w:p w:rsidR="002560C7" w:rsidRPr="009A6F69" w:rsidRDefault="001B3B9E" w:rsidP="004B36E0">
            <w:pPr>
              <w:spacing w:line="240" w:lineRule="auto"/>
              <w:rPr>
                <w:sz w:val="20"/>
                <w:szCs w:val="20"/>
                <w:lang w:val="en-GB"/>
              </w:rPr>
            </w:pPr>
            <w:r w:rsidRPr="009A6F69">
              <w:rPr>
                <w:sz w:val="20"/>
                <w:szCs w:val="20"/>
                <w:lang w:val="en-GB"/>
              </w:rPr>
              <w:fldChar w:fldCharType="begin" w:fldLock="1"/>
            </w:r>
            <w:r w:rsidR="004F4010">
              <w:rPr>
                <w:sz w:val="20"/>
                <w:szCs w:val="20"/>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Pr="009A6F69">
              <w:rPr>
                <w:sz w:val="20"/>
                <w:szCs w:val="20"/>
                <w:lang w:val="en-GB"/>
              </w:rPr>
              <w:fldChar w:fldCharType="separate"/>
            </w:r>
            <w:r w:rsidR="0059538C" w:rsidRPr="009A6F69">
              <w:rPr>
                <w:noProof/>
                <w:sz w:val="20"/>
                <w:szCs w:val="20"/>
                <w:lang w:val="en-GB"/>
              </w:rPr>
              <w:t>(Kenya National Bureau of Statistics and ICF Macro, 2010)</w:t>
            </w:r>
            <w:r w:rsidRPr="009A6F69">
              <w:rPr>
                <w:sz w:val="20"/>
                <w:szCs w:val="20"/>
                <w:lang w:val="en-GB"/>
              </w:rPr>
              <w:fldChar w:fldCharType="end"/>
            </w:r>
          </w:p>
        </w:tc>
      </w:tr>
      <w:tr w:rsidR="002560C7" w:rsidRPr="009A6F69" w:rsidTr="00690470">
        <w:tc>
          <w:tcPr>
            <w:tcW w:w="3386" w:type="dxa"/>
          </w:tcPr>
          <w:p w:rsidR="002560C7" w:rsidRPr="009A6F69" w:rsidRDefault="00A10F8B" w:rsidP="004B36E0">
            <w:pPr>
              <w:spacing w:line="240" w:lineRule="auto"/>
              <w:rPr>
                <w:sz w:val="20"/>
                <w:szCs w:val="20"/>
                <w:lang w:val="en-GB"/>
              </w:rPr>
            </w:pPr>
            <w:r w:rsidRPr="009A6F69">
              <w:rPr>
                <w:sz w:val="20"/>
                <w:szCs w:val="20"/>
                <w:lang w:val="en-GB"/>
              </w:rPr>
              <w:t xml:space="preserve">% children &lt; 5 years receiving </w:t>
            </w:r>
            <w:proofErr w:type="spellStart"/>
            <w:r w:rsidRPr="009A6F69">
              <w:rPr>
                <w:sz w:val="20"/>
                <w:szCs w:val="20"/>
                <w:lang w:val="en-GB"/>
              </w:rPr>
              <w:t>Vit</w:t>
            </w:r>
            <w:proofErr w:type="spellEnd"/>
            <w:r w:rsidRPr="009A6F69">
              <w:rPr>
                <w:sz w:val="20"/>
                <w:szCs w:val="20"/>
                <w:lang w:val="en-GB"/>
              </w:rPr>
              <w:t xml:space="preserve"> A. supplement</w:t>
            </w:r>
          </w:p>
        </w:tc>
        <w:tc>
          <w:tcPr>
            <w:tcW w:w="2735" w:type="dxa"/>
          </w:tcPr>
          <w:p w:rsidR="002560C7" w:rsidRPr="009A6F69" w:rsidRDefault="002560C7" w:rsidP="004B36E0">
            <w:pPr>
              <w:spacing w:line="240" w:lineRule="auto"/>
              <w:rPr>
                <w:sz w:val="20"/>
                <w:szCs w:val="20"/>
                <w:lang w:val="en-GB"/>
              </w:rPr>
            </w:pPr>
          </w:p>
        </w:tc>
        <w:tc>
          <w:tcPr>
            <w:tcW w:w="2735" w:type="dxa"/>
          </w:tcPr>
          <w:p w:rsidR="002560C7" w:rsidRPr="009A6F69" w:rsidRDefault="002560C7" w:rsidP="004B36E0">
            <w:pPr>
              <w:spacing w:line="240" w:lineRule="auto"/>
              <w:rPr>
                <w:sz w:val="20"/>
                <w:szCs w:val="20"/>
                <w:lang w:val="en-GB"/>
              </w:rPr>
            </w:pPr>
          </w:p>
        </w:tc>
      </w:tr>
      <w:tr w:rsidR="00F659F2" w:rsidRPr="009A6F69" w:rsidTr="00690470">
        <w:tc>
          <w:tcPr>
            <w:tcW w:w="3386" w:type="dxa"/>
          </w:tcPr>
          <w:p w:rsidR="00F659F2" w:rsidRPr="009A6F69" w:rsidRDefault="00F659F2" w:rsidP="001B590D">
            <w:pPr>
              <w:spacing w:line="240" w:lineRule="auto"/>
              <w:rPr>
                <w:sz w:val="20"/>
                <w:szCs w:val="20"/>
                <w:lang w:val="en-GB"/>
              </w:rPr>
            </w:pPr>
            <w:r w:rsidRPr="009A6F69">
              <w:rPr>
                <w:sz w:val="20"/>
                <w:szCs w:val="20"/>
                <w:lang w:val="en-GB"/>
              </w:rPr>
              <w:t xml:space="preserve">% School Children correctly </w:t>
            </w:r>
            <w:proofErr w:type="spellStart"/>
            <w:r w:rsidRPr="009A6F69">
              <w:rPr>
                <w:sz w:val="20"/>
                <w:szCs w:val="20"/>
                <w:lang w:val="en-GB"/>
              </w:rPr>
              <w:t>dewormed</w:t>
            </w:r>
            <w:proofErr w:type="spellEnd"/>
            <w:r w:rsidRPr="009A6F69">
              <w:rPr>
                <w:sz w:val="20"/>
                <w:szCs w:val="20"/>
                <w:lang w:val="en-GB"/>
              </w:rPr>
              <w:t xml:space="preserve"> at least once in the planned period</w:t>
            </w:r>
          </w:p>
        </w:tc>
        <w:tc>
          <w:tcPr>
            <w:tcW w:w="2735" w:type="dxa"/>
          </w:tcPr>
          <w:p w:rsidR="00F659F2" w:rsidRPr="009A6F69" w:rsidRDefault="0086613F" w:rsidP="001B590D">
            <w:pPr>
              <w:spacing w:line="240" w:lineRule="auto"/>
              <w:rPr>
                <w:sz w:val="20"/>
                <w:szCs w:val="20"/>
                <w:lang w:val="en-GB"/>
              </w:rPr>
            </w:pPr>
            <w:r w:rsidRPr="009A6F69">
              <w:rPr>
                <w:sz w:val="20"/>
                <w:szCs w:val="20"/>
                <w:lang w:val="en-GB"/>
              </w:rPr>
              <w:t>n/a</w:t>
            </w:r>
          </w:p>
        </w:tc>
        <w:tc>
          <w:tcPr>
            <w:tcW w:w="2735" w:type="dxa"/>
          </w:tcPr>
          <w:p w:rsidR="00F659F2" w:rsidRPr="009A6F69" w:rsidRDefault="00F659F2" w:rsidP="001B590D">
            <w:pPr>
              <w:spacing w:line="240" w:lineRule="auto"/>
              <w:rPr>
                <w:sz w:val="20"/>
                <w:szCs w:val="20"/>
                <w:lang w:val="en-GB"/>
              </w:rPr>
            </w:pPr>
          </w:p>
        </w:tc>
      </w:tr>
    </w:tbl>
    <w:p w:rsidR="002560C7" w:rsidRPr="009A6F69" w:rsidRDefault="002560C7" w:rsidP="001B590D">
      <w:pPr>
        <w:spacing w:line="240" w:lineRule="auto"/>
        <w:rPr>
          <w:lang w:val="en-GB"/>
        </w:rPr>
      </w:pPr>
    </w:p>
    <w:p w:rsidR="00320B5E" w:rsidRPr="009A6F69" w:rsidRDefault="00442872" w:rsidP="002560C7">
      <w:pPr>
        <w:rPr>
          <w:lang w:val="en-GB"/>
        </w:rPr>
      </w:pPr>
      <w:r w:rsidRPr="009A6F69">
        <w:rPr>
          <w:lang w:val="en-GB"/>
        </w:rPr>
        <w:t>From the 2009/10 KDHS, d</w:t>
      </w:r>
      <w:r w:rsidR="00F7285C" w:rsidRPr="009A6F69">
        <w:rPr>
          <w:lang w:val="en-GB"/>
        </w:rPr>
        <w:t>elivery by skilled birth attendant</w:t>
      </w:r>
      <w:r w:rsidR="007D3B7F" w:rsidRPr="009A6F69">
        <w:rPr>
          <w:lang w:val="en-GB"/>
        </w:rPr>
        <w:t xml:space="preserve"> (SBA)</w:t>
      </w:r>
      <w:r w:rsidR="0084540E" w:rsidRPr="009A6F69">
        <w:rPr>
          <w:lang w:val="en-GB"/>
        </w:rPr>
        <w:t xml:space="preserve"> and measle</w:t>
      </w:r>
      <w:r w:rsidR="00F7285C" w:rsidRPr="009A6F69">
        <w:rPr>
          <w:lang w:val="en-GB"/>
        </w:rPr>
        <w:t>s immunization coverage differ</w:t>
      </w:r>
      <w:r w:rsidRPr="009A6F69">
        <w:rPr>
          <w:lang w:val="en-GB"/>
        </w:rPr>
        <w:t>ed</w:t>
      </w:r>
      <w:r w:rsidR="0084540E" w:rsidRPr="009A6F69">
        <w:rPr>
          <w:lang w:val="en-GB"/>
        </w:rPr>
        <w:t xml:space="preserve"> according to household wealth, parent’s education, skilled antenatal care visits, birth order and father’s occupation. </w:t>
      </w:r>
      <w:r w:rsidRPr="009A6F69">
        <w:rPr>
          <w:lang w:val="en-GB"/>
        </w:rPr>
        <w:t>SBA utilization further differed</w:t>
      </w:r>
      <w:r w:rsidR="0084540E" w:rsidRPr="009A6F69">
        <w:rPr>
          <w:lang w:val="en-GB"/>
        </w:rPr>
        <w:t xml:space="preserve"> across provinces and ethnic groups. </w:t>
      </w:r>
      <w:r w:rsidRPr="009A6F69">
        <w:rPr>
          <w:lang w:val="en-GB"/>
        </w:rPr>
        <w:t xml:space="preserve">Levels </w:t>
      </w:r>
      <w:proofErr w:type="gramStart"/>
      <w:r w:rsidRPr="009A6F69">
        <w:rPr>
          <w:lang w:val="en-GB"/>
        </w:rPr>
        <w:t xml:space="preserve">of </w:t>
      </w:r>
      <w:r w:rsidR="0084540E" w:rsidRPr="009A6F69">
        <w:rPr>
          <w:lang w:val="en-GB"/>
        </w:rPr>
        <w:t xml:space="preserve"> SBA</w:t>
      </w:r>
      <w:proofErr w:type="gramEnd"/>
      <w:r w:rsidR="0084540E" w:rsidRPr="009A6F69">
        <w:rPr>
          <w:lang w:val="en-GB"/>
        </w:rPr>
        <w:t xml:space="preserve"> </w:t>
      </w:r>
      <w:r w:rsidRPr="009A6F69">
        <w:rPr>
          <w:lang w:val="en-GB"/>
        </w:rPr>
        <w:t xml:space="preserve">were </w:t>
      </w:r>
      <w:r w:rsidR="0084540E" w:rsidRPr="009A6F69">
        <w:rPr>
          <w:lang w:val="en-GB"/>
        </w:rPr>
        <w:t xml:space="preserve">mostly explained by wealth (40%), parent’s education (28%), antenatal care (9%), and province (6%). </w:t>
      </w:r>
      <w:r w:rsidRPr="009A6F69">
        <w:rPr>
          <w:lang w:val="en-GB"/>
        </w:rPr>
        <w:t>F</w:t>
      </w:r>
      <w:r w:rsidR="0084540E" w:rsidRPr="009A6F69">
        <w:rPr>
          <w:lang w:val="en-GB"/>
        </w:rPr>
        <w:t xml:space="preserve">or </w:t>
      </w:r>
      <w:r w:rsidRPr="009A6F69">
        <w:rPr>
          <w:lang w:val="en-GB"/>
        </w:rPr>
        <w:t xml:space="preserve">measles immunization, </w:t>
      </w:r>
      <w:r w:rsidR="0084540E" w:rsidRPr="009A6F69">
        <w:rPr>
          <w:lang w:val="en-GB"/>
        </w:rPr>
        <w:t>wealth (60%), birth order (33%), and parent’s education (28%)</w:t>
      </w:r>
      <w:r w:rsidRPr="009A6F69">
        <w:rPr>
          <w:lang w:val="en-GB"/>
        </w:rPr>
        <w:t xml:space="preserve"> were the explanatory factors</w:t>
      </w:r>
      <w:r w:rsidR="0084540E" w:rsidRPr="009A6F69">
        <w:rPr>
          <w:lang w:val="en-GB"/>
        </w:rPr>
        <w:t xml:space="preserve">. Rural residence (−19%) reduced this inequality. </w:t>
      </w:r>
      <w:r w:rsidR="002A02F6" w:rsidRPr="009A6F69">
        <w:rPr>
          <w:lang w:val="en-GB"/>
        </w:rPr>
        <w:t>Therefore increasing service delivery levels for these two indicators requires focus on disadvantaged groups</w:t>
      </w:r>
      <w:r w:rsidR="0013076B" w:rsidRPr="009A6F69">
        <w:rPr>
          <w:lang w:val="en-GB"/>
        </w:rPr>
        <w:t>,</w:t>
      </w:r>
      <w:r w:rsidR="001B3B9E" w:rsidRPr="009A6F69">
        <w:rPr>
          <w:lang w:val="en-GB"/>
        </w:rPr>
        <w:fldChar w:fldCharType="begin" w:fldLock="1"/>
      </w:r>
      <w:r w:rsidR="004F4010">
        <w:rPr>
          <w:lang w:val="en-GB"/>
        </w:rPr>
        <w:instrText>ADDIN CSL_CITATION { "citationItems" : [ { "id" : "ITEM-1", "itemData" : { "DOI" : "10.1186/1475-9276-12-3", "ISSN" : "1475-9276", "PMID" : "23294938", "abstract" : "INTRODUCTION: Skilled birth attendance (SBA) and measles immunization reflect two aspects of a health system. In Kenya, their national coverage gaps are substantial but could be largely improved if the total population had the same coverage as the wealthiest quintile. A decomposition analysis allows identifying the factors that influence these wealth-related inequalities in order to develop appropriate policy responses. The main objective of the study was to decompose wealth-related inequalities in SBA and measles immunization into their contributing factors.\n\nMETHODS: Data from the Kenyan Demographic and Health Survey 2008/09 were used. The study investigated the effects of socio-economic determinants on [1] coverage and [2] wealth-related inequalities of SBA utilization and measles immunization. Techniques used were multivariate logistic regression and decomposition of the concentration index (C).\n\nRESULTS: SBA utilization and measles immunization coverage differed according to household wealth, parent's education, skilled antenatal care visits, birth order and father's occupation. SBA utilization further differed across provinces and ethnic groups. The overall C for SBA was 0.14 and was mostly explained by wealth (40%), parent's education (28%), antenatal care (9%), and province (6%). The overall C for measles immunization was 0.08 and was mostly explained by wealth (60%), birth order (33%), and parent's education (28%). Rural residence (-19%) reduced this inequality.\n\nCONCLUSION: Both health care indicators require a broad strengthening of health systems with a special focus on disadvantaged sub-groups.", "author" : [ { "dropping-particle" : "", "family" : "Malderen", "given" : "Carine", "non-dropping-particle" : "Van", "parse-names" : false, "suffix" : "" }, { "dropping-particle" : "", "family" : "Ogali", "given" : "Irene", "non-dropping-particle" : "", "parse-names" : false, "suffix" : "" }, { "dropping-particle" : "", "family" : "Khasakhala", "given" : "Anne", "non-dropping-particle" : "", "parse-names" : false, "suffix" : "" }, { "dropping-particle" : "", "family" : "Muchiri", "given" : "Stephen N", "non-dropping-particle" : "", "parse-names" : false, "suffix" : "" }, { "dropping-particle" : "", "family" : "Sparks", "given" : "Corey", "non-dropping-particle" : "", "parse-names" : false, "suffix" : "" }, { "dropping-particle" : "", "family" : "Oyen", "given" : "Herman", "non-dropping-particle" : "Van", "parse-names" : false, "suffix" : "" }, { "dropping-particle" : "", "family" : "Speybroeck", "given" : "Niko", "non-dropping-particle" : "", "parse-names" : false, "suffix" : "" } ], "container-title" : "International journal for equity in health", "id" : "ITEM-1", "issued" : { "date-parts" : [ [ "2013", "1" ] ] }, "page" : "3", "title" : "Decomposing Kenyan socio-economic inequalities in skilled birth attendance and measles immunization.", "type" : "article-journal", "volume" : "12" }, "uris" : [ "http://www.mendeley.com/documents/?uuid=56e5d4fe-1c47-4737-843c-64c1d3d990fb" ] } ], "mendeley" : { "previouslyFormattedCitation" : "(Van Malderen et al., 2013)" }, "properties" : { "noteIndex" : 0 }, "schema" : "https://github.com/citation-style-language/schema/raw/master/csl-citation.json" }</w:instrText>
      </w:r>
      <w:r w:rsidR="001B3B9E" w:rsidRPr="009A6F69">
        <w:rPr>
          <w:lang w:val="en-GB"/>
        </w:rPr>
        <w:fldChar w:fldCharType="separate"/>
      </w:r>
      <w:r w:rsidR="0013076B" w:rsidRPr="009A6F69">
        <w:rPr>
          <w:noProof/>
          <w:lang w:val="en-GB"/>
        </w:rPr>
        <w:t>(Van Malderen et al., 2013)</w:t>
      </w:r>
      <w:r w:rsidR="001B3B9E" w:rsidRPr="009A6F69">
        <w:rPr>
          <w:lang w:val="en-GB"/>
        </w:rPr>
        <w:fldChar w:fldCharType="end"/>
      </w:r>
      <w:r w:rsidR="002A02F6" w:rsidRPr="009A6F69">
        <w:rPr>
          <w:lang w:val="en-GB"/>
        </w:rPr>
        <w:t xml:space="preserve">. </w:t>
      </w:r>
    </w:p>
    <w:p w:rsidR="00932F4A" w:rsidRDefault="00320B5E" w:rsidP="002560C7">
      <w:pPr>
        <w:rPr>
          <w:lang w:val="en-GB"/>
        </w:rPr>
      </w:pPr>
      <w:r w:rsidRPr="009A6F69">
        <w:rPr>
          <w:lang w:val="en-GB"/>
        </w:rPr>
        <w:t>The national average immunization coverage has to be interpreted by reviewing those areas that have not attained the required immunization levels to prevent outbreak of epidemics.</w:t>
      </w:r>
      <w:r w:rsidR="007712EA" w:rsidRPr="009A6F69">
        <w:rPr>
          <w:lang w:val="en-GB"/>
        </w:rPr>
        <w:t xml:space="preserve"> Table below shows proportion of districts having various coverage performances</w:t>
      </w:r>
      <w:r w:rsidR="00462F7D" w:rsidRPr="009A6F69">
        <w:rPr>
          <w:lang w:val="en-GB"/>
        </w:rPr>
        <w:t xml:space="preserve"> with a number of districts having low full immunization coverage. </w:t>
      </w:r>
    </w:p>
    <w:p w:rsidR="00C377CA" w:rsidRDefault="00C377CA" w:rsidP="002560C7">
      <w:pPr>
        <w:rPr>
          <w:lang w:val="en-GB"/>
        </w:rPr>
      </w:pPr>
    </w:p>
    <w:p w:rsidR="00C377CA" w:rsidRDefault="00C377CA" w:rsidP="002560C7">
      <w:pPr>
        <w:rPr>
          <w:lang w:val="en-GB"/>
        </w:rPr>
      </w:pPr>
    </w:p>
    <w:p w:rsidR="00C377CA" w:rsidRPr="009A6F69" w:rsidRDefault="00C377CA" w:rsidP="002560C7">
      <w:pPr>
        <w:rPr>
          <w:lang w:val="en-GB"/>
        </w:rPr>
      </w:pPr>
    </w:p>
    <w:p w:rsidR="007712EA" w:rsidRPr="009A6F69" w:rsidRDefault="007712EA" w:rsidP="0073371E">
      <w:pPr>
        <w:pStyle w:val="Caption"/>
        <w:spacing w:after="0"/>
      </w:pPr>
      <w:r w:rsidRPr="009A6F69">
        <w:lastRenderedPageBreak/>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13</w:t>
      </w:r>
      <w:r w:rsidR="001B3B9E" w:rsidRPr="009A6F69">
        <w:fldChar w:fldCharType="end"/>
      </w:r>
      <w:r w:rsidRPr="009A6F69">
        <w:t xml:space="preserve">: Proportion of Districts showing various immunization coverage </w:t>
      </w:r>
      <w:proofErr w:type="gramStart"/>
      <w:r w:rsidRPr="009A6F69">
        <w:t>performance</w:t>
      </w:r>
      <w:proofErr w:type="gramEnd"/>
      <w:r w:rsidRPr="009A6F69">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4"/>
        <w:gridCol w:w="921"/>
        <w:gridCol w:w="1054"/>
        <w:gridCol w:w="923"/>
        <w:gridCol w:w="1289"/>
        <w:gridCol w:w="3305"/>
      </w:tblGrid>
      <w:tr w:rsidR="00331732" w:rsidRPr="009A6F69" w:rsidTr="00E67AD1">
        <w:tc>
          <w:tcPr>
            <w:tcW w:w="770" w:type="pct"/>
            <w:tcBorders>
              <w:bottom w:val="single" w:sz="4" w:space="0" w:color="auto"/>
            </w:tcBorders>
          </w:tcPr>
          <w:p w:rsidR="00932F4A" w:rsidRPr="009A6F69" w:rsidRDefault="00932F4A" w:rsidP="0073371E">
            <w:pPr>
              <w:spacing w:after="0" w:line="240" w:lineRule="auto"/>
              <w:jc w:val="center"/>
              <w:rPr>
                <w:b/>
                <w:bCs/>
                <w:sz w:val="20"/>
                <w:szCs w:val="20"/>
                <w:lang w:val="en-GB"/>
              </w:rPr>
            </w:pPr>
            <w:r w:rsidRPr="009A6F69">
              <w:rPr>
                <w:b/>
                <w:bCs/>
                <w:sz w:val="20"/>
                <w:szCs w:val="20"/>
                <w:lang w:val="en-GB"/>
              </w:rPr>
              <w:t>Coverage %</w:t>
            </w:r>
          </w:p>
          <w:p w:rsidR="00932F4A" w:rsidRPr="009A6F69" w:rsidRDefault="00932F4A" w:rsidP="0073371E">
            <w:pPr>
              <w:spacing w:after="0" w:line="240" w:lineRule="auto"/>
              <w:jc w:val="center"/>
              <w:rPr>
                <w:b/>
                <w:bCs/>
                <w:sz w:val="20"/>
                <w:szCs w:val="20"/>
                <w:lang w:val="en-GB"/>
              </w:rPr>
            </w:pPr>
          </w:p>
        </w:tc>
        <w:tc>
          <w:tcPr>
            <w:tcW w:w="520" w:type="pct"/>
          </w:tcPr>
          <w:p w:rsidR="00932F4A" w:rsidRPr="009A6F69" w:rsidRDefault="00932F4A" w:rsidP="0073371E">
            <w:pPr>
              <w:spacing w:after="0" w:line="240" w:lineRule="auto"/>
              <w:jc w:val="center"/>
              <w:rPr>
                <w:b/>
                <w:bCs/>
                <w:sz w:val="20"/>
                <w:szCs w:val="20"/>
                <w:u w:val="single"/>
                <w:lang w:val="en-GB"/>
              </w:rPr>
            </w:pPr>
            <w:r w:rsidRPr="009A6F69">
              <w:rPr>
                <w:b/>
                <w:bCs/>
                <w:sz w:val="20"/>
                <w:szCs w:val="20"/>
                <w:u w:val="single"/>
                <w:lang w:val="en-GB"/>
              </w:rPr>
              <w:t>2003</w:t>
            </w:r>
          </w:p>
        </w:tc>
        <w:tc>
          <w:tcPr>
            <w:tcW w:w="595" w:type="pct"/>
          </w:tcPr>
          <w:p w:rsidR="00932F4A" w:rsidRPr="009A6F69" w:rsidRDefault="00932F4A" w:rsidP="0073371E">
            <w:pPr>
              <w:spacing w:after="0" w:line="240" w:lineRule="auto"/>
              <w:jc w:val="center"/>
              <w:rPr>
                <w:b/>
                <w:bCs/>
                <w:sz w:val="20"/>
                <w:szCs w:val="20"/>
                <w:u w:val="single"/>
                <w:lang w:val="en-GB"/>
              </w:rPr>
            </w:pPr>
            <w:r w:rsidRPr="009A6F69">
              <w:rPr>
                <w:b/>
                <w:bCs/>
                <w:sz w:val="20"/>
                <w:szCs w:val="20"/>
                <w:u w:val="single"/>
                <w:lang w:val="en-GB"/>
              </w:rPr>
              <w:t>2004</w:t>
            </w:r>
          </w:p>
        </w:tc>
        <w:tc>
          <w:tcPr>
            <w:tcW w:w="521" w:type="pct"/>
          </w:tcPr>
          <w:p w:rsidR="00932F4A" w:rsidRPr="009A6F69" w:rsidRDefault="00932F4A" w:rsidP="0073371E">
            <w:pPr>
              <w:spacing w:after="0" w:line="240" w:lineRule="auto"/>
              <w:jc w:val="center"/>
              <w:rPr>
                <w:b/>
                <w:bCs/>
                <w:sz w:val="20"/>
                <w:szCs w:val="20"/>
                <w:lang w:val="en-GB"/>
              </w:rPr>
            </w:pPr>
            <w:r w:rsidRPr="009A6F69">
              <w:rPr>
                <w:b/>
                <w:bCs/>
                <w:sz w:val="20"/>
                <w:szCs w:val="20"/>
                <w:lang w:val="en-GB"/>
              </w:rPr>
              <w:t>2005</w:t>
            </w:r>
          </w:p>
          <w:p w:rsidR="00932F4A" w:rsidRPr="009A6F69" w:rsidRDefault="00932F4A" w:rsidP="0073371E">
            <w:pPr>
              <w:spacing w:after="0" w:line="240" w:lineRule="auto"/>
              <w:jc w:val="center"/>
              <w:rPr>
                <w:b/>
                <w:bCs/>
                <w:sz w:val="20"/>
                <w:szCs w:val="20"/>
                <w:lang w:val="en-GB"/>
              </w:rPr>
            </w:pPr>
          </w:p>
        </w:tc>
        <w:tc>
          <w:tcPr>
            <w:tcW w:w="728" w:type="pct"/>
          </w:tcPr>
          <w:p w:rsidR="00932F4A" w:rsidRPr="009A6F69" w:rsidRDefault="00932F4A" w:rsidP="0073371E">
            <w:pPr>
              <w:spacing w:after="0" w:line="240" w:lineRule="auto"/>
              <w:jc w:val="center"/>
              <w:rPr>
                <w:b/>
                <w:bCs/>
                <w:sz w:val="20"/>
                <w:szCs w:val="20"/>
                <w:lang w:val="en-GB"/>
              </w:rPr>
            </w:pPr>
            <w:r w:rsidRPr="009A6F69">
              <w:rPr>
                <w:b/>
                <w:bCs/>
                <w:sz w:val="20"/>
                <w:szCs w:val="20"/>
                <w:lang w:val="en-GB"/>
              </w:rPr>
              <w:t>2006</w:t>
            </w:r>
          </w:p>
          <w:p w:rsidR="00932F4A" w:rsidRPr="009A6F69" w:rsidRDefault="00932F4A" w:rsidP="0073371E">
            <w:pPr>
              <w:spacing w:after="0" w:line="240" w:lineRule="auto"/>
              <w:jc w:val="center"/>
              <w:rPr>
                <w:b/>
                <w:bCs/>
                <w:sz w:val="20"/>
                <w:szCs w:val="20"/>
                <w:lang w:val="en-GB"/>
              </w:rPr>
            </w:pPr>
            <w:r w:rsidRPr="009A6F69">
              <w:rPr>
                <w:b/>
                <w:bCs/>
                <w:sz w:val="20"/>
                <w:szCs w:val="20"/>
                <w:lang w:val="en-GB"/>
              </w:rPr>
              <w:t>(Jan-June)</w:t>
            </w:r>
          </w:p>
        </w:tc>
        <w:tc>
          <w:tcPr>
            <w:tcW w:w="1866" w:type="pct"/>
          </w:tcPr>
          <w:p w:rsidR="00932F4A" w:rsidRPr="009A6F69" w:rsidRDefault="00932F4A" w:rsidP="0073371E">
            <w:pPr>
              <w:spacing w:after="0" w:line="240" w:lineRule="auto"/>
              <w:jc w:val="center"/>
              <w:rPr>
                <w:b/>
                <w:bCs/>
                <w:sz w:val="20"/>
                <w:szCs w:val="20"/>
                <w:lang w:val="en-GB"/>
              </w:rPr>
            </w:pPr>
            <w:r w:rsidRPr="009A6F69">
              <w:rPr>
                <w:b/>
                <w:bCs/>
                <w:sz w:val="20"/>
                <w:szCs w:val="20"/>
                <w:lang w:val="en-GB"/>
              </w:rPr>
              <w:t>Remarks</w:t>
            </w:r>
          </w:p>
        </w:tc>
      </w:tr>
      <w:tr w:rsidR="00331732" w:rsidRPr="009A6F69" w:rsidTr="00E67AD1">
        <w:tc>
          <w:tcPr>
            <w:tcW w:w="770" w:type="pct"/>
            <w:tcBorders>
              <w:bottom w:val="single" w:sz="4" w:space="0" w:color="auto"/>
            </w:tcBorders>
            <w:shd w:val="clear" w:color="auto" w:fill="auto"/>
          </w:tcPr>
          <w:p w:rsidR="00932F4A" w:rsidRPr="009A6F69" w:rsidRDefault="00932F4A" w:rsidP="0073371E">
            <w:pPr>
              <w:spacing w:after="0" w:line="240" w:lineRule="auto"/>
              <w:rPr>
                <w:bCs/>
                <w:sz w:val="20"/>
                <w:szCs w:val="20"/>
                <w:lang w:val="en-GB"/>
              </w:rPr>
            </w:pPr>
            <w:r w:rsidRPr="009A6F69">
              <w:rPr>
                <w:bCs/>
                <w:sz w:val="20"/>
                <w:szCs w:val="20"/>
                <w:lang w:val="en-GB"/>
              </w:rPr>
              <w:t>&gt;80% fully immunized</w:t>
            </w:r>
          </w:p>
        </w:tc>
        <w:tc>
          <w:tcPr>
            <w:tcW w:w="520" w:type="pct"/>
          </w:tcPr>
          <w:p w:rsidR="00932F4A" w:rsidRPr="009A6F69" w:rsidRDefault="00932F4A" w:rsidP="00A55DF4">
            <w:pPr>
              <w:spacing w:after="0" w:line="240" w:lineRule="auto"/>
              <w:jc w:val="center"/>
              <w:rPr>
                <w:bCs/>
                <w:sz w:val="20"/>
                <w:szCs w:val="20"/>
                <w:lang w:val="en-GB"/>
              </w:rPr>
            </w:pPr>
            <w:r w:rsidRPr="009A6F69">
              <w:rPr>
                <w:bCs/>
                <w:sz w:val="20"/>
                <w:szCs w:val="20"/>
                <w:lang w:val="en-GB"/>
              </w:rPr>
              <w:t>24/78</w:t>
            </w:r>
          </w:p>
          <w:p w:rsidR="00932F4A" w:rsidRPr="009A6F69" w:rsidRDefault="00932F4A" w:rsidP="00E67AD1">
            <w:pPr>
              <w:spacing w:after="0" w:line="240" w:lineRule="auto"/>
              <w:rPr>
                <w:bCs/>
                <w:sz w:val="20"/>
                <w:szCs w:val="20"/>
                <w:lang w:val="en-GB"/>
              </w:rPr>
            </w:pPr>
            <w:r w:rsidRPr="009A6F69">
              <w:rPr>
                <w:bCs/>
                <w:sz w:val="20"/>
                <w:szCs w:val="20"/>
                <w:lang w:val="en-GB"/>
              </w:rPr>
              <w:t>(30.7%)</w:t>
            </w:r>
          </w:p>
        </w:tc>
        <w:tc>
          <w:tcPr>
            <w:tcW w:w="595" w:type="pct"/>
          </w:tcPr>
          <w:p w:rsidR="00932F4A" w:rsidRPr="009A6F69" w:rsidRDefault="00932F4A" w:rsidP="00A55DF4">
            <w:pPr>
              <w:spacing w:after="0" w:line="240" w:lineRule="auto"/>
              <w:jc w:val="center"/>
              <w:rPr>
                <w:bCs/>
                <w:sz w:val="20"/>
                <w:szCs w:val="20"/>
                <w:lang w:val="en-GB"/>
              </w:rPr>
            </w:pPr>
            <w:r w:rsidRPr="009A6F69">
              <w:rPr>
                <w:bCs/>
                <w:sz w:val="20"/>
                <w:szCs w:val="20"/>
                <w:lang w:val="en-GB"/>
              </w:rPr>
              <w:t>25/78</w:t>
            </w:r>
          </w:p>
          <w:p w:rsidR="00932F4A" w:rsidRPr="009A6F69" w:rsidRDefault="00932F4A" w:rsidP="0073371E">
            <w:pPr>
              <w:spacing w:after="0" w:line="240" w:lineRule="auto"/>
              <w:jc w:val="center"/>
              <w:rPr>
                <w:bCs/>
                <w:sz w:val="20"/>
                <w:szCs w:val="20"/>
                <w:lang w:val="en-GB"/>
              </w:rPr>
            </w:pPr>
            <w:r w:rsidRPr="009A6F69">
              <w:rPr>
                <w:bCs/>
                <w:sz w:val="20"/>
                <w:szCs w:val="20"/>
                <w:lang w:val="en-GB"/>
              </w:rPr>
              <w:t>(32.0%)</w:t>
            </w:r>
          </w:p>
        </w:tc>
        <w:tc>
          <w:tcPr>
            <w:tcW w:w="521" w:type="pct"/>
          </w:tcPr>
          <w:p w:rsidR="00932F4A" w:rsidRPr="009A6F69" w:rsidRDefault="00932F4A" w:rsidP="00A55DF4">
            <w:pPr>
              <w:spacing w:after="0" w:line="240" w:lineRule="auto"/>
              <w:jc w:val="center"/>
              <w:rPr>
                <w:sz w:val="20"/>
                <w:szCs w:val="20"/>
                <w:lang w:val="en-GB"/>
              </w:rPr>
            </w:pPr>
            <w:r w:rsidRPr="009A6F69">
              <w:rPr>
                <w:bCs/>
                <w:sz w:val="20"/>
                <w:szCs w:val="20"/>
                <w:lang w:val="en-GB"/>
              </w:rPr>
              <w:t>16</w:t>
            </w:r>
            <w:r w:rsidRPr="009A6F69">
              <w:rPr>
                <w:sz w:val="20"/>
                <w:szCs w:val="20"/>
                <w:lang w:val="en-GB"/>
              </w:rPr>
              <w:t>/78</w:t>
            </w:r>
          </w:p>
          <w:p w:rsidR="00932F4A" w:rsidRPr="009A6F69" w:rsidRDefault="00932F4A" w:rsidP="0073371E">
            <w:pPr>
              <w:spacing w:after="0" w:line="240" w:lineRule="auto"/>
              <w:jc w:val="center"/>
              <w:rPr>
                <w:bCs/>
                <w:i/>
                <w:iCs/>
                <w:sz w:val="20"/>
                <w:szCs w:val="20"/>
                <w:lang w:val="en-GB"/>
              </w:rPr>
            </w:pPr>
            <w:r w:rsidRPr="009A6F69">
              <w:rPr>
                <w:bCs/>
                <w:i/>
                <w:iCs/>
                <w:sz w:val="20"/>
                <w:szCs w:val="20"/>
                <w:lang w:val="en-GB"/>
              </w:rPr>
              <w:t>(12.5%)</w:t>
            </w:r>
          </w:p>
        </w:tc>
        <w:tc>
          <w:tcPr>
            <w:tcW w:w="728" w:type="pct"/>
          </w:tcPr>
          <w:p w:rsidR="00932F4A" w:rsidRPr="009A6F69" w:rsidRDefault="00932F4A" w:rsidP="00E67AD1">
            <w:pPr>
              <w:spacing w:after="0" w:line="240" w:lineRule="auto"/>
              <w:jc w:val="center"/>
              <w:rPr>
                <w:lang w:val="en-GB"/>
              </w:rPr>
            </w:pPr>
            <w:r w:rsidRPr="009A6F69">
              <w:rPr>
                <w:bCs/>
                <w:sz w:val="20"/>
                <w:szCs w:val="20"/>
                <w:lang w:val="en-GB"/>
              </w:rPr>
              <w:t>15</w:t>
            </w:r>
            <w:r w:rsidRPr="009A6F69">
              <w:rPr>
                <w:sz w:val="20"/>
                <w:szCs w:val="20"/>
                <w:lang w:val="en-GB"/>
              </w:rPr>
              <w:t>/78</w:t>
            </w:r>
          </w:p>
          <w:p w:rsidR="00932F4A" w:rsidRPr="009A6F69" w:rsidRDefault="00932F4A" w:rsidP="0073371E">
            <w:pPr>
              <w:spacing w:after="0" w:line="240" w:lineRule="auto"/>
              <w:jc w:val="center"/>
              <w:rPr>
                <w:bCs/>
                <w:i/>
                <w:iCs/>
                <w:sz w:val="20"/>
                <w:szCs w:val="20"/>
                <w:lang w:val="en-GB"/>
              </w:rPr>
            </w:pPr>
            <w:r w:rsidRPr="009A6F69">
              <w:rPr>
                <w:bCs/>
                <w:i/>
                <w:iCs/>
                <w:sz w:val="20"/>
                <w:szCs w:val="20"/>
                <w:lang w:val="en-GB"/>
              </w:rPr>
              <w:t>(11.7%)</w:t>
            </w:r>
          </w:p>
        </w:tc>
        <w:tc>
          <w:tcPr>
            <w:tcW w:w="1866" w:type="pct"/>
          </w:tcPr>
          <w:p w:rsidR="00932F4A" w:rsidRPr="009A6F69" w:rsidRDefault="00932F4A" w:rsidP="0073371E">
            <w:pPr>
              <w:pStyle w:val="Footer"/>
              <w:tabs>
                <w:tab w:val="clear" w:pos="4320"/>
                <w:tab w:val="clear" w:pos="8640"/>
              </w:tabs>
              <w:spacing w:after="0" w:line="240" w:lineRule="auto"/>
              <w:rPr>
                <w:i/>
                <w:iCs/>
                <w:sz w:val="20"/>
                <w:szCs w:val="20"/>
                <w:lang w:val="en-GB"/>
              </w:rPr>
            </w:pPr>
            <w:r w:rsidRPr="009A6F69">
              <w:rPr>
                <w:i/>
                <w:iCs/>
                <w:sz w:val="20"/>
                <w:szCs w:val="20"/>
                <w:lang w:val="en-GB"/>
              </w:rPr>
              <w:t>Between  80% - 100% of districts should have this type of coverage</w:t>
            </w:r>
          </w:p>
        </w:tc>
      </w:tr>
      <w:tr w:rsidR="00331732" w:rsidRPr="009A6F69" w:rsidTr="00E67AD1">
        <w:tc>
          <w:tcPr>
            <w:tcW w:w="770" w:type="pct"/>
            <w:tcBorders>
              <w:bottom w:val="single" w:sz="4" w:space="0" w:color="auto"/>
            </w:tcBorders>
            <w:shd w:val="clear" w:color="auto" w:fill="auto"/>
          </w:tcPr>
          <w:p w:rsidR="00932F4A" w:rsidRPr="009A6F69" w:rsidRDefault="00932F4A" w:rsidP="0073371E">
            <w:pPr>
              <w:spacing w:after="0" w:line="240" w:lineRule="auto"/>
              <w:rPr>
                <w:bCs/>
                <w:sz w:val="20"/>
                <w:szCs w:val="20"/>
                <w:lang w:val="en-GB"/>
              </w:rPr>
            </w:pPr>
            <w:r w:rsidRPr="009A6F69">
              <w:rPr>
                <w:bCs/>
                <w:sz w:val="20"/>
                <w:szCs w:val="20"/>
                <w:lang w:val="en-GB"/>
              </w:rPr>
              <w:t>50-79% fully immunized</w:t>
            </w:r>
          </w:p>
        </w:tc>
        <w:tc>
          <w:tcPr>
            <w:tcW w:w="520" w:type="pct"/>
          </w:tcPr>
          <w:p w:rsidR="00932F4A" w:rsidRPr="009A6F69" w:rsidRDefault="00932F4A" w:rsidP="00A55DF4">
            <w:pPr>
              <w:spacing w:after="0" w:line="240" w:lineRule="auto"/>
              <w:jc w:val="center"/>
              <w:rPr>
                <w:bCs/>
                <w:sz w:val="20"/>
                <w:szCs w:val="20"/>
                <w:lang w:val="en-GB"/>
              </w:rPr>
            </w:pPr>
            <w:r w:rsidRPr="009A6F69">
              <w:rPr>
                <w:bCs/>
                <w:sz w:val="20"/>
                <w:szCs w:val="20"/>
                <w:lang w:val="en-GB"/>
              </w:rPr>
              <w:t>40/78</w:t>
            </w:r>
          </w:p>
          <w:p w:rsidR="00932F4A" w:rsidRPr="009A6F69" w:rsidRDefault="00932F4A" w:rsidP="0073371E">
            <w:pPr>
              <w:spacing w:after="0" w:line="240" w:lineRule="auto"/>
              <w:jc w:val="center"/>
              <w:rPr>
                <w:bCs/>
                <w:sz w:val="20"/>
                <w:szCs w:val="20"/>
                <w:lang w:val="en-GB"/>
              </w:rPr>
            </w:pPr>
            <w:r w:rsidRPr="009A6F69">
              <w:rPr>
                <w:bCs/>
                <w:sz w:val="20"/>
                <w:szCs w:val="20"/>
                <w:lang w:val="en-GB"/>
              </w:rPr>
              <w:t>(51</w:t>
            </w:r>
            <w:proofErr w:type="gramStart"/>
            <w:r w:rsidRPr="009A6F69">
              <w:rPr>
                <w:bCs/>
                <w:sz w:val="20"/>
                <w:szCs w:val="20"/>
                <w:lang w:val="en-GB"/>
              </w:rPr>
              <w:t>,2</w:t>
            </w:r>
            <w:proofErr w:type="gramEnd"/>
            <w:r w:rsidRPr="009A6F69">
              <w:rPr>
                <w:bCs/>
                <w:sz w:val="20"/>
                <w:szCs w:val="20"/>
                <w:lang w:val="en-GB"/>
              </w:rPr>
              <w:t>%)</w:t>
            </w:r>
          </w:p>
        </w:tc>
        <w:tc>
          <w:tcPr>
            <w:tcW w:w="595" w:type="pct"/>
          </w:tcPr>
          <w:p w:rsidR="00932F4A" w:rsidRPr="009A6F69" w:rsidRDefault="00932F4A" w:rsidP="00A55DF4">
            <w:pPr>
              <w:spacing w:after="0" w:line="240" w:lineRule="auto"/>
              <w:jc w:val="center"/>
              <w:rPr>
                <w:bCs/>
                <w:sz w:val="20"/>
                <w:szCs w:val="20"/>
                <w:lang w:val="en-GB"/>
              </w:rPr>
            </w:pPr>
            <w:r w:rsidRPr="009A6F69">
              <w:rPr>
                <w:bCs/>
                <w:sz w:val="20"/>
                <w:szCs w:val="20"/>
                <w:lang w:val="en-GB"/>
              </w:rPr>
              <w:t>36/78</w:t>
            </w:r>
          </w:p>
          <w:p w:rsidR="00932F4A" w:rsidRPr="009A6F69" w:rsidRDefault="00932F4A" w:rsidP="0073371E">
            <w:pPr>
              <w:spacing w:after="0" w:line="240" w:lineRule="auto"/>
              <w:jc w:val="center"/>
              <w:rPr>
                <w:bCs/>
                <w:sz w:val="20"/>
                <w:szCs w:val="20"/>
                <w:lang w:val="en-GB"/>
              </w:rPr>
            </w:pPr>
            <w:r w:rsidRPr="009A6F69">
              <w:rPr>
                <w:bCs/>
                <w:sz w:val="20"/>
                <w:szCs w:val="20"/>
                <w:lang w:val="en-GB"/>
              </w:rPr>
              <w:t>(46.1%)</w:t>
            </w:r>
          </w:p>
        </w:tc>
        <w:tc>
          <w:tcPr>
            <w:tcW w:w="521" w:type="pct"/>
          </w:tcPr>
          <w:p w:rsidR="00932F4A" w:rsidRPr="009A6F69" w:rsidRDefault="00932F4A" w:rsidP="00A55DF4">
            <w:pPr>
              <w:spacing w:after="0" w:line="240" w:lineRule="auto"/>
              <w:jc w:val="center"/>
              <w:rPr>
                <w:sz w:val="20"/>
                <w:szCs w:val="20"/>
                <w:lang w:val="en-GB"/>
              </w:rPr>
            </w:pPr>
            <w:r w:rsidRPr="009A6F69">
              <w:rPr>
                <w:bCs/>
                <w:sz w:val="20"/>
                <w:szCs w:val="20"/>
                <w:lang w:val="en-GB"/>
              </w:rPr>
              <w:t>46</w:t>
            </w:r>
            <w:r w:rsidRPr="009A6F69">
              <w:rPr>
                <w:sz w:val="20"/>
                <w:szCs w:val="20"/>
                <w:lang w:val="en-GB"/>
              </w:rPr>
              <w:t>/78</w:t>
            </w:r>
          </w:p>
          <w:p w:rsidR="00932F4A" w:rsidRPr="009A6F69" w:rsidRDefault="00932F4A" w:rsidP="0073371E">
            <w:pPr>
              <w:spacing w:after="0" w:line="240" w:lineRule="auto"/>
              <w:jc w:val="center"/>
              <w:rPr>
                <w:sz w:val="20"/>
                <w:szCs w:val="20"/>
                <w:lang w:val="en-GB"/>
              </w:rPr>
            </w:pPr>
            <w:r w:rsidRPr="009A6F69">
              <w:rPr>
                <w:sz w:val="20"/>
                <w:szCs w:val="20"/>
                <w:lang w:val="en-GB"/>
              </w:rPr>
              <w:t>(35.9%)</w:t>
            </w:r>
          </w:p>
        </w:tc>
        <w:tc>
          <w:tcPr>
            <w:tcW w:w="728" w:type="pct"/>
          </w:tcPr>
          <w:p w:rsidR="00932F4A" w:rsidRPr="009A6F69" w:rsidRDefault="00932F4A" w:rsidP="00A55DF4">
            <w:pPr>
              <w:spacing w:after="0" w:line="240" w:lineRule="auto"/>
              <w:jc w:val="center"/>
              <w:rPr>
                <w:sz w:val="20"/>
                <w:szCs w:val="20"/>
                <w:lang w:val="en-GB"/>
              </w:rPr>
            </w:pPr>
            <w:r w:rsidRPr="009A6F69">
              <w:rPr>
                <w:bCs/>
                <w:sz w:val="20"/>
                <w:szCs w:val="20"/>
                <w:lang w:val="en-GB"/>
              </w:rPr>
              <w:t>43</w:t>
            </w:r>
            <w:r w:rsidRPr="009A6F69">
              <w:rPr>
                <w:sz w:val="20"/>
                <w:szCs w:val="20"/>
                <w:lang w:val="en-GB"/>
              </w:rPr>
              <w:t>/78</w:t>
            </w:r>
          </w:p>
          <w:p w:rsidR="00932F4A" w:rsidRPr="009A6F69" w:rsidRDefault="00932F4A" w:rsidP="0073371E">
            <w:pPr>
              <w:spacing w:after="0" w:line="240" w:lineRule="auto"/>
              <w:jc w:val="center"/>
              <w:rPr>
                <w:sz w:val="20"/>
                <w:szCs w:val="20"/>
                <w:lang w:val="en-GB"/>
              </w:rPr>
            </w:pPr>
            <w:r w:rsidRPr="009A6F69">
              <w:rPr>
                <w:sz w:val="20"/>
                <w:szCs w:val="20"/>
                <w:lang w:val="en-GB"/>
              </w:rPr>
              <w:t>(33.5%)</w:t>
            </w:r>
          </w:p>
        </w:tc>
        <w:tc>
          <w:tcPr>
            <w:tcW w:w="1866" w:type="pct"/>
          </w:tcPr>
          <w:p w:rsidR="00932F4A" w:rsidRPr="009A6F69" w:rsidRDefault="00932F4A" w:rsidP="00E67AD1">
            <w:pPr>
              <w:pStyle w:val="Footer"/>
              <w:tabs>
                <w:tab w:val="clear" w:pos="4320"/>
                <w:tab w:val="clear" w:pos="8640"/>
              </w:tabs>
              <w:spacing w:after="0" w:line="240" w:lineRule="auto"/>
              <w:rPr>
                <w:i/>
                <w:iCs/>
                <w:sz w:val="20"/>
                <w:szCs w:val="20"/>
                <w:lang w:val="en-GB"/>
              </w:rPr>
            </w:pPr>
            <w:r w:rsidRPr="009A6F69">
              <w:rPr>
                <w:i/>
                <w:iCs/>
                <w:sz w:val="20"/>
                <w:szCs w:val="20"/>
                <w:lang w:val="en-GB"/>
              </w:rPr>
              <w:t>Less than 20% of districts should have this type of coverage</w:t>
            </w:r>
          </w:p>
        </w:tc>
      </w:tr>
      <w:tr w:rsidR="00331732" w:rsidRPr="009A6F69" w:rsidTr="00E67AD1">
        <w:tc>
          <w:tcPr>
            <w:tcW w:w="770" w:type="pct"/>
            <w:tcBorders>
              <w:bottom w:val="single" w:sz="4" w:space="0" w:color="auto"/>
            </w:tcBorders>
            <w:shd w:val="clear" w:color="auto" w:fill="auto"/>
          </w:tcPr>
          <w:p w:rsidR="00932F4A" w:rsidRPr="009A6F69" w:rsidRDefault="00932F4A" w:rsidP="0073371E">
            <w:pPr>
              <w:spacing w:after="0" w:line="240" w:lineRule="auto"/>
              <w:rPr>
                <w:bCs/>
                <w:sz w:val="20"/>
                <w:szCs w:val="20"/>
                <w:lang w:val="en-GB"/>
              </w:rPr>
            </w:pPr>
            <w:r w:rsidRPr="009A6F69">
              <w:rPr>
                <w:bCs/>
                <w:sz w:val="20"/>
                <w:szCs w:val="20"/>
                <w:lang w:val="en-GB"/>
              </w:rPr>
              <w:t>&lt;50% fully immunized</w:t>
            </w:r>
          </w:p>
        </w:tc>
        <w:tc>
          <w:tcPr>
            <w:tcW w:w="520" w:type="pct"/>
            <w:tcBorders>
              <w:bottom w:val="single" w:sz="4" w:space="0" w:color="auto"/>
            </w:tcBorders>
          </w:tcPr>
          <w:p w:rsidR="00932F4A" w:rsidRPr="009A6F69" w:rsidRDefault="00932F4A" w:rsidP="00A55DF4">
            <w:pPr>
              <w:spacing w:after="0" w:line="240" w:lineRule="auto"/>
              <w:jc w:val="center"/>
              <w:rPr>
                <w:bCs/>
                <w:sz w:val="20"/>
                <w:szCs w:val="20"/>
                <w:lang w:val="en-GB"/>
              </w:rPr>
            </w:pPr>
            <w:r w:rsidRPr="009A6F69">
              <w:rPr>
                <w:bCs/>
                <w:sz w:val="20"/>
                <w:szCs w:val="20"/>
                <w:lang w:val="en-GB"/>
              </w:rPr>
              <w:t>14/78</w:t>
            </w:r>
          </w:p>
          <w:p w:rsidR="00932F4A" w:rsidRPr="009A6F69" w:rsidRDefault="00932F4A" w:rsidP="0073371E">
            <w:pPr>
              <w:spacing w:after="0" w:line="240" w:lineRule="auto"/>
              <w:jc w:val="center"/>
              <w:rPr>
                <w:bCs/>
                <w:sz w:val="20"/>
                <w:szCs w:val="20"/>
                <w:lang w:val="en-GB"/>
              </w:rPr>
            </w:pPr>
            <w:r w:rsidRPr="009A6F69">
              <w:rPr>
                <w:bCs/>
                <w:sz w:val="20"/>
                <w:szCs w:val="20"/>
                <w:lang w:val="en-GB"/>
              </w:rPr>
              <w:t>(17.9%)</w:t>
            </w:r>
          </w:p>
        </w:tc>
        <w:tc>
          <w:tcPr>
            <w:tcW w:w="595" w:type="pct"/>
            <w:tcBorders>
              <w:bottom w:val="single" w:sz="4" w:space="0" w:color="auto"/>
            </w:tcBorders>
          </w:tcPr>
          <w:p w:rsidR="00932F4A" w:rsidRPr="009A6F69" w:rsidRDefault="00932F4A" w:rsidP="00A55DF4">
            <w:pPr>
              <w:spacing w:after="0" w:line="240" w:lineRule="auto"/>
              <w:jc w:val="center"/>
              <w:rPr>
                <w:bCs/>
                <w:sz w:val="20"/>
                <w:szCs w:val="20"/>
                <w:lang w:val="en-GB"/>
              </w:rPr>
            </w:pPr>
            <w:r w:rsidRPr="009A6F69">
              <w:rPr>
                <w:bCs/>
                <w:sz w:val="20"/>
                <w:szCs w:val="20"/>
                <w:lang w:val="en-GB"/>
              </w:rPr>
              <w:t>17/78</w:t>
            </w:r>
          </w:p>
          <w:p w:rsidR="00932F4A" w:rsidRPr="009A6F69" w:rsidRDefault="00932F4A" w:rsidP="0073371E">
            <w:pPr>
              <w:spacing w:after="0" w:line="240" w:lineRule="auto"/>
              <w:jc w:val="center"/>
              <w:rPr>
                <w:bCs/>
                <w:sz w:val="20"/>
                <w:szCs w:val="20"/>
                <w:lang w:val="en-GB"/>
              </w:rPr>
            </w:pPr>
            <w:r w:rsidRPr="009A6F69">
              <w:rPr>
                <w:bCs/>
                <w:sz w:val="20"/>
                <w:szCs w:val="20"/>
                <w:lang w:val="en-GB"/>
              </w:rPr>
              <w:t>(21.7%)</w:t>
            </w:r>
          </w:p>
        </w:tc>
        <w:tc>
          <w:tcPr>
            <w:tcW w:w="521" w:type="pct"/>
            <w:tcBorders>
              <w:bottom w:val="single" w:sz="4" w:space="0" w:color="auto"/>
            </w:tcBorders>
          </w:tcPr>
          <w:p w:rsidR="00932F4A" w:rsidRPr="009A6F69" w:rsidRDefault="00932F4A" w:rsidP="00A55DF4">
            <w:pPr>
              <w:spacing w:after="0" w:line="240" w:lineRule="auto"/>
              <w:jc w:val="center"/>
              <w:rPr>
                <w:sz w:val="20"/>
                <w:szCs w:val="20"/>
                <w:lang w:val="en-GB"/>
              </w:rPr>
            </w:pPr>
            <w:r w:rsidRPr="009A6F69">
              <w:rPr>
                <w:bCs/>
                <w:sz w:val="20"/>
                <w:szCs w:val="20"/>
                <w:lang w:val="en-GB"/>
              </w:rPr>
              <w:t>16</w:t>
            </w:r>
            <w:r w:rsidRPr="009A6F69">
              <w:rPr>
                <w:sz w:val="20"/>
                <w:szCs w:val="20"/>
                <w:lang w:val="en-GB"/>
              </w:rPr>
              <w:t>/78</w:t>
            </w:r>
          </w:p>
          <w:p w:rsidR="00932F4A" w:rsidRPr="009A6F69" w:rsidRDefault="00932F4A" w:rsidP="0073371E">
            <w:pPr>
              <w:spacing w:after="0" w:line="240" w:lineRule="auto"/>
              <w:jc w:val="center"/>
              <w:rPr>
                <w:sz w:val="20"/>
                <w:szCs w:val="20"/>
                <w:lang w:val="en-GB"/>
              </w:rPr>
            </w:pPr>
            <w:r w:rsidRPr="009A6F69">
              <w:rPr>
                <w:sz w:val="20"/>
                <w:szCs w:val="20"/>
                <w:lang w:val="en-GB"/>
              </w:rPr>
              <w:t>(12.5%)</w:t>
            </w:r>
          </w:p>
        </w:tc>
        <w:tc>
          <w:tcPr>
            <w:tcW w:w="728" w:type="pct"/>
            <w:tcBorders>
              <w:bottom w:val="single" w:sz="4" w:space="0" w:color="auto"/>
            </w:tcBorders>
          </w:tcPr>
          <w:p w:rsidR="00932F4A" w:rsidRPr="009A6F69" w:rsidRDefault="00932F4A" w:rsidP="00A55DF4">
            <w:pPr>
              <w:spacing w:after="0" w:line="240" w:lineRule="auto"/>
              <w:jc w:val="center"/>
              <w:rPr>
                <w:sz w:val="20"/>
                <w:szCs w:val="20"/>
                <w:lang w:val="en-GB"/>
              </w:rPr>
            </w:pPr>
            <w:r w:rsidRPr="009A6F69">
              <w:rPr>
                <w:bCs/>
                <w:sz w:val="20"/>
                <w:szCs w:val="20"/>
                <w:lang w:val="en-GB"/>
              </w:rPr>
              <w:t>20</w:t>
            </w:r>
            <w:r w:rsidRPr="009A6F69">
              <w:rPr>
                <w:sz w:val="20"/>
                <w:szCs w:val="20"/>
                <w:lang w:val="en-GB"/>
              </w:rPr>
              <w:t>/78</w:t>
            </w:r>
          </w:p>
          <w:p w:rsidR="00932F4A" w:rsidRPr="009A6F69" w:rsidRDefault="00932F4A" w:rsidP="0073371E">
            <w:pPr>
              <w:spacing w:after="0" w:line="240" w:lineRule="auto"/>
              <w:jc w:val="center"/>
              <w:rPr>
                <w:sz w:val="20"/>
                <w:szCs w:val="20"/>
                <w:lang w:val="en-GB"/>
              </w:rPr>
            </w:pPr>
            <w:r w:rsidRPr="009A6F69">
              <w:rPr>
                <w:sz w:val="20"/>
                <w:szCs w:val="20"/>
                <w:lang w:val="en-GB"/>
              </w:rPr>
              <w:t>(15.6%)</w:t>
            </w:r>
          </w:p>
        </w:tc>
        <w:tc>
          <w:tcPr>
            <w:tcW w:w="1866" w:type="pct"/>
            <w:tcBorders>
              <w:bottom w:val="single" w:sz="4" w:space="0" w:color="auto"/>
            </w:tcBorders>
          </w:tcPr>
          <w:p w:rsidR="00932F4A" w:rsidRPr="009A6F69" w:rsidRDefault="00932F4A" w:rsidP="0073371E">
            <w:pPr>
              <w:spacing w:after="0" w:line="240" w:lineRule="auto"/>
              <w:rPr>
                <w:i/>
                <w:iCs/>
                <w:sz w:val="20"/>
                <w:szCs w:val="20"/>
                <w:lang w:val="en-GB"/>
              </w:rPr>
            </w:pPr>
            <w:r w:rsidRPr="009A6F69">
              <w:rPr>
                <w:i/>
                <w:iCs/>
                <w:sz w:val="20"/>
                <w:szCs w:val="20"/>
                <w:lang w:val="en-GB"/>
              </w:rPr>
              <w:t>No district should have this low level of children fully immunized</w:t>
            </w:r>
          </w:p>
        </w:tc>
      </w:tr>
      <w:tr w:rsidR="00A2723C" w:rsidRPr="009A6F69" w:rsidTr="00E67AD1">
        <w:tc>
          <w:tcPr>
            <w:tcW w:w="5000" w:type="pct"/>
            <w:gridSpan w:val="6"/>
            <w:shd w:val="clear" w:color="auto" w:fill="auto"/>
          </w:tcPr>
          <w:p w:rsidR="00A2723C" w:rsidRPr="009A6F69" w:rsidRDefault="00A2723C" w:rsidP="00E67AD1">
            <w:pPr>
              <w:pStyle w:val="NormalWeb"/>
              <w:spacing w:after="0" w:afterAutospacing="0" w:line="240" w:lineRule="auto"/>
              <w:ind w:left="480" w:hanging="480"/>
              <w:rPr>
                <w:lang w:val="en-GB"/>
              </w:rPr>
            </w:pPr>
            <w:proofErr w:type="gramStart"/>
            <w:r w:rsidRPr="009A6F69">
              <w:rPr>
                <w:b/>
                <w:bCs/>
                <w:lang w:val="en-GB"/>
              </w:rPr>
              <w:t>Source :</w:t>
            </w:r>
            <w:proofErr w:type="gramEnd"/>
            <w:r w:rsidRPr="009A6F69">
              <w:rPr>
                <w:lang w:val="en-GB"/>
              </w:rPr>
              <w:t xml:space="preserve"> MINISTRY OF HEALTH, 2010. </w:t>
            </w:r>
            <w:r w:rsidRPr="009A6F69">
              <w:rPr>
                <w:i/>
                <w:iCs/>
                <w:lang w:val="en-GB"/>
              </w:rPr>
              <w:t>KENYA NATIONAL EXPANDED PROGRAMME ON IMMUNIZATION MULTI YEAR PLAN</w:t>
            </w:r>
            <w:r w:rsidRPr="009A6F69">
              <w:rPr>
                <w:lang w:val="en-GB"/>
              </w:rPr>
              <w:t>, Nairobi.</w:t>
            </w:r>
            <w:r w:rsidRPr="009A6F69">
              <w:rPr>
                <w:i/>
                <w:iCs/>
                <w:lang w:val="en-GB"/>
              </w:rPr>
              <w:t xml:space="preserve"> </w:t>
            </w:r>
          </w:p>
        </w:tc>
      </w:tr>
    </w:tbl>
    <w:p w:rsidR="00932F4A" w:rsidRPr="009A6F69" w:rsidRDefault="00932F4A" w:rsidP="002560C7">
      <w:pPr>
        <w:rPr>
          <w:lang w:val="en-GB"/>
        </w:rPr>
      </w:pPr>
    </w:p>
    <w:p w:rsidR="00C65ABF" w:rsidRPr="009A6F69" w:rsidRDefault="008A26E6" w:rsidP="00F245D6">
      <w:pPr>
        <w:pStyle w:val="Heading2"/>
        <w:rPr>
          <w:lang w:val="en-GB"/>
        </w:rPr>
      </w:pPr>
      <w:bookmarkStart w:id="36" w:name="_Toc254256134"/>
      <w:r w:rsidRPr="009A6F69">
        <w:rPr>
          <w:lang w:val="en-GB"/>
        </w:rPr>
        <w:t xml:space="preserve">KEPH </w:t>
      </w:r>
      <w:r w:rsidR="00C65ABF" w:rsidRPr="009A6F69">
        <w:rPr>
          <w:lang w:val="en-GB"/>
        </w:rPr>
        <w:t>Cohort 4</w:t>
      </w:r>
      <w:r w:rsidR="008E2B7F" w:rsidRPr="009A6F69">
        <w:rPr>
          <w:lang w:val="en-GB"/>
        </w:rPr>
        <w:t>, 5, 6</w:t>
      </w:r>
      <w:bookmarkEnd w:id="36"/>
    </w:p>
    <w:p w:rsidR="004D21CF" w:rsidRPr="009A6F69" w:rsidRDefault="004D21CF" w:rsidP="00EA74AC">
      <w:pPr>
        <w:pStyle w:val="Caption"/>
        <w:spacing w:after="0"/>
      </w:pPr>
      <w:r w:rsidRPr="009A6F69">
        <w:t xml:space="preserve">Table </w:t>
      </w:r>
      <w:r w:rsidR="001B3B9E" w:rsidRPr="009A6F69">
        <w:fldChar w:fldCharType="begin"/>
      </w:r>
      <w:r w:rsidRPr="009A6F69">
        <w:instrText xml:space="preserve"> SEQ Table \* ARABIC </w:instrText>
      </w:r>
      <w:r w:rsidR="001B3B9E" w:rsidRPr="009A6F69">
        <w:fldChar w:fldCharType="separate"/>
      </w:r>
      <w:r w:rsidR="00564A16">
        <w:rPr>
          <w:noProof/>
        </w:rPr>
        <w:t>14</w:t>
      </w:r>
      <w:r w:rsidR="001B3B9E" w:rsidRPr="009A6F69">
        <w:fldChar w:fldCharType="end"/>
      </w:r>
      <w:r w:rsidRPr="009A6F69">
        <w:t>:</w:t>
      </w:r>
      <w:r w:rsidR="00AA16F5" w:rsidRPr="009A6F69">
        <w:t xml:space="preserve"> Key indicators and achievement for </w:t>
      </w:r>
      <w:r w:rsidR="00307E92" w:rsidRPr="009A6F69">
        <w:t xml:space="preserve">KEPH </w:t>
      </w:r>
      <w:r w:rsidR="00AA16F5" w:rsidRPr="009A6F69">
        <w:t>c</w:t>
      </w:r>
      <w:r w:rsidRPr="009A6F69">
        <w:t>ohort 4</w:t>
      </w:r>
      <w:proofErr w:type="gramStart"/>
      <w:r w:rsidRPr="009A6F69">
        <w:t>,5,6</w:t>
      </w:r>
      <w:proofErr w:type="gramEnd"/>
    </w:p>
    <w:tbl>
      <w:tblPr>
        <w:tblStyle w:val="TableGrid"/>
        <w:tblW w:w="0" w:type="auto"/>
        <w:tblLook w:val="04A0"/>
      </w:tblPr>
      <w:tblGrid>
        <w:gridCol w:w="2178"/>
        <w:gridCol w:w="4230"/>
        <w:gridCol w:w="2448"/>
      </w:tblGrid>
      <w:tr w:rsidR="006A7698" w:rsidRPr="009A6F69" w:rsidTr="006A7698">
        <w:tc>
          <w:tcPr>
            <w:tcW w:w="2178" w:type="dxa"/>
          </w:tcPr>
          <w:p w:rsidR="002560C7" w:rsidRPr="009A6F69" w:rsidRDefault="00AB7D5F" w:rsidP="008F4B99">
            <w:pPr>
              <w:spacing w:after="0" w:line="240" w:lineRule="auto"/>
              <w:rPr>
                <w:b/>
                <w:sz w:val="20"/>
                <w:lang w:val="en-GB"/>
              </w:rPr>
            </w:pPr>
            <w:r w:rsidRPr="009A6F69">
              <w:rPr>
                <w:b/>
                <w:sz w:val="20"/>
                <w:lang w:val="en-GB"/>
              </w:rPr>
              <w:t>Select Indicator</w:t>
            </w:r>
          </w:p>
        </w:tc>
        <w:tc>
          <w:tcPr>
            <w:tcW w:w="4230" w:type="dxa"/>
          </w:tcPr>
          <w:p w:rsidR="002560C7" w:rsidRPr="009A6F69" w:rsidRDefault="002560C7" w:rsidP="008F4B99">
            <w:pPr>
              <w:spacing w:after="0" w:line="240" w:lineRule="auto"/>
              <w:rPr>
                <w:b/>
                <w:sz w:val="20"/>
                <w:lang w:val="en-GB"/>
              </w:rPr>
            </w:pPr>
            <w:r w:rsidRPr="009A6F69">
              <w:rPr>
                <w:b/>
                <w:sz w:val="20"/>
                <w:lang w:val="en-GB"/>
              </w:rPr>
              <w:t xml:space="preserve">AOP achievement </w:t>
            </w:r>
          </w:p>
        </w:tc>
        <w:tc>
          <w:tcPr>
            <w:tcW w:w="2448" w:type="dxa"/>
          </w:tcPr>
          <w:p w:rsidR="002560C7" w:rsidRPr="009A6F69" w:rsidRDefault="00874664" w:rsidP="008F4B99">
            <w:pPr>
              <w:spacing w:after="0" w:line="240" w:lineRule="auto"/>
              <w:rPr>
                <w:b/>
                <w:sz w:val="20"/>
                <w:lang w:val="en-GB"/>
              </w:rPr>
            </w:pPr>
            <w:r w:rsidRPr="009A6F69">
              <w:rPr>
                <w:b/>
                <w:sz w:val="20"/>
                <w:lang w:val="en-GB"/>
              </w:rPr>
              <w:t xml:space="preserve">Source </w:t>
            </w:r>
          </w:p>
        </w:tc>
      </w:tr>
      <w:tr w:rsidR="006A7698" w:rsidRPr="009A6F69" w:rsidTr="00E67AD1">
        <w:tc>
          <w:tcPr>
            <w:tcW w:w="2178" w:type="dxa"/>
          </w:tcPr>
          <w:p w:rsidR="002560C7" w:rsidRPr="009A6F69" w:rsidRDefault="00083B3D" w:rsidP="00EA74AC">
            <w:pPr>
              <w:spacing w:after="0" w:line="240" w:lineRule="auto"/>
              <w:rPr>
                <w:sz w:val="20"/>
                <w:lang w:val="en-GB"/>
              </w:rPr>
            </w:pPr>
            <w:r w:rsidRPr="009A6F69">
              <w:rPr>
                <w:sz w:val="20"/>
                <w:lang w:val="en-GB"/>
              </w:rPr>
              <w:t>TB cure rate</w:t>
            </w:r>
          </w:p>
        </w:tc>
        <w:tc>
          <w:tcPr>
            <w:tcW w:w="4230" w:type="dxa"/>
          </w:tcPr>
          <w:p w:rsidR="002560C7" w:rsidRPr="009A6F69" w:rsidRDefault="00C52660" w:rsidP="00EA74AC">
            <w:pPr>
              <w:spacing w:after="0" w:line="240" w:lineRule="auto"/>
              <w:rPr>
                <w:sz w:val="20"/>
                <w:lang w:val="en-GB"/>
              </w:rPr>
            </w:pPr>
            <w:r w:rsidRPr="009A6F69">
              <w:rPr>
                <w:sz w:val="20"/>
                <w:lang w:val="en-GB"/>
              </w:rPr>
              <w:t>Kenya was the first country in sub-Saharan Africa to achieve the global target for TB case detection (80%) and TB cure rate (85%)</w:t>
            </w:r>
          </w:p>
        </w:tc>
        <w:tc>
          <w:tcPr>
            <w:tcW w:w="2448" w:type="dxa"/>
          </w:tcPr>
          <w:p w:rsidR="002560C7" w:rsidRPr="009A6F69" w:rsidRDefault="001B3B9E" w:rsidP="00EA74AC">
            <w:pPr>
              <w:spacing w:after="0" w:line="240" w:lineRule="auto"/>
              <w:rPr>
                <w:sz w:val="20"/>
                <w:lang w:val="en-GB"/>
              </w:rPr>
            </w:pPr>
            <w:r w:rsidRPr="009A6F69">
              <w:rPr>
                <w:sz w:val="20"/>
                <w:lang w:val="en-GB"/>
              </w:rPr>
              <w:fldChar w:fldCharType="begin" w:fldLock="1"/>
            </w:r>
            <w:r w:rsidR="004F4010">
              <w:rPr>
                <w:sz w:val="20"/>
                <w:lang w:val="en-GB"/>
              </w:rPr>
              <w:instrText>ADDIN CSL_CITATION { "citationItems" : [ { "id" : "ITEM-1", "itemData" : { "author" : [ { "dropping-particle" : "", "family" : "NACC and NASCOP", "given" : "", "non-dropping-particle" : "", "parse-names" : false, "suffix" : "" } ], "container-title" : "Update", "id" : "ITEM-1", "issued" : { "date-parts" : [ [ "2012" ] ] }, "note" : "        From Duplicate 1 (                           The Kenya AIDS epidemic UPDATE 2011                         - NATIONAL AIDS CONTROL COUNCIL )\n                \n        \n        \n      ", "page" : "144", "publisher-place" : "Nairobi", "title" : "The Kenya AIDS Epidemic Update 2011", "type" : "report" }, "uris" : [ "http://www.mendeley.com/documents/?uuid=68ae72d6-7384-4d94-a0d6-f5fb467c93ca" ] } ], "mendeley" : { "previouslyFormattedCitation" : "(NACC and NASCOP, 2012)" }, "properties" : { "noteIndex" : 0 }, "schema" : "https://github.com/citation-style-language/schema/raw/master/csl-citation.json" }</w:instrText>
            </w:r>
            <w:r w:rsidRPr="009A6F69">
              <w:rPr>
                <w:sz w:val="20"/>
                <w:lang w:val="en-GB"/>
              </w:rPr>
              <w:fldChar w:fldCharType="separate"/>
            </w:r>
            <w:r w:rsidR="00DA3F12" w:rsidRPr="009A6F69">
              <w:rPr>
                <w:noProof/>
                <w:sz w:val="20"/>
                <w:lang w:val="en-GB"/>
              </w:rPr>
              <w:t>(NACC and NASCOP, 2012)</w:t>
            </w:r>
            <w:r w:rsidRPr="009A6F69">
              <w:rPr>
                <w:sz w:val="20"/>
                <w:lang w:val="en-GB"/>
              </w:rPr>
              <w:fldChar w:fldCharType="end"/>
            </w:r>
          </w:p>
        </w:tc>
      </w:tr>
      <w:tr w:rsidR="006A7698" w:rsidRPr="009A6F69" w:rsidTr="00E67AD1">
        <w:tc>
          <w:tcPr>
            <w:tcW w:w="2178" w:type="dxa"/>
          </w:tcPr>
          <w:p w:rsidR="002560C7" w:rsidRPr="009A6F69" w:rsidRDefault="00D75688" w:rsidP="006A7698">
            <w:pPr>
              <w:spacing w:after="0" w:line="240" w:lineRule="auto"/>
              <w:rPr>
                <w:sz w:val="20"/>
                <w:lang w:val="en-GB"/>
              </w:rPr>
            </w:pPr>
            <w:r w:rsidRPr="009A6F69">
              <w:rPr>
                <w:sz w:val="20"/>
                <w:lang w:val="en-GB"/>
              </w:rPr>
              <w:t>No.</w:t>
            </w:r>
            <w:r w:rsidR="008E2B7F" w:rsidRPr="009A6F69">
              <w:rPr>
                <w:sz w:val="20"/>
                <w:lang w:val="en-GB"/>
              </w:rPr>
              <w:t xml:space="preserve"> of HIV+ patients started on ART</w:t>
            </w:r>
          </w:p>
        </w:tc>
        <w:tc>
          <w:tcPr>
            <w:tcW w:w="4230" w:type="dxa"/>
          </w:tcPr>
          <w:p w:rsidR="00993A2A" w:rsidRPr="009A6F69" w:rsidRDefault="00DF7755" w:rsidP="00EA74AC">
            <w:pPr>
              <w:spacing w:after="0" w:line="240" w:lineRule="auto"/>
              <w:rPr>
                <w:sz w:val="20"/>
                <w:lang w:val="en-GB"/>
              </w:rPr>
            </w:pPr>
            <w:r w:rsidRPr="009A6F69">
              <w:rPr>
                <w:sz w:val="20"/>
                <w:lang w:val="en-GB"/>
              </w:rPr>
              <w:t>58% of HIV-infected persons aged 15-64 years were eligible for (ART) treatment</w:t>
            </w:r>
            <w:r w:rsidR="00993A2A" w:rsidRPr="009A6F69">
              <w:rPr>
                <w:sz w:val="20"/>
                <w:lang w:val="en-GB"/>
              </w:rPr>
              <w:t>.</w:t>
            </w:r>
          </w:p>
          <w:p w:rsidR="002560C7" w:rsidRPr="009A6F69" w:rsidRDefault="00DF7755" w:rsidP="00EA74AC">
            <w:pPr>
              <w:spacing w:after="0" w:line="240" w:lineRule="auto"/>
              <w:rPr>
                <w:sz w:val="20"/>
                <w:lang w:val="en-GB"/>
              </w:rPr>
            </w:pPr>
            <w:r w:rsidRPr="009A6F69">
              <w:rPr>
                <w:sz w:val="20"/>
                <w:lang w:val="en-GB"/>
              </w:rPr>
              <w:t xml:space="preserve"> Of those, 63</w:t>
            </w:r>
            <w:r w:rsidR="00993A2A" w:rsidRPr="009A6F69">
              <w:rPr>
                <w:sz w:val="20"/>
                <w:lang w:val="en-GB"/>
              </w:rPr>
              <w:t>% were currently on ART in 2012</w:t>
            </w:r>
            <w:r w:rsidRPr="009A6F69">
              <w:rPr>
                <w:sz w:val="20"/>
                <w:lang w:val="en-GB"/>
              </w:rPr>
              <w:t xml:space="preserve"> </w:t>
            </w:r>
          </w:p>
        </w:tc>
        <w:tc>
          <w:tcPr>
            <w:tcW w:w="2448" w:type="dxa"/>
          </w:tcPr>
          <w:p w:rsidR="002560C7" w:rsidRPr="009A6F69" w:rsidRDefault="001B3B9E" w:rsidP="00EA74AC">
            <w:pPr>
              <w:spacing w:after="0" w:line="240" w:lineRule="auto"/>
              <w:rPr>
                <w:sz w:val="20"/>
                <w:lang w:val="en-GB"/>
              </w:rPr>
            </w:pPr>
            <w:r w:rsidRPr="009A6F69">
              <w:rPr>
                <w:sz w:val="20"/>
                <w:lang w:val="en-GB"/>
              </w:rPr>
              <w:fldChar w:fldCharType="begin" w:fldLock="1"/>
            </w:r>
            <w:r w:rsidR="004F4010">
              <w:rPr>
                <w:sz w:val="20"/>
                <w:lang w:val="en-GB"/>
              </w:rPr>
              <w:instrText>ADDIN CSL_CITATION { "citationItems" : [ { "id" : "ITEM-1", "itemData" : { "author" : [ { "dropping-particle" : "", "family" : "Kenya National AIDS and STI Control Programme (NASCOP)", "given" : "", "non-dropping-particle" : "", "parse-names" : false, "suffix" : "" } ], "id" : "ITEM-1", "issued" : { "date-parts" : [ [ "2013" ] ] }, "page" : "1-32", "publisher-place" : "Nairobi", "title" : "KENYA AIDS INDICATOR SURVEY 2012 PRELIMINARY REPORT", "type" : "report" }, "uris" : [ "http://www.mendeley.com/documents/?uuid=998c53d4-82c5-451e-975b-d43071e56fd6" ] } ], "mendeley" : { "previouslyFormattedCitation" : "(Kenya National AIDS and STI Control Programme (NASCOP), 2013)" }, "properties" : { "noteIndex" : 0 }, "schema" : "https://github.com/citation-style-language/schema/raw/master/csl-citation.json" }</w:instrText>
            </w:r>
            <w:r w:rsidRPr="009A6F69">
              <w:rPr>
                <w:sz w:val="20"/>
                <w:lang w:val="en-GB"/>
              </w:rPr>
              <w:fldChar w:fldCharType="separate"/>
            </w:r>
            <w:r w:rsidR="00874664" w:rsidRPr="009A6F69">
              <w:rPr>
                <w:noProof/>
                <w:sz w:val="20"/>
                <w:lang w:val="en-GB"/>
              </w:rPr>
              <w:t>(Kenya National AIDS and STI Control Programme (NASCOP), 2013)</w:t>
            </w:r>
            <w:r w:rsidRPr="009A6F69">
              <w:rPr>
                <w:sz w:val="20"/>
                <w:lang w:val="en-GB"/>
              </w:rPr>
              <w:fldChar w:fldCharType="end"/>
            </w:r>
          </w:p>
        </w:tc>
      </w:tr>
      <w:tr w:rsidR="00651751" w:rsidRPr="009A6F69" w:rsidTr="006A7698">
        <w:tc>
          <w:tcPr>
            <w:tcW w:w="2178" w:type="dxa"/>
          </w:tcPr>
          <w:p w:rsidR="006C05A1" w:rsidRPr="009A6F69" w:rsidRDefault="006C05A1" w:rsidP="00651751">
            <w:pPr>
              <w:spacing w:line="240" w:lineRule="auto"/>
              <w:rPr>
                <w:sz w:val="20"/>
                <w:lang w:val="en-GB"/>
              </w:rPr>
            </w:pPr>
            <w:r w:rsidRPr="009A6F69">
              <w:rPr>
                <w:sz w:val="20"/>
                <w:lang w:val="en-GB"/>
              </w:rPr>
              <w:t>Houses sprayed with IRS</w:t>
            </w:r>
          </w:p>
        </w:tc>
        <w:tc>
          <w:tcPr>
            <w:tcW w:w="4230" w:type="dxa"/>
          </w:tcPr>
          <w:p w:rsidR="006C05A1" w:rsidRPr="009A6F69" w:rsidRDefault="00411C7D" w:rsidP="00651751">
            <w:pPr>
              <w:spacing w:line="240" w:lineRule="auto"/>
              <w:rPr>
                <w:sz w:val="20"/>
                <w:lang w:val="en-GB"/>
              </w:rPr>
            </w:pPr>
            <w:r w:rsidRPr="009A6F69">
              <w:rPr>
                <w:sz w:val="20"/>
                <w:lang w:val="en-GB"/>
              </w:rPr>
              <w:t>The proportion of targeted structures sprayed was 63 % in 2008.</w:t>
            </w:r>
          </w:p>
        </w:tc>
        <w:tc>
          <w:tcPr>
            <w:tcW w:w="2448" w:type="dxa"/>
          </w:tcPr>
          <w:p w:rsidR="006C05A1" w:rsidRPr="009A6F69" w:rsidRDefault="001B3B9E" w:rsidP="00651751">
            <w:pPr>
              <w:spacing w:line="240" w:lineRule="auto"/>
              <w:rPr>
                <w:sz w:val="20"/>
                <w:lang w:val="en-GB"/>
              </w:rPr>
            </w:pPr>
            <w:r w:rsidRPr="009A6F69">
              <w:rPr>
                <w:sz w:val="20"/>
                <w:lang w:val="en-GB"/>
              </w:rPr>
              <w:fldChar w:fldCharType="begin" w:fldLock="1"/>
            </w:r>
            <w:r w:rsidR="004F4010">
              <w:rPr>
                <w:sz w:val="20"/>
                <w:lang w:val="en-GB"/>
              </w:rPr>
              <w:instrText>ADDIN CSL_CITATION { "citationItems" : [ { "id" : "ITEM-1", "itemData" : { "author" : [ { "dropping-particle" : "", "family" : "Ministry of Public Health and Sanitation &amp; Ministry of Medical Services Kenya", "given" : "", "non-dropping-particle" : "", "parse-names" : false, "suffix" : "" } ], "id" : "ITEM-1", "issue" : "July", "issued" : { "date-parts" : [ [ "2009" ] ] }, "page" : "116", "publisher-place" : "Nairobi", "title" : "National Malaria Strategy (2009-2017)", "type" : "report" }, "uris" : [ "http://www.mendeley.com/documents/?uuid=16ba4d8e-f845-458b-9810-969e16689341" ] } ], "mendeley" : { "previouslyFormattedCitation" : "(Ministry of Public Health and Sanitation &amp; Ministry of Medical Services Kenya, 2009)" }, "properties" : { "noteIndex" : 0 }, "schema" : "https://github.com/citation-style-language/schema/raw/master/csl-citation.json" }</w:instrText>
            </w:r>
            <w:r w:rsidRPr="009A6F69">
              <w:rPr>
                <w:sz w:val="20"/>
                <w:lang w:val="en-GB"/>
              </w:rPr>
              <w:fldChar w:fldCharType="separate"/>
            </w:r>
            <w:r w:rsidR="000142E7" w:rsidRPr="009A6F69">
              <w:rPr>
                <w:noProof/>
                <w:sz w:val="20"/>
                <w:lang w:val="en-GB"/>
              </w:rPr>
              <w:t>(Ministry of Public Health and Sanitation &amp; Ministry of Medical Services Kenya, 2009)</w:t>
            </w:r>
            <w:r w:rsidRPr="009A6F69">
              <w:rPr>
                <w:sz w:val="20"/>
                <w:lang w:val="en-GB"/>
              </w:rPr>
              <w:fldChar w:fldCharType="end"/>
            </w:r>
          </w:p>
        </w:tc>
      </w:tr>
    </w:tbl>
    <w:p w:rsidR="00651751" w:rsidRPr="009A6F69" w:rsidRDefault="00651751" w:rsidP="00651751">
      <w:pPr>
        <w:rPr>
          <w:lang w:val="en-GB"/>
        </w:rPr>
      </w:pPr>
    </w:p>
    <w:p w:rsidR="00450414" w:rsidRDefault="00450414" w:rsidP="00651751">
      <w:pPr>
        <w:rPr>
          <w:lang w:val="en-GB"/>
        </w:rPr>
      </w:pPr>
      <w:r>
        <w:rPr>
          <w:lang w:val="en-GB"/>
        </w:rPr>
        <w:t xml:space="preserve">The private sector is not sold on KEPH. </w:t>
      </w:r>
      <w:r w:rsidR="001921CE">
        <w:rPr>
          <w:lang w:val="en-GB"/>
        </w:rPr>
        <w:t>One conceptual difficulty is how to define a package whether by level</w:t>
      </w:r>
      <w:r w:rsidR="00874368">
        <w:rPr>
          <w:lang w:val="en-GB"/>
        </w:rPr>
        <w:t xml:space="preserve"> of service, disease or patient. Level of service may be the best e.g. all services at dispensary are free</w:t>
      </w:r>
      <w:proofErr w:type="gramStart"/>
      <w:r w:rsidR="00874368">
        <w:rPr>
          <w:lang w:val="en-GB"/>
        </w:rPr>
        <w:t>,</w:t>
      </w:r>
      <w:r w:rsidR="001921CE">
        <w:rPr>
          <w:lang w:val="en-GB"/>
        </w:rPr>
        <w:t>(</w:t>
      </w:r>
      <w:proofErr w:type="gramEnd"/>
      <w:r w:rsidR="001921CE">
        <w:rPr>
          <w:lang w:val="en-GB"/>
        </w:rPr>
        <w:t xml:space="preserve">KII3). </w:t>
      </w:r>
      <w:r>
        <w:rPr>
          <w:lang w:val="en-GB"/>
        </w:rPr>
        <w:t xml:space="preserve">Private providers </w:t>
      </w:r>
      <w:r w:rsidR="0071394E">
        <w:rPr>
          <w:lang w:val="en-GB"/>
        </w:rPr>
        <w:t xml:space="preserve">currently </w:t>
      </w:r>
      <w:r>
        <w:rPr>
          <w:lang w:val="en-GB"/>
        </w:rPr>
        <w:t xml:space="preserve">offer some of the interventions under KEPH such as vaccinations, family planning. Vaccinations are popular because the facility gets a fridge and the inspection done gives a level of accreditation. However there is no formal incentive or obligation on the part of the private provider to participate in national targets set. </w:t>
      </w:r>
      <w:r w:rsidR="004C5098">
        <w:rPr>
          <w:lang w:val="en-GB"/>
        </w:rPr>
        <w:t>The collaboration depends more on informal and personal relations between the public and private actors</w:t>
      </w:r>
      <w:proofErr w:type="gramStart"/>
      <w:r w:rsidR="004C5098">
        <w:rPr>
          <w:lang w:val="en-GB"/>
        </w:rPr>
        <w:t>,(</w:t>
      </w:r>
      <w:proofErr w:type="gramEnd"/>
      <w:r w:rsidR="004C5098">
        <w:rPr>
          <w:lang w:val="en-GB"/>
        </w:rPr>
        <w:t>KII2)</w:t>
      </w:r>
      <w:r w:rsidR="00C36975">
        <w:rPr>
          <w:lang w:val="en-GB"/>
        </w:rPr>
        <w:t xml:space="preserve">. </w:t>
      </w:r>
    </w:p>
    <w:p w:rsidR="006C5EE6" w:rsidRDefault="00792F33" w:rsidP="00792F33">
      <w:pPr>
        <w:rPr>
          <w:lang w:val="en-GB"/>
        </w:rPr>
      </w:pPr>
      <w:r w:rsidRPr="009A6F69">
        <w:rPr>
          <w:lang w:val="en-GB"/>
        </w:rPr>
        <w:t xml:space="preserve">To improve on this situation and improve efficiency and effectiveness of the health system, a number of programs and projects have been undertaken </w:t>
      </w:r>
      <w:r w:rsidR="001A001F" w:rsidRPr="009A6F69">
        <w:rPr>
          <w:lang w:val="en-GB"/>
        </w:rPr>
        <w:t xml:space="preserve">since 2005 </w:t>
      </w:r>
      <w:r w:rsidRPr="009A6F69">
        <w:rPr>
          <w:lang w:val="en-GB"/>
        </w:rPr>
        <w:t xml:space="preserve">including </w:t>
      </w:r>
      <w:r w:rsidR="00B61DDD" w:rsidRPr="009A6F69">
        <w:rPr>
          <w:lang w:val="en-GB"/>
        </w:rPr>
        <w:t>output-based</w:t>
      </w:r>
      <w:r w:rsidRPr="009A6F69">
        <w:rPr>
          <w:lang w:val="en-GB"/>
        </w:rPr>
        <w:t xml:space="preserve"> approach, Kenyan Health Sector Services Fund and Health for All Kenyans through Innovations. </w:t>
      </w:r>
    </w:p>
    <w:p w:rsidR="00450414" w:rsidRPr="009A6F69" w:rsidRDefault="00450414" w:rsidP="00792F33">
      <w:pPr>
        <w:rPr>
          <w:lang w:val="en-GB"/>
        </w:rPr>
      </w:pPr>
    </w:p>
    <w:p w:rsidR="006C5EE6" w:rsidRPr="009A6F69" w:rsidRDefault="006C5EE6" w:rsidP="00E67AD1">
      <w:pPr>
        <w:pStyle w:val="Heading3"/>
        <w:rPr>
          <w:lang w:val="en-GB"/>
        </w:rPr>
      </w:pPr>
      <w:bookmarkStart w:id="37" w:name="_Toc254256135"/>
      <w:r w:rsidRPr="009A6F69">
        <w:rPr>
          <w:lang w:val="en-GB"/>
        </w:rPr>
        <w:t>Kenya Health Sector Services Fund</w:t>
      </w:r>
      <w:bookmarkEnd w:id="37"/>
    </w:p>
    <w:p w:rsidR="00CE6F82" w:rsidRPr="009A6F69" w:rsidRDefault="00792F33" w:rsidP="00752F9B">
      <w:pPr>
        <w:rPr>
          <w:lang w:val="en-GB"/>
        </w:rPr>
      </w:pPr>
      <w:r w:rsidRPr="009A6F69">
        <w:rPr>
          <w:lang w:val="en-GB"/>
        </w:rPr>
        <w:t>The Kenyan Health Sector Services Fund (HSSF) is an innovative health financing intervention in which the government and development partners contribute to a central fund which is used to credit funds directly into approved health facilities’ bank accounts. HSSF was one of the Ministry of Public Health and Sanitation sub sector Flagship project. The Fund was established through Legal Notice No. 401, Kenya Gazette Supplement No.123 of Dec 21st 2007 and amended through Legal Notice No. 79 of June 2009 both under the Government Financial Management Act (No.5 of 2004). One of the aims is to increase efficiency and effectiveness in the management of financial resources by empowering the facility management Committees and reducing bureaucracies in the disbursement of financial resources to the levels 1-3 facilities that predominantly faced delays in receiving funds from the MOH,</w:t>
      </w:r>
      <w:r w:rsidR="001B3B9E" w:rsidRPr="009A6F69">
        <w:rPr>
          <w:lang w:val="en-GB"/>
        </w:rPr>
        <w:fldChar w:fldCharType="begin" w:fldLock="1"/>
      </w:r>
      <w:r w:rsidR="004F4010">
        <w:rPr>
          <w:lang w:val="en-GB"/>
        </w:rPr>
        <w:instrText>ADDIN CSL_CITATION { "citationItems" : [ { "id" : "ITEM-1", "itemData" : { "author" : [ { "dropping-particle" : "", "family" : "Government of Kenya", "given" : "", "non-dropping-particle" : "", "parse-names" : false, "suffix" : "" } ], "id" : "ITEM-1", "issued" : { "date-parts" : [ [ "2012" ] ] }, "page" : "1-67", "publisher-place" : "Nairobi", "title" : "HEALTH SECTOR WORKING GROUP REPORT 2012", "type" : "report" }, "uris" : [ "http://www.mendeley.com/documents/?uuid=ccda14e2-3d8d-4a74-a2c8-8fce8ac868ca" ] } ], "mendeley" : { "previouslyFormattedCitation" : "(Government of Kenya, 2012)" }, "properties" : { "noteIndex" : 0 }, "schema" : "https://github.com/citation-style-language/schema/raw/master/csl-citation.json" }</w:instrText>
      </w:r>
      <w:r w:rsidR="001B3B9E" w:rsidRPr="009A6F69">
        <w:rPr>
          <w:lang w:val="en-GB"/>
        </w:rPr>
        <w:fldChar w:fldCharType="separate"/>
      </w:r>
      <w:r w:rsidRPr="009A6F69">
        <w:rPr>
          <w:noProof/>
          <w:lang w:val="en-GB"/>
        </w:rPr>
        <w:t>(Government of Kenya, 2012)</w:t>
      </w:r>
      <w:r w:rsidR="001B3B9E" w:rsidRPr="009A6F69">
        <w:rPr>
          <w:lang w:val="en-GB"/>
        </w:rPr>
        <w:fldChar w:fldCharType="end"/>
      </w:r>
      <w:r w:rsidRPr="009A6F69">
        <w:rPr>
          <w:lang w:val="en-GB"/>
        </w:rPr>
        <w:t>. Funds can be used for operational expenses at the health facility, with the aim of increasing quality of care and utilisation of priority services. At the facility level, HSSF funds are managed by a Health Facility Committee (HFC) that includes community members from the facility catchment area,</w:t>
      </w:r>
      <w:r w:rsidR="001B3B9E" w:rsidRPr="009A6F69">
        <w:rPr>
          <w:lang w:val="en-GB"/>
        </w:rPr>
        <w:fldChar w:fldCharType="begin" w:fldLock="1"/>
      </w:r>
      <w:r w:rsidR="004F4010">
        <w:rPr>
          <w:lang w:val="en-GB"/>
        </w:rPr>
        <w:instrText>ADDIN CSL_CITATION { "citationItems" : [ { "id" : "ITEM-1", "itemData" : { "author" : [ { "dropping-particle" : "", "family" : "Goodman", "given" : "Catherine", "non-dropping-particle" : "", "parse-names" : false, "suffix" : "" }, { "dropping-particle" : "", "family" : "Molyneux", "given" : "Sassy", "non-dropping-particle" : "", "parse-names" : false, "suffix" : "" }, { "dropping-particle" : "", "family" : "Noor", "given" : "A", "non-dropping-particle" : "", "parse-names" : false, "suffix" : "" }, { "dropping-particle" : "", "family" : "Opwora", "given" : "Antony", "non-dropping-particle" : "", "parse-names" : false, "suffix" : "" }, { "dropping-particle" : "", "family" : "Fegan", "given" : "Greg", "non-dropping-particle" : "", "parse-names" : false, "suffix" : "" } ], "id" : "ITEM-1", "issued" : { "date-parts" : [ [ "2013" ] ] }, "page" : "9", "publisher" : "RESYST", "publisher-place" : "London", "title" : "TRACKING IMPLEMENTATION OF THE HEALTH SECTOR Research summary", "type" : "article" }, "uris" : [ "http://www.mendeley.com/documents/?uuid=67fab1d2-4d03-4443-afb7-1cf209f8cf6e" ] } ], "mendeley" : { "previouslyFormattedCitation" : "(Goodman, Molyneux, Noor, Opwora, &amp; Fegan, 2013)" }, "properties" : { "noteIndex" : 0 }, "schema" : "https://github.com/citation-style-language/schema/raw/master/csl-citation.json" }</w:instrText>
      </w:r>
      <w:r w:rsidR="001B3B9E" w:rsidRPr="009A6F69">
        <w:rPr>
          <w:lang w:val="en-GB"/>
        </w:rPr>
        <w:fldChar w:fldCharType="separate"/>
      </w:r>
      <w:r w:rsidRPr="009A6F69">
        <w:rPr>
          <w:noProof/>
          <w:lang w:val="en-GB"/>
        </w:rPr>
        <w:t>(Goodman, Molyneux, Noor, Opwora, &amp; Fegan, 2013)</w:t>
      </w:r>
      <w:r w:rsidR="001B3B9E" w:rsidRPr="009A6F69">
        <w:rPr>
          <w:lang w:val="en-GB"/>
        </w:rPr>
        <w:fldChar w:fldCharType="end"/>
      </w:r>
      <w:r w:rsidRPr="009A6F69">
        <w:rPr>
          <w:lang w:val="en-GB"/>
        </w:rPr>
        <w:t xml:space="preserve">. </w:t>
      </w:r>
      <w:r w:rsidRPr="009A6F69">
        <w:rPr>
          <w:bCs/>
          <w:lang w:val="en-GB"/>
        </w:rPr>
        <w:t>Community participation has been emphasized internationally as a way of enhancing accountability, as well as a means to enhance health goals in terms of coverage, access and effective utilization. While the potential for health facility committees to play an active and important role in health facility management, particularly where they have control over some facility level resources. However, to optimise their contribution, efforts are needed to improve their training, clarify their roles, and improve engagement with the wider community,</w:t>
      </w:r>
      <w:r w:rsidR="001B3B9E" w:rsidRPr="009A6F69">
        <w:rPr>
          <w:bCs/>
          <w:lang w:val="en-GB"/>
        </w:rPr>
        <w:fldChar w:fldCharType="begin" w:fldLock="1"/>
      </w:r>
      <w:r w:rsidR="004F4010">
        <w:rPr>
          <w:bCs/>
          <w:lang w:val="en-GB"/>
        </w:rPr>
        <w:instrText>ADDIN CSL_CITATION { "citationItems" : [ { "id" : "ITEM-1", "itemData" : { "DOI" : "10.1186/1472-6963-11-229", "ISSN" : "1472-6963", "author" : [ { "dropping-particle" : "", "family" : "Goodman", "given" : "Catherine", "non-dropping-particle" : "", "parse-names" : false, "suffix" : "" }, { "dropping-particle" : "", "family" : "Opwora", "given" : "Antony", "non-dropping-particle" : "", "parse-names" : false, "suffix" : "" }, { "dropping-particle" : "", "family" : "Kabare", "given" : "Margaret", "non-dropping-particle" : "", "parse-names" : false, "suffix" : "" }, { "dropping-particle" : "", "family" : "Molyneux", "given" : "Sassy", "non-dropping-particle" : "", "parse-names" : false, "suffix" : "" } ], "container-title" : "BMC Health Services Research", "id" : "ITEM-1", "issue" : "1", "issued" : { "date-parts" : [ [ "2011" ] ] }, "page" : "229", "publisher" : "BioMed Central Ltd", "title" : "Health facility committees and facility management - exploring the nature and depth of their roles in Coast Province , Kenya", "type" : "article-journal", "volume" : "11" }, "uris" : [ "http://www.mendeley.com/documents/?uuid=d952ac01-6479-4f8e-ba45-0b591becdab0" ] } ], "mendeley" : { "previouslyFormattedCitation" : "(Goodman, Opwora, Kabare, &amp; Molyneux, 2011)" }, "properties" : { "noteIndex" : 0 }, "schema" : "https://github.com/citation-style-language/schema/raw/master/csl-citation.json" }</w:instrText>
      </w:r>
      <w:r w:rsidR="001B3B9E" w:rsidRPr="009A6F69">
        <w:rPr>
          <w:bCs/>
          <w:lang w:val="en-GB"/>
        </w:rPr>
        <w:fldChar w:fldCharType="separate"/>
      </w:r>
      <w:r w:rsidRPr="009A6F69">
        <w:rPr>
          <w:bCs/>
          <w:noProof/>
          <w:lang w:val="en-GB"/>
        </w:rPr>
        <w:t>(Goodman, Opwora, Kabare, &amp; Molyneux, 2011)</w:t>
      </w:r>
      <w:r w:rsidR="001B3B9E" w:rsidRPr="009A6F69">
        <w:rPr>
          <w:bCs/>
          <w:lang w:val="en-GB"/>
        </w:rPr>
        <w:fldChar w:fldCharType="end"/>
      </w:r>
      <w:r w:rsidRPr="009A6F69">
        <w:rPr>
          <w:bCs/>
          <w:lang w:val="en-GB"/>
        </w:rPr>
        <w:t xml:space="preserve">. </w:t>
      </w:r>
    </w:p>
    <w:p w:rsidR="00CE6F82" w:rsidRPr="009A6F69" w:rsidRDefault="00CE6F82" w:rsidP="00CE6F82">
      <w:pPr>
        <w:rPr>
          <w:lang w:val="en-GB"/>
        </w:rPr>
      </w:pPr>
      <w:r w:rsidRPr="009A6F69">
        <w:rPr>
          <w:lang w:val="en-GB"/>
        </w:rPr>
        <w:t xml:space="preserve">Since its rollout in 2010, the HSSF has proved to be a successful strategy for ensuring that funds reach the periphery of the health system, with minimal bureaucratic interference. An early evaluation of the HSSF program by the Kenya Medical Research Institute highlighted the fact that direct financing made an important contribution of facility funding, and was also perceived to have a positive </w:t>
      </w:r>
      <w:r w:rsidRPr="009A6F69">
        <w:rPr>
          <w:lang w:val="en-GB"/>
        </w:rPr>
        <w:lastRenderedPageBreak/>
        <w:t xml:space="preserve">impact on staff motivation, use, and quality of care. Notably, there has been remarkable improvement in the quality of services provided at the primary health care facilities. One of the most recent key finding on the implementation of the HSSF program by DANIDA and the World Bank is the significant number of people visiting the health </w:t>
      </w:r>
      <w:r w:rsidR="00FE01E8" w:rsidRPr="009A6F69">
        <w:rPr>
          <w:lang w:val="en-GB"/>
        </w:rPr>
        <w:t>centres</w:t>
      </w:r>
      <w:r w:rsidR="00FE6D8D" w:rsidRPr="009A6F69">
        <w:rPr>
          <w:lang w:val="en-GB"/>
        </w:rPr>
        <w:t>. During the first nine months of fiscal 2011/12, nearly 27.9 million individuals used primary health services compared to 25.8 million in fiscal 2010/11. Over half of these users (16.3 million) were female. In addition, nearly 0.8 million eligible children were fully immunized, with marginal improvements in coverage levels in t</w:t>
      </w:r>
      <w:r w:rsidR="00EA6102" w:rsidRPr="009A6F69">
        <w:rPr>
          <w:lang w:val="en-GB"/>
        </w:rPr>
        <w:t>he North Eastern province</w:t>
      </w:r>
      <w:r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"V", "family" : "Ramana", "given" : "Gandham N", "non-dropping-particle" : "", "parse-names" : false, "suffix" : "" }, { "dropping-particle" : "", "family" : "Chepkoech", "given" : "Rose", "non-dropping-particle" : "", "parse-names" : false, "suffix" : "" }, { "dropping-particle" : "", "family" : "Workie", "given" : "Netsanet Walelign", "non-dropping-particle" : "", "parse-names" : false, "suffix" : "" } ], "collection-editor" : "Universal Health Coverage Studies Series (UNICO)", "id" : "ITEM-1", "issue" : "5", "issued" : { "date-parts" : [ [ "2013" ] ] }, "number" : "No. 5", "page" : "1-34", "publisher-place" : "Washington DC", "title" : "Improving Universal Primary Health Care by Kenya: A case study of the health sector services fund", "type" : "article" }, "uris" : [ "http://www.mendeley.com/documents/?uuid=c35c14c1-2f49-4105-bf94-4a8743bc970d" ] } ], "mendeley" : { "previouslyFormattedCitation" : "(Ramana, Chepkoech, &amp; Workie, 2013)" }, "properties" : { "noteIndex" : 0 }, "schema" : "https://github.com/citation-style-language/schema/raw/master/csl-citation.json" }</w:instrText>
      </w:r>
      <w:r w:rsidR="001B3B9E" w:rsidRPr="009A6F69">
        <w:rPr>
          <w:lang w:val="en-GB"/>
        </w:rPr>
        <w:fldChar w:fldCharType="separate"/>
      </w:r>
      <w:r w:rsidR="00697A63" w:rsidRPr="009A6F69">
        <w:rPr>
          <w:noProof/>
          <w:lang w:val="en-GB"/>
        </w:rPr>
        <w:t>(</w:t>
      </w:r>
      <w:proofErr w:type="spellStart"/>
      <w:r w:rsidR="00697A63" w:rsidRPr="009A6F69">
        <w:rPr>
          <w:noProof/>
          <w:lang w:val="en-GB"/>
        </w:rPr>
        <w:t>Ramana</w:t>
      </w:r>
      <w:proofErr w:type="spellEnd"/>
      <w:r w:rsidR="00697A63" w:rsidRPr="009A6F69">
        <w:rPr>
          <w:noProof/>
          <w:lang w:val="en-GB"/>
        </w:rPr>
        <w:t>, Chepkoech, &amp; Workie, 2013)</w:t>
      </w:r>
      <w:r w:rsidR="001B3B9E" w:rsidRPr="009A6F69">
        <w:rPr>
          <w:lang w:val="en-GB"/>
        </w:rPr>
        <w:fldChar w:fldCharType="end"/>
      </w:r>
      <w:r w:rsidRPr="009A6F69">
        <w:rPr>
          <w:lang w:val="en-GB"/>
        </w:rPr>
        <w:t>.</w:t>
      </w:r>
    </w:p>
    <w:p w:rsidR="00792F33" w:rsidRPr="009A6F69" w:rsidRDefault="00792F33" w:rsidP="00E67AD1">
      <w:pPr>
        <w:pStyle w:val="Heading3"/>
        <w:rPr>
          <w:lang w:val="en-GB"/>
        </w:rPr>
      </w:pPr>
      <w:bookmarkStart w:id="38" w:name="_Toc254256136"/>
      <w:r w:rsidRPr="009A6F69">
        <w:rPr>
          <w:lang w:val="en-GB"/>
        </w:rPr>
        <w:t>Out</w:t>
      </w:r>
      <w:r w:rsidR="00344138" w:rsidRPr="009A6F69">
        <w:rPr>
          <w:lang w:val="en-GB"/>
        </w:rPr>
        <w:t>put</w:t>
      </w:r>
      <w:r w:rsidRPr="009A6F69">
        <w:rPr>
          <w:lang w:val="en-GB"/>
        </w:rPr>
        <w:t xml:space="preserve"> Based Approach </w:t>
      </w:r>
      <w:r w:rsidR="009C7613" w:rsidRPr="009A6F69">
        <w:rPr>
          <w:lang w:val="en-GB"/>
        </w:rPr>
        <w:t>(OBA)</w:t>
      </w:r>
      <w:bookmarkEnd w:id="38"/>
    </w:p>
    <w:p w:rsidR="00792F33" w:rsidRPr="009A6F69" w:rsidRDefault="00792F33" w:rsidP="00792F33">
      <w:pPr>
        <w:rPr>
          <w:lang w:val="en-GB"/>
        </w:rPr>
      </w:pPr>
      <w:r w:rsidRPr="009A6F69">
        <w:rPr>
          <w:lang w:val="en-GB"/>
        </w:rPr>
        <w:t>One of the primary challenges in addressing these problems is identifying the most appropriate and efficient financing strategy to translate monies from governments and donors into the provision of health services and improvements in health status</w:t>
      </w:r>
    </w:p>
    <w:p w:rsidR="00D33486" w:rsidRDefault="00792F33" w:rsidP="00D33486">
      <w:pPr>
        <w:rPr>
          <w:lang w:val="en-GB"/>
        </w:rPr>
      </w:pPr>
      <w:r w:rsidRPr="009A6F69">
        <w:rPr>
          <w:lang w:val="en-GB"/>
        </w:rPr>
        <w:t>One way of targeting particular vulnerable groups is the use of voucher systems using an output-based approach. Evidence suggests that targeting mechanisms in voucher programs have been successful in reaching their intended population.</w:t>
      </w:r>
      <w:r w:rsidR="009C2A5F" w:rsidRPr="009A6F69">
        <w:rPr>
          <w:lang w:val="en-GB"/>
        </w:rPr>
        <w:t xml:space="preserve"> </w:t>
      </w:r>
      <w:r w:rsidRPr="009A6F69">
        <w:rPr>
          <w:lang w:val="en-GB"/>
        </w:rPr>
        <w:t xml:space="preserve">With German Financial Cooperation trough </w:t>
      </w:r>
      <w:proofErr w:type="spellStart"/>
      <w:r w:rsidRPr="009A6F69">
        <w:rPr>
          <w:lang w:val="en-GB"/>
        </w:rPr>
        <w:t>KfW</w:t>
      </w:r>
      <w:proofErr w:type="spellEnd"/>
      <w:r w:rsidRPr="009A6F69">
        <w:rPr>
          <w:lang w:val="en-GB"/>
        </w:rPr>
        <w:t xml:space="preserve"> </w:t>
      </w:r>
      <w:proofErr w:type="spellStart"/>
      <w:r w:rsidRPr="009A6F69">
        <w:rPr>
          <w:lang w:val="en-GB"/>
        </w:rPr>
        <w:t>Entwicklungsbank</w:t>
      </w:r>
      <w:proofErr w:type="spellEnd"/>
      <w:r w:rsidRPr="009A6F69">
        <w:rPr>
          <w:lang w:val="en-GB"/>
        </w:rPr>
        <w:t xml:space="preserve"> (</w:t>
      </w:r>
      <w:proofErr w:type="spellStart"/>
      <w:r w:rsidRPr="009A6F69">
        <w:rPr>
          <w:lang w:val="en-GB"/>
        </w:rPr>
        <w:t>KfW</w:t>
      </w:r>
      <w:proofErr w:type="spellEnd"/>
      <w:r w:rsidRPr="009A6F69">
        <w:rPr>
          <w:lang w:val="en-GB"/>
        </w:rPr>
        <w:t xml:space="preserve">), the reproductive health voucher programs (RH-OBA) began in July 2006 and is expected to continue until 2014. The overall objective was to offer quality reproductive health care services to economically disadvantaged populations by means of a voucher system and contribute to a reduction of both maternal and infant mortality rates. Up until March 2011, the Kenya voucher program had assisted in over 96,000 facility-based deliveries and over 27,000 long-term family planning methods. </w:t>
      </w:r>
      <w:r w:rsidR="002744AE" w:rsidRPr="009A6F69">
        <w:rPr>
          <w:lang w:val="en-GB"/>
        </w:rPr>
        <w:t xml:space="preserve">During the first phase of the programme (2006 - 08), a total of 54 public and private health facilities (18 in </w:t>
      </w:r>
      <w:proofErr w:type="spellStart"/>
      <w:r w:rsidR="002744AE" w:rsidRPr="009A6F69">
        <w:rPr>
          <w:lang w:val="en-GB"/>
        </w:rPr>
        <w:t>Kisumu</w:t>
      </w:r>
      <w:proofErr w:type="spellEnd"/>
      <w:r w:rsidR="002744AE" w:rsidRPr="009A6F69">
        <w:rPr>
          <w:lang w:val="en-GB"/>
        </w:rPr>
        <w:t xml:space="preserve">, 17 in </w:t>
      </w:r>
      <w:proofErr w:type="spellStart"/>
      <w:r w:rsidR="002744AE" w:rsidRPr="009A6F69">
        <w:rPr>
          <w:lang w:val="en-GB"/>
        </w:rPr>
        <w:t>Kiambu</w:t>
      </w:r>
      <w:proofErr w:type="spellEnd"/>
      <w:r w:rsidR="002744AE" w:rsidRPr="009A6F69">
        <w:rPr>
          <w:lang w:val="en-GB"/>
        </w:rPr>
        <w:t xml:space="preserve">, 12 in Nairobi and 7 in </w:t>
      </w:r>
      <w:proofErr w:type="spellStart"/>
      <w:r w:rsidR="002744AE" w:rsidRPr="009A6F69">
        <w:rPr>
          <w:lang w:val="en-GB"/>
        </w:rPr>
        <w:t>Kitui</w:t>
      </w:r>
      <w:proofErr w:type="spellEnd"/>
      <w:r w:rsidR="002744AE" w:rsidRPr="009A6F69">
        <w:rPr>
          <w:lang w:val="en-GB"/>
        </w:rPr>
        <w:t xml:space="preserve">) were contracted as voucher service providers to offer services at specified standards of quality to voucher clients. During the first 2 years of this phase, distributors from non-governmental organizations (NGOs) were used, who received a commission for each voucher sold. This led to vouchers being sold to non-eligible </w:t>
      </w:r>
      <w:r w:rsidR="002744AE" w:rsidRPr="009A6F69">
        <w:rPr>
          <w:lang w:val="en-GB"/>
        </w:rPr>
        <w:lastRenderedPageBreak/>
        <w:t xml:space="preserve">(non-poor) women. This strategy was abandoned and in the final year of the phase, vouchers were sold through salaried distributors (EPOS Health Management 2011).  </w:t>
      </w:r>
      <w:r w:rsidRPr="009A6F69">
        <w:rPr>
          <w:lang w:val="en-GB"/>
        </w:rPr>
        <w:t>During phase II of the Kenyan program, the average costs per client was $119 for safe motherhood services, $24 for family planning and $103 per client overall.,</w:t>
      </w:r>
      <w:r w:rsidR="001B3B9E" w:rsidRPr="009A6F69">
        <w:rPr>
          <w:lang w:val="en-GB"/>
        </w:rPr>
        <w:fldChar w:fldCharType="begin" w:fldLock="1"/>
      </w:r>
      <w:r w:rsidR="004F4010">
        <w:rPr>
          <w:lang w:val="en-GB"/>
        </w:rPr>
        <w:instrText>ADDIN CSL_CITATION { "citationItems" : [ { "id" : "ITEM-1", "itemData" : { "author" : [ { "dropping-particle" : "", "family" : "KfW Bankengruppe", "given" : "", "non-dropping-particle" : "", "parse-names" : false, "suffix" : "" } ], "collection-editor" : "Discussion Paper", "id" : "ITEM-1", "issued" : { "date-parts" : [ [ "2012" ] ] }, "page" : "1-20", "publisher-place" : "Frankfurt", "title" : "Vouchers for reproductive health care services in Kenya and Uganda", "type" : "article" }, "uris" : [ "http://www.mendeley.com/documents/?uuid=d1c80d75-dfb8-46c2-b6e1-b7f099bf66a0" ] } ], "mendeley" : { "previouslyFormattedCitation" : "(KfW Bankengruppe, 2012)" }, "properties" : { "noteIndex" : 0 }, "schema" : "https://github.com/citation-style-language/schema/raw/master/csl-citation.json" }</w:instrText>
      </w:r>
      <w:r w:rsidR="001B3B9E" w:rsidRPr="009A6F69">
        <w:rPr>
          <w:lang w:val="en-GB"/>
        </w:rPr>
        <w:fldChar w:fldCharType="separate"/>
      </w:r>
      <w:r w:rsidRPr="009A6F69">
        <w:rPr>
          <w:noProof/>
          <w:lang w:val="en-GB"/>
        </w:rPr>
        <w:t>(</w:t>
      </w:r>
      <w:proofErr w:type="spellStart"/>
      <w:r w:rsidRPr="009A6F69">
        <w:rPr>
          <w:noProof/>
          <w:lang w:val="en-GB"/>
        </w:rPr>
        <w:t>KfW</w:t>
      </w:r>
      <w:proofErr w:type="spellEnd"/>
      <w:r w:rsidRPr="009A6F69">
        <w:rPr>
          <w:noProof/>
          <w:lang w:val="en-GB"/>
        </w:rPr>
        <w:t xml:space="preserve"> Bankengruppe, 2012)</w:t>
      </w:r>
      <w:r w:rsidR="001B3B9E" w:rsidRPr="009A6F69">
        <w:rPr>
          <w:lang w:val="en-GB"/>
        </w:rPr>
        <w:fldChar w:fldCharType="end"/>
      </w:r>
      <w:r w:rsidRPr="009A6F69">
        <w:rPr>
          <w:lang w:val="en-GB"/>
        </w:rPr>
        <w:t xml:space="preserve">. </w:t>
      </w:r>
    </w:p>
    <w:p w:rsidR="001325F1" w:rsidRPr="008977DA" w:rsidRDefault="001B3B9E" w:rsidP="00792F33">
      <w:pPr>
        <w:rPr>
          <w:lang w:val="en-GB"/>
        </w:rPr>
      </w:pPr>
      <w:r>
        <w:rPr>
          <w:noProof/>
        </w:rPr>
        <w:pict>
          <v:shape id="Text Box 16" o:spid="_x0000_s1037" type="#_x0000_t202" style="position:absolute;margin-left:198pt;margin-top:43.95pt;width:234pt;height:198pt;z-index:25166233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" fillcolor="#f2f2f2 [3052]" strokecolor="#4f81bd [3204]" strokeweight="2pt">
            <v:textbox>
              <w:txbxContent>
                <w:p w:rsidR="000221CD" w:rsidRPr="00CA5D22" w:rsidRDefault="000221CD" w:rsidP="00CA5D22">
                  <w:pPr>
                    <w:spacing w:line="240" w:lineRule="auto"/>
                    <w:rPr>
                      <w:sz w:val="20"/>
                      <w:szCs w:val="20"/>
                    </w:rPr>
                  </w:pPr>
                  <w:r w:rsidRPr="00CA5D22">
                    <w:rPr>
                      <w:sz w:val="20"/>
                      <w:szCs w:val="20"/>
                    </w:rPr>
                    <w:t>The GBVR services vouchers provide access to a wide range of services, including: (</w:t>
                  </w:r>
                  <w:proofErr w:type="spellStart"/>
                  <w:r w:rsidRPr="00CA5D22">
                    <w:rPr>
                      <w:sz w:val="20"/>
                      <w:szCs w:val="20"/>
                    </w:rPr>
                    <w:t>i</w:t>
                  </w:r>
                  <w:proofErr w:type="spellEnd"/>
                  <w:r w:rsidRPr="00CA5D22">
                    <w:rPr>
                      <w:sz w:val="20"/>
                      <w:szCs w:val="20"/>
                    </w:rPr>
                    <w:t>) a medical examination, treatment and management of injuries, hospitalization and accommodation, laboratory testing and X-rays, pregnancy prevention services and HIV post exposure prophylaxis (PEP), (ii) counseling services specifically consisting of psychological care, trauma counseling, crises management, HIV pre-and post-test counseling, and adherence counseling, and (iii) links to support groups which provide legal aid, monthly group therapy sessions for survivors of rape, information and referral for long-term shelters, and help for survivors in liaising with social services department.</w:t>
                  </w:r>
                </w:p>
              </w:txbxContent>
            </v:textbox>
            <w10:wrap type="square"/>
          </v:shape>
        </w:pict>
      </w:r>
      <w:r w:rsidR="00D33486" w:rsidRPr="00D33486">
        <w:t>Although the voucher program has been successful in increasing skilled birth attendance, uptake of long-acting family planning methods, and reducing out-of-pocket expenditure there is no evidence to date regarding the effectiveness of the voucher approach with respect to improving access to GBVR services</w:t>
      </w:r>
      <w:r w:rsidR="00CB501A">
        <w:t>,</w:t>
      </w:r>
      <w:r>
        <w:fldChar w:fldCharType="begin" w:fldLock="1"/>
      </w:r>
      <w:r w:rsidR="004F4010">
        <w:instrText>ADDIN CSL_CITATION { "citationItems" : [ { "id" : "ITEM-1", "itemData" : { "author" : [ { "dropping-particle" : "", "family" : "Muiya", "given" : "Bernard Munyao", "non-dropping-particle" : "", "parse-names" : false, "suffix" : "" }, { "dropping-particle" : "", "family" : "Kamau", "given" : "Anne", "non-dropping-particle" : "", "parse-names" : false, "suffix" : "" } ], "container-title" : "International Journal of Education and Research", "id" : "ITEM-1", "issue" : "11", "issued" : { "date-parts" : [ [ "2013" ] ] }, "page" : "1-10", "title" : "Universal health care in Kenya : Opportunities and challenges for the informal sector workers", "type" : "article-journal", "volume" : "1" }, "uris" : [ "http://www.mendeley.com/documents/?uuid=b9f21766-c894-405f-ab41-d5590d12e13d" ] } ], "mendeley" : { "previouslyFormattedCitation" : "(Muiya &amp; Kamau, 2013)" }, "properties" : { "noteIndex" : 0 }, "schema" : "https://github.com/citation-style-language/schema/raw/master/csl-citation.json" }</w:instrText>
      </w:r>
      <w:r>
        <w:fldChar w:fldCharType="separate"/>
      </w:r>
      <w:r w:rsidR="004F4010" w:rsidRPr="004F4010">
        <w:rPr>
          <w:noProof/>
        </w:rPr>
        <w:t>(</w:t>
      </w:r>
      <w:proofErr w:type="spellStart"/>
      <w:r w:rsidR="004F4010" w:rsidRPr="004F4010">
        <w:rPr>
          <w:noProof/>
        </w:rPr>
        <w:t>Muiya</w:t>
      </w:r>
      <w:proofErr w:type="spellEnd"/>
      <w:r w:rsidR="004F4010" w:rsidRPr="004F4010">
        <w:rPr>
          <w:noProof/>
        </w:rPr>
        <w:t xml:space="preserve"> &amp; Kamau, 2013)</w:t>
      </w:r>
      <w:r>
        <w:fldChar w:fldCharType="end"/>
      </w:r>
      <w:r w:rsidR="00CB501A">
        <w:t>.</w:t>
      </w:r>
      <w:r w:rsidR="00CA5D22">
        <w:t xml:space="preserve"> </w:t>
      </w:r>
      <w:r w:rsidR="001325F1">
        <w:t xml:space="preserve">Another </w:t>
      </w:r>
      <w:r w:rsidR="00D24331">
        <w:t xml:space="preserve">financing </w:t>
      </w:r>
      <w:r w:rsidR="001325F1">
        <w:t>model involves the creation of the</w:t>
      </w:r>
      <w:r w:rsidR="001325F1" w:rsidRPr="001325F1">
        <w:t xml:space="preserve"> Gende</w:t>
      </w:r>
      <w:r w:rsidR="001325F1">
        <w:t>r Violence Recovery Centre (GVRC</w:t>
      </w:r>
      <w:r w:rsidR="001325F1" w:rsidRPr="001325F1">
        <w:t>) is a non-​profit mak</w:t>
      </w:r>
      <w:r w:rsidR="001325F1" w:rsidRPr="001325F1">
        <w:softHyphen/>
        <w:t>ing, char</w:t>
      </w:r>
      <w:r w:rsidR="001325F1" w:rsidRPr="001325F1">
        <w:softHyphen/>
        <w:t>i</w:t>
      </w:r>
      <w:r w:rsidR="001325F1" w:rsidRPr="001325F1">
        <w:softHyphen/>
        <w:t>ta</w:t>
      </w:r>
      <w:r w:rsidR="001325F1" w:rsidRPr="001325F1">
        <w:softHyphen/>
        <w:t>ble trust of the Nairobi Women’s Hos</w:t>
      </w:r>
      <w:r w:rsidR="001325F1" w:rsidRPr="001325F1">
        <w:softHyphen/>
        <w:t>pi</w:t>
      </w:r>
      <w:r w:rsidR="001325F1" w:rsidRPr="001325F1">
        <w:softHyphen/>
        <w:t>ta</w:t>
      </w:r>
      <w:r w:rsidR="000221CD">
        <w:t xml:space="preserve">l a profit making </w:t>
      </w:r>
      <w:proofErr w:type="gramStart"/>
      <w:r w:rsidR="000221CD">
        <w:t>provider</w:t>
      </w:r>
      <w:r w:rsidR="00F868BE">
        <w:t>(</w:t>
      </w:r>
      <w:proofErr w:type="gramEnd"/>
      <w:r w:rsidR="00F868BE" w:rsidRPr="00F868BE">
        <w:t>http://www.gvrc.or.ke/</w:t>
      </w:r>
      <w:r w:rsidR="00F868BE">
        <w:t>)</w:t>
      </w:r>
      <w:r w:rsidR="000221CD">
        <w:t xml:space="preserve">. The trust raises funds for </w:t>
      </w:r>
      <w:r w:rsidR="007234D5">
        <w:t xml:space="preserve">prevention of gender based violence enabling those who cannot afford to access services. </w:t>
      </w:r>
      <w:r w:rsidR="004E29A7">
        <w:t xml:space="preserve">Such models have potential to improve access to care of specific population sub-groups by </w:t>
      </w:r>
      <w:r w:rsidR="004E29A7">
        <w:rPr>
          <w:lang w:val="en-GB"/>
        </w:rPr>
        <w:t>removing</w:t>
      </w:r>
      <w:r w:rsidR="004E29A7" w:rsidRPr="004E29A7">
        <w:rPr>
          <w:lang w:val="en-GB"/>
        </w:rPr>
        <w:t xml:space="preserve"> the payment barriers</w:t>
      </w:r>
      <w:r w:rsidR="008977DA">
        <w:rPr>
          <w:lang w:val="en-GB"/>
        </w:rPr>
        <w:t xml:space="preserve">, </w:t>
      </w:r>
      <w:r w:rsidR="008100EF">
        <w:rPr>
          <w:lang w:val="en-GB"/>
        </w:rPr>
        <w:t>(</w:t>
      </w:r>
      <w:r w:rsidR="008977DA">
        <w:rPr>
          <w:lang w:val="en-GB"/>
        </w:rPr>
        <w:t>KII1</w:t>
      </w:r>
      <w:r w:rsidR="008100EF">
        <w:rPr>
          <w:lang w:val="en-GB"/>
        </w:rPr>
        <w:t>)</w:t>
      </w:r>
      <w:r w:rsidR="004E29A7" w:rsidRPr="004E29A7">
        <w:rPr>
          <w:lang w:val="en-GB"/>
        </w:rPr>
        <w:t xml:space="preserve">. </w:t>
      </w:r>
    </w:p>
    <w:p w:rsidR="00792F33" w:rsidRPr="00CA5D22" w:rsidRDefault="0052171A" w:rsidP="00792F33">
      <w:proofErr w:type="gramStart"/>
      <w:r w:rsidRPr="009A6F69">
        <w:rPr>
          <w:lang w:val="en-GB"/>
        </w:rPr>
        <w:t>Overall ,</w:t>
      </w:r>
      <w:proofErr w:type="gramEnd"/>
      <w:r w:rsidRPr="009A6F69">
        <w:rPr>
          <w:lang w:val="en-GB"/>
        </w:rPr>
        <w:t xml:space="preserve"> the voucher program was successful in increasing skilled birth attendance, uptake of long-acting family planning methods, and reducing out-of-pocket expenditure (Kamau et al, 2012 ). </w:t>
      </w:r>
      <w:r w:rsidR="00792F33" w:rsidRPr="009A6F69">
        <w:rPr>
          <w:lang w:val="en-GB"/>
        </w:rPr>
        <w:t xml:space="preserve">There is a need to better evaluate the costs associated with running voucher programs is essential to understanding whether voucher programs generate cost efficiencies through increased competition, particularly by including the private health sector, and having fixed reimbursement prices that encourage providers to become more efficient. Despite some success of RH-OBA, the use of vouchers remains largely underused due to the complex nature of the accreditation process and because the implementation process requires close </w:t>
      </w:r>
      <w:r w:rsidR="00792F33" w:rsidRPr="009A6F69">
        <w:rPr>
          <w:lang w:val="en-GB"/>
        </w:rPr>
        <w:lastRenderedPageBreak/>
        <w:t>monitoring to prevent fraud because of the high volumes of small transfers that they make to a large number of individuals and groups,</w:t>
      </w:r>
      <w:r w:rsidR="001B3B9E" w:rsidRPr="009A6F69">
        <w:rPr>
          <w:lang w:val="en-GB"/>
        </w:rPr>
        <w:fldChar w:fldCharType="begin" w:fldLock="1"/>
      </w:r>
      <w:r w:rsidR="004F4010">
        <w:rPr>
          <w:lang w:val="en-GB"/>
        </w:rPr>
        <w:instrText>ADDIN CSL_CITATION { "citationItems" : [ { "id" : "ITEM-1", "itemData" : { "author" : [ { "dropping-particle" : "", "family" : "Ministry of State for Planning National Development and Vision 2030", "given" : "", "non-dropping-particle" : "", "parse-names" : false, "suffix" : "" } ], "id" : "ITEM-1", "issue" : "June", "issued" : { "date-parts" : [ [ "2012" ] ] }, "page" : "1-172", "publisher-place" : "Nairobi", "title" : "Kenya social protection sector review", "type" : "report" }, "uris" : [ "http://www.mendeley.com/documents/?uuid=d383fcc6-94b3-49d2-bf81-a13ea7b11a28" ] } ], "mendeley" : { "previouslyFormattedCitation" : "(Ministry of State for Planning National Development and Vision 2030, 2012)" }, "properties" : { "noteIndex" : 0 }, "schema" : "https://github.com/citation-style-language/schema/raw/master/csl-citation.json" }</w:instrText>
      </w:r>
      <w:r w:rsidR="001B3B9E" w:rsidRPr="009A6F69">
        <w:rPr>
          <w:lang w:val="en-GB"/>
        </w:rPr>
        <w:fldChar w:fldCharType="separate"/>
      </w:r>
      <w:r w:rsidR="00792F33" w:rsidRPr="009A6F69">
        <w:rPr>
          <w:noProof/>
          <w:lang w:val="en-GB"/>
        </w:rPr>
        <w:t>(Ministry of State for Planning National Development and Vision 2030, 2012)</w:t>
      </w:r>
      <w:r w:rsidR="001B3B9E" w:rsidRPr="009A6F69">
        <w:rPr>
          <w:lang w:val="en-GB"/>
        </w:rPr>
        <w:fldChar w:fldCharType="end"/>
      </w:r>
      <w:r w:rsidR="00792F33" w:rsidRPr="009A6F69">
        <w:rPr>
          <w:lang w:val="en-GB"/>
        </w:rPr>
        <w:t xml:space="preserve">. </w:t>
      </w:r>
    </w:p>
    <w:p w:rsidR="00715678" w:rsidRPr="009A6F69" w:rsidRDefault="00337847" w:rsidP="00B35723">
      <w:pPr>
        <w:rPr>
          <w:lang w:val="en-GB"/>
        </w:rPr>
      </w:pPr>
      <w:r w:rsidRPr="009A6F69">
        <w:rPr>
          <w:lang w:val="en-GB"/>
        </w:rPr>
        <w:t xml:space="preserve">The Health for All Kenyans through Innovations (HAKI) project is the pilot introduction of the </w:t>
      </w:r>
      <w:proofErr w:type="spellStart"/>
      <w:r w:rsidRPr="009A6F69">
        <w:rPr>
          <w:lang w:val="en-GB"/>
        </w:rPr>
        <w:t>GoK’s</w:t>
      </w:r>
      <w:proofErr w:type="spellEnd"/>
      <w:r w:rsidRPr="009A6F69">
        <w:rPr>
          <w:lang w:val="en-GB"/>
        </w:rPr>
        <w:t xml:space="preserve"> HCF Strategy. </w:t>
      </w:r>
      <w:proofErr w:type="gramStart"/>
      <w:r w:rsidR="007A0694" w:rsidRPr="009A6F69">
        <w:rPr>
          <w:lang w:val="en-GB"/>
        </w:rPr>
        <w:t xml:space="preserve">German Development Cooperation/GTZ and co-funded by DFID, KFW, USAID and WB and support by </w:t>
      </w:r>
      <w:proofErr w:type="spellStart"/>
      <w:r w:rsidR="007A0694" w:rsidRPr="009A6F69">
        <w:rPr>
          <w:lang w:val="en-GB"/>
        </w:rPr>
        <w:t>GoK</w:t>
      </w:r>
      <w:proofErr w:type="spellEnd"/>
      <w:r w:rsidR="007A0694" w:rsidRPr="009A6F69">
        <w:rPr>
          <w:lang w:val="en-GB"/>
        </w:rPr>
        <w:t>.</w:t>
      </w:r>
      <w:proofErr w:type="gramEnd"/>
      <w:r w:rsidR="007A0694" w:rsidRPr="009A6F69">
        <w:rPr>
          <w:lang w:val="en-GB"/>
        </w:rPr>
        <w:t xml:space="preserve"> </w:t>
      </w:r>
      <w:r w:rsidR="00792F33" w:rsidRPr="009A6F69">
        <w:rPr>
          <w:lang w:val="en-GB"/>
        </w:rPr>
        <w:t xml:space="preserve">It is piloting implementation of two approaches, social health insurance for the poor and removal of user fees. For removal of user fees, </w:t>
      </w:r>
      <w:proofErr w:type="spellStart"/>
      <w:r w:rsidR="00792F33" w:rsidRPr="009A6F69">
        <w:rPr>
          <w:lang w:val="en-GB"/>
        </w:rPr>
        <w:t>Isiolo</w:t>
      </w:r>
      <w:proofErr w:type="spellEnd"/>
      <w:r w:rsidR="00792F33" w:rsidRPr="009A6F69">
        <w:rPr>
          <w:lang w:val="en-GB"/>
        </w:rPr>
        <w:t xml:space="preserve"> is the intervention district while West </w:t>
      </w:r>
      <w:proofErr w:type="spellStart"/>
      <w:r w:rsidR="00792F33" w:rsidRPr="009A6F69">
        <w:rPr>
          <w:lang w:val="en-GB"/>
        </w:rPr>
        <w:t>Pokot</w:t>
      </w:r>
      <w:proofErr w:type="spellEnd"/>
      <w:r w:rsidR="00792F33" w:rsidRPr="009A6F69">
        <w:rPr>
          <w:lang w:val="en-GB"/>
        </w:rPr>
        <w:t xml:space="preserve"> is the control District. For the social health insurance for the poor, </w:t>
      </w:r>
      <w:proofErr w:type="spellStart"/>
      <w:r w:rsidR="00792F33" w:rsidRPr="009A6F69">
        <w:rPr>
          <w:lang w:val="en-GB"/>
        </w:rPr>
        <w:t>Kericho</w:t>
      </w:r>
      <w:proofErr w:type="spellEnd"/>
      <w:r w:rsidR="00792F33" w:rsidRPr="009A6F69">
        <w:rPr>
          <w:lang w:val="en-GB"/>
        </w:rPr>
        <w:t xml:space="preserve"> is the intervention district while </w:t>
      </w:r>
      <w:proofErr w:type="spellStart"/>
      <w:r w:rsidR="00792F33" w:rsidRPr="009A6F69">
        <w:rPr>
          <w:lang w:val="en-GB"/>
        </w:rPr>
        <w:t>Kisii</w:t>
      </w:r>
      <w:proofErr w:type="spellEnd"/>
      <w:r w:rsidR="00792F33" w:rsidRPr="009A6F69">
        <w:rPr>
          <w:lang w:val="en-GB"/>
        </w:rPr>
        <w:t xml:space="preserve"> is</w:t>
      </w:r>
      <w:r w:rsidR="008B28FD" w:rsidRPr="009A6F69">
        <w:rPr>
          <w:lang w:val="en-GB"/>
        </w:rPr>
        <w:t xml:space="preserve"> the control d</w:t>
      </w:r>
      <w:r w:rsidR="00792F33" w:rsidRPr="009A6F69">
        <w:rPr>
          <w:lang w:val="en-GB"/>
        </w:rPr>
        <w:t>istrict.</w:t>
      </w:r>
      <w:r w:rsidRPr="009A6F69">
        <w:rPr>
          <w:lang w:val="en-GB"/>
        </w:rPr>
        <w:t xml:space="preserve"> </w:t>
      </w:r>
      <w:r w:rsidR="00B0311C" w:rsidRPr="009A6F69">
        <w:rPr>
          <w:lang w:val="en-GB"/>
        </w:rPr>
        <w:t xml:space="preserve">The aim is to </w:t>
      </w:r>
      <w:r w:rsidR="00FE01E8" w:rsidRPr="009A6F69">
        <w:rPr>
          <w:lang w:val="en-GB"/>
        </w:rPr>
        <w:t>enrol</w:t>
      </w:r>
      <w:r w:rsidR="00B0311C" w:rsidRPr="009A6F69">
        <w:rPr>
          <w:lang w:val="en-GB"/>
        </w:rPr>
        <w:t xml:space="preserve"> 15,000 people from a selection of the poorest households and to contribute premiums on their behalf</w:t>
      </w:r>
      <w:proofErr w:type="gramStart"/>
      <w:r w:rsidR="00B0311C" w:rsidRPr="009A6F69">
        <w:rPr>
          <w:lang w:val="en-GB"/>
        </w:rPr>
        <w:t>;  the</w:t>
      </w:r>
      <w:proofErr w:type="gramEnd"/>
      <w:r w:rsidR="00B0311C" w:rsidRPr="009A6F69">
        <w:rPr>
          <w:lang w:val="en-GB"/>
        </w:rPr>
        <w:t xml:space="preserve"> benefit package is similar to that of NHIF. For the waiver m</w:t>
      </w:r>
      <w:r w:rsidRPr="009A6F69">
        <w:rPr>
          <w:lang w:val="en-GB"/>
        </w:rPr>
        <w:t>echanism</w:t>
      </w:r>
      <w:r w:rsidR="00B0311C" w:rsidRPr="009A6F69">
        <w:rPr>
          <w:lang w:val="en-GB"/>
        </w:rPr>
        <w:t xml:space="preserve"> pilot targets 90,000 people and the benefit package includes both inpatient and outpatient care </w:t>
      </w:r>
      <w:r w:rsidR="000D5BCE" w:rsidRPr="009A6F69">
        <w:rPr>
          <w:lang w:val="en-GB"/>
        </w:rPr>
        <w:t xml:space="preserve">for the selected poorest households, and pays out-of-pocket fees on their behalf. </w:t>
      </w:r>
      <w:r w:rsidR="00B0311C" w:rsidRPr="009A6F69">
        <w:rPr>
          <w:lang w:val="en-GB"/>
        </w:rPr>
        <w:t>(</w:t>
      </w:r>
      <w:proofErr w:type="spellStart"/>
      <w:r w:rsidR="00B0311C" w:rsidRPr="009A6F69">
        <w:rPr>
          <w:lang w:val="en-GB"/>
        </w:rPr>
        <w:t>Kimani</w:t>
      </w:r>
      <w:proofErr w:type="spellEnd"/>
      <w:r w:rsidR="00B0311C" w:rsidRPr="009A6F69">
        <w:rPr>
          <w:lang w:val="en-GB"/>
        </w:rPr>
        <w:t xml:space="preserve"> et al, 2012). </w:t>
      </w:r>
    </w:p>
    <w:p w:rsidR="00267399" w:rsidRPr="009A6F69" w:rsidRDefault="00C53E77" w:rsidP="00E67AD1">
      <w:pPr>
        <w:pStyle w:val="Heading2"/>
        <w:rPr>
          <w:lang w:val="en-GB"/>
        </w:rPr>
      </w:pPr>
      <w:bookmarkStart w:id="39" w:name="_Toc254256137"/>
      <w:r w:rsidRPr="009A6F69">
        <w:rPr>
          <w:lang w:val="en-GB"/>
        </w:rPr>
        <w:t>Limitations</w:t>
      </w:r>
      <w:bookmarkEnd w:id="39"/>
    </w:p>
    <w:p w:rsidR="00603991" w:rsidRPr="009A6F69" w:rsidRDefault="00C76751" w:rsidP="00FE58ED">
      <w:pPr>
        <w:rPr>
          <w:lang w:val="en-GB"/>
        </w:rPr>
      </w:pPr>
      <w:r w:rsidRPr="009A6F69">
        <w:rPr>
          <w:lang w:val="en-GB"/>
        </w:rPr>
        <w:t>In general, the Kenya’s health information system (HIS) currently is not sufficiently responsive or effective. The HIS is constrained by inadequate governance structures and implementation of policy and framework documents; shortages of skilled professionals at all levels of the health system; and fragmented, vertical strengthening interventions in the public sector and inadequate private sector reporting</w:t>
      </w:r>
      <w:r w:rsidR="007A186E" w:rsidRPr="009A6F69">
        <w:rPr>
          <w:lang w:val="en-GB"/>
        </w:rPr>
        <w:t>,</w:t>
      </w:r>
      <w:r w:rsidR="001B3B9E" w:rsidRPr="009A6F69">
        <w:rPr>
          <w:lang w:val="en-GB"/>
        </w:rPr>
        <w:fldChar w:fldCharType="begin" w:fldLock="1"/>
      </w:r>
      <w:r w:rsidR="004F4010">
        <w:rPr>
          <w:lang w:val="en-GB"/>
        </w:rPr>
        <w:instrText>ADDIN CSL_CITATION { "citationItems" : [ { "id" : "ITEM-1", "itemData" : { "author" : [ { "dropping-particle" : "", "family" : "Luoma", "given" : "Marc", "non-dropping-particle" : "", "parse-names" : false, "suffix" : "" }, { "dropping-particle" : "", "family" : "Doherty", "given" : "Julie", "non-dropping-particle" : "", "parse-names" : false, "suffix" : "" }, { "dropping-particle" : "", "family" : "Muchiri", "given" : "Steven", "non-dropping-particle" : "", "parse-names" : false, "suffix" : "" }, { "dropping-particle" : "", "family" : "Barasa", "given" : "Tiberius", "non-dropping-particle" : "", "parse-names" : false, "suffix" : "" }, { "dropping-particle" : "", "family" : "Hofler", "given" : "Kate", "non-dropping-particle" : "", "parse-names" : false, "suffix" : "" }, { "dropping-particle" : "", "family" : "Maniscalco", "given" : "Lisa", "non-dropping-particle" : "", "parse-names" : false, "suffix" : "" }, { "dropping-particle" : "", "family" : "Ouma", "given" : "Charles", "non-dropping-particle" : "", "parse-names" : false, "suffix" : "" }, { "dropping-particle" : "", "family" : "Kirika", "given" : "Rosalind", "non-dropping-particle" : "", "parse-names" : false, "suffix" : "" }, { "dropping-particle" : "", "family" : "Josephine", "given" : "Maundu", "non-dropping-particle" : "", "parse-names" : false, "suffix" : "" } ], "container-title" : "Communications", "id" : "ITEM-1", "issue" : "August", "issued" : { "date-parts" : [ [ "2010" ] ] }, "page" : "1-133", "publisher-place" : "Bethesda, MD", "title" : "KENYA HEALTH SYSTEM ASSESSMENT 2010", "type" : "report" }, "uris" : [ "http://www.mendeley.com/documents/?uuid=9485cf3f-7bad-4f5b-932d-bc6fd0bfe674" ] } ], "mendeley" : { "previouslyFormattedCitation" : "(Luoma et al., 2010)" }, "properties" : { "noteIndex" : 0 }, "schema" : "https://github.com/citation-style-language/schema/raw/master/csl-citation.json" }</w:instrText>
      </w:r>
      <w:r w:rsidR="001B3B9E" w:rsidRPr="009A6F69">
        <w:rPr>
          <w:lang w:val="en-GB"/>
        </w:rPr>
        <w:fldChar w:fldCharType="separate"/>
      </w:r>
      <w:r w:rsidR="0048697B" w:rsidRPr="009A6F69">
        <w:rPr>
          <w:noProof/>
          <w:lang w:val="en-GB"/>
        </w:rPr>
        <w:t>(</w:t>
      </w:r>
      <w:proofErr w:type="spellStart"/>
      <w:r w:rsidR="0048697B" w:rsidRPr="009A6F69">
        <w:rPr>
          <w:noProof/>
          <w:lang w:val="en-GB"/>
        </w:rPr>
        <w:t>Luoma</w:t>
      </w:r>
      <w:proofErr w:type="spellEnd"/>
      <w:r w:rsidR="0048697B" w:rsidRPr="009A6F69">
        <w:rPr>
          <w:noProof/>
          <w:lang w:val="en-GB"/>
        </w:rPr>
        <w:t xml:space="preserve"> et al., 2010)</w:t>
      </w:r>
      <w:r w:rsidR="001B3B9E" w:rsidRPr="009A6F69">
        <w:rPr>
          <w:lang w:val="en-GB"/>
        </w:rPr>
        <w:fldChar w:fldCharType="end"/>
      </w:r>
      <w:r w:rsidRPr="009A6F69">
        <w:rPr>
          <w:lang w:val="en-GB"/>
        </w:rPr>
        <w:t>.</w:t>
      </w:r>
      <w:r w:rsidR="00F01569" w:rsidRPr="009A6F69">
        <w:rPr>
          <w:lang w:val="en-GB"/>
        </w:rPr>
        <w:t xml:space="preserve"> In patient data for example at national level is incomplete</w:t>
      </w:r>
      <w:r w:rsidR="00575CFC" w:rsidRPr="009A6F69">
        <w:rPr>
          <w:lang w:val="en-GB"/>
        </w:rPr>
        <w:t xml:space="preserve">. </w:t>
      </w:r>
    </w:p>
    <w:p w:rsidR="00E6026D" w:rsidRPr="009A6F69" w:rsidRDefault="00603991" w:rsidP="00E6026D">
      <w:pPr>
        <w:pStyle w:val="Heading1"/>
        <w:rPr>
          <w:lang w:val="en-GB"/>
        </w:rPr>
      </w:pPr>
      <w:bookmarkStart w:id="40" w:name="_Toc254256138"/>
      <w:r w:rsidRPr="009A6F69">
        <w:rPr>
          <w:lang w:val="en-GB"/>
        </w:rPr>
        <w:t>Conclusions</w:t>
      </w:r>
      <w:bookmarkEnd w:id="40"/>
      <w:r w:rsidRPr="009A6F69">
        <w:rPr>
          <w:lang w:val="en-GB"/>
        </w:rPr>
        <w:t xml:space="preserve"> </w:t>
      </w:r>
    </w:p>
    <w:p w:rsidR="00A31967" w:rsidRDefault="00B26915" w:rsidP="00FE58ED">
      <w:pPr>
        <w:rPr>
          <w:lang w:val="en-GB"/>
        </w:rPr>
      </w:pPr>
      <w:r w:rsidRPr="009A6F69">
        <w:rPr>
          <w:lang w:val="en-GB"/>
        </w:rPr>
        <w:t xml:space="preserve">The public health sector is the major provider of healthcare in the country at all levels of care. </w:t>
      </w:r>
      <w:r w:rsidR="00332CC1" w:rsidRPr="009A6F69">
        <w:rPr>
          <w:lang w:val="en-GB"/>
        </w:rPr>
        <w:t xml:space="preserve">At hospital level basic services are provided, however at dispensary level services are inadequate and of variable quality. </w:t>
      </w:r>
      <w:r w:rsidR="00811B7F" w:rsidRPr="009A6F69">
        <w:rPr>
          <w:lang w:val="en-GB"/>
        </w:rPr>
        <w:t xml:space="preserve">Mechanisms such as the HSSF have been shown to improve the quality and coverage of care at health centre and dispensary level. </w:t>
      </w:r>
      <w:r w:rsidR="007A5704" w:rsidRPr="009A6F69">
        <w:rPr>
          <w:lang w:val="en-GB"/>
        </w:rPr>
        <w:t xml:space="preserve">However geographical disparity in terms of numbers of health </w:t>
      </w:r>
      <w:r w:rsidR="007A5704" w:rsidRPr="009A6F69">
        <w:rPr>
          <w:lang w:val="en-GB"/>
        </w:rPr>
        <w:lastRenderedPageBreak/>
        <w:t xml:space="preserve">facilities is a stumbling block to achieving the required coverage in terms of population. </w:t>
      </w:r>
    </w:p>
    <w:p w:rsidR="00ED5A37" w:rsidRPr="009A6F69" w:rsidRDefault="00ED5A37" w:rsidP="00FE58ED">
      <w:pPr>
        <w:rPr>
          <w:lang w:val="en-GB"/>
        </w:rPr>
      </w:pPr>
      <w:r>
        <w:rPr>
          <w:lang w:val="en-GB"/>
        </w:rPr>
        <w:t xml:space="preserve">Devolution has major implications for service delivery. </w:t>
      </w:r>
      <w:r w:rsidR="003B75D9">
        <w:rPr>
          <w:lang w:val="en-GB"/>
        </w:rPr>
        <w:t xml:space="preserve">Amalgamation of provincial, former national function, local authority and district functions into a county structure is fraught with difficulties and dependent on all round political good will. Health care provision is </w:t>
      </w:r>
      <w:r w:rsidR="00C174ED">
        <w:rPr>
          <w:lang w:val="en-GB"/>
        </w:rPr>
        <w:t>human resource heavy and given the low levels of health financing there are limits to what county governments can do in terms of ‘quick wins’ to reduce inequitable service provision. Further the sector is heavily dependent on donor funding which limits the decision space.</w:t>
      </w:r>
    </w:p>
    <w:p w:rsidR="00B10119" w:rsidRDefault="00B060F0" w:rsidP="00BA0DF9">
      <w:pPr>
        <w:rPr>
          <w:lang w:val="en-GB"/>
        </w:rPr>
      </w:pPr>
      <w:r w:rsidRPr="009A6F69">
        <w:rPr>
          <w:lang w:val="en-GB"/>
        </w:rPr>
        <w:t xml:space="preserve">The public sector </w:t>
      </w:r>
      <w:r w:rsidR="00A31967" w:rsidRPr="009A6F69">
        <w:rPr>
          <w:lang w:val="en-GB"/>
        </w:rPr>
        <w:t>is augmented by private-not-for-</w:t>
      </w:r>
      <w:r w:rsidRPr="009A6F69">
        <w:rPr>
          <w:lang w:val="en-GB"/>
        </w:rPr>
        <w:t>profit and fo</w:t>
      </w:r>
      <w:r w:rsidR="00A31967" w:rsidRPr="009A6F69">
        <w:rPr>
          <w:lang w:val="en-GB"/>
        </w:rPr>
        <w:t>r-</w:t>
      </w:r>
      <w:r w:rsidRPr="009A6F69">
        <w:rPr>
          <w:lang w:val="en-GB"/>
        </w:rPr>
        <w:t xml:space="preserve">profit health facilities. </w:t>
      </w:r>
      <w:r w:rsidR="00A650BA" w:rsidRPr="009A6F69">
        <w:rPr>
          <w:lang w:val="en-GB"/>
        </w:rPr>
        <w:t xml:space="preserve">The latter does not offer, sufficiently, basic health services as </w:t>
      </w:r>
      <w:r w:rsidR="006831FB" w:rsidRPr="009A6F69">
        <w:rPr>
          <w:lang w:val="en-GB"/>
        </w:rPr>
        <w:t xml:space="preserve">defined </w:t>
      </w:r>
      <w:r w:rsidR="00A650BA" w:rsidRPr="009A6F69">
        <w:rPr>
          <w:lang w:val="en-GB"/>
        </w:rPr>
        <w:t xml:space="preserve">by KEPH. </w:t>
      </w:r>
      <w:r w:rsidR="008C7351" w:rsidRPr="009A6F69">
        <w:rPr>
          <w:lang w:val="en-GB"/>
        </w:rPr>
        <w:t>Further, the private sector is financed primarily by out of pocket expenditure and small fragmented private insurance</w:t>
      </w:r>
      <w:r w:rsidR="004A2D2D" w:rsidRPr="009A6F69">
        <w:rPr>
          <w:lang w:val="en-GB"/>
        </w:rPr>
        <w:t xml:space="preserve"> geared towards inpatient care catering to urban formal sector workers. </w:t>
      </w:r>
      <w:r w:rsidR="001A1731" w:rsidRPr="009A6F69">
        <w:rPr>
          <w:lang w:val="en-GB"/>
        </w:rPr>
        <w:t xml:space="preserve">Involving the private sector therefore requires strong well thought out public-private partnership policy </w:t>
      </w:r>
      <w:r w:rsidR="0083506B" w:rsidRPr="009A6F69">
        <w:rPr>
          <w:lang w:val="en-GB"/>
        </w:rPr>
        <w:t>to induce private healthcare to provide basic health services</w:t>
      </w:r>
      <w:r w:rsidR="00D0682A" w:rsidRPr="009A6F69">
        <w:rPr>
          <w:lang w:val="en-GB"/>
        </w:rPr>
        <w:t xml:space="preserve"> and financial protection</w:t>
      </w:r>
      <w:r w:rsidR="0083506B" w:rsidRPr="009A6F69">
        <w:rPr>
          <w:lang w:val="en-GB"/>
        </w:rPr>
        <w:t xml:space="preserve"> and strong oversight by ministry of health to ensure quality of care is improved.  </w:t>
      </w:r>
      <w:r w:rsidR="00B94E76" w:rsidRPr="009A6F69">
        <w:rPr>
          <w:lang w:val="en-GB"/>
        </w:rPr>
        <w:t xml:space="preserve">RH-OBA provides one example of how this can be achieved. </w:t>
      </w:r>
    </w:p>
    <w:p w:rsidR="00B10119" w:rsidRDefault="00B10119" w:rsidP="00BA0DF9">
      <w:pPr>
        <w:rPr>
          <w:lang w:val="en-GB"/>
        </w:rPr>
      </w:pPr>
    </w:p>
    <w:p w:rsidR="003964DF" w:rsidRDefault="003964DF">
      <w:pPr>
        <w:spacing w:after="0" w:line="240" w:lineRule="auto"/>
        <w:rPr>
          <w:rFonts w:asciiTheme="majorHAnsi" w:eastAsiaTheme="majorEastAsia" w:hAnsiTheme="majorHAnsi" w:cstheme="majorBidi"/>
          <w:b/>
          <w:bCs/>
          <w:sz w:val="28"/>
          <w:szCs w:val="28"/>
          <w:lang w:val="en-GB"/>
        </w:rPr>
      </w:pPr>
      <w:r>
        <w:rPr>
          <w:lang w:val="en-GB"/>
        </w:rPr>
        <w:br w:type="page"/>
      </w:r>
    </w:p>
    <w:p w:rsidR="000E4D00" w:rsidRDefault="00B10119" w:rsidP="000E4D00">
      <w:pPr>
        <w:pStyle w:val="Heading1"/>
        <w:rPr>
          <w:lang w:val="en-GB"/>
        </w:rPr>
      </w:pPr>
      <w:bookmarkStart w:id="41" w:name="_Toc254256139"/>
      <w:r>
        <w:rPr>
          <w:lang w:val="en-GB"/>
        </w:rPr>
        <w:lastRenderedPageBreak/>
        <w:t>Recommendations</w:t>
      </w:r>
      <w:bookmarkEnd w:id="41"/>
      <w:r>
        <w:rPr>
          <w:lang w:val="en-GB"/>
        </w:rPr>
        <w:t xml:space="preserve"> </w:t>
      </w:r>
    </w:p>
    <w:p w:rsidR="0098559E" w:rsidRDefault="009B0634" w:rsidP="00BA0DF9">
      <w:pPr>
        <w:rPr>
          <w:lang w:val="en-GB"/>
        </w:rPr>
      </w:pPr>
      <w:r>
        <w:rPr>
          <w:lang w:val="en-GB"/>
        </w:rPr>
        <w:t xml:space="preserve">An essential package for health needs to be one that is affordable, equitable can be provided by almost all the health providers both public and private and is easy for the patients to understand </w:t>
      </w:r>
      <w:r w:rsidR="002031E6">
        <w:rPr>
          <w:lang w:val="en-GB"/>
        </w:rPr>
        <w:t>and exercise their</w:t>
      </w:r>
      <w:r>
        <w:rPr>
          <w:lang w:val="en-GB"/>
        </w:rPr>
        <w:t xml:space="preserve"> entitlement. </w:t>
      </w:r>
      <w:r w:rsidR="00E07A78">
        <w:rPr>
          <w:lang w:val="en-GB"/>
        </w:rPr>
        <w:t xml:space="preserve">Based on the above analysis </w:t>
      </w:r>
      <w:r w:rsidR="0098559E">
        <w:rPr>
          <w:lang w:val="en-GB"/>
        </w:rPr>
        <w:t xml:space="preserve">three packages can be proposed. </w:t>
      </w:r>
    </w:p>
    <w:p w:rsidR="00E07A78" w:rsidRPr="0098559E" w:rsidRDefault="0098559E" w:rsidP="0098559E">
      <w:pPr>
        <w:pStyle w:val="ListParagraph"/>
        <w:numPr>
          <w:ilvl w:val="0"/>
          <w:numId w:val="14"/>
        </w:numPr>
        <w:rPr>
          <w:lang w:val="en-GB"/>
        </w:rPr>
      </w:pPr>
      <w:r w:rsidRPr="0098559E">
        <w:rPr>
          <w:lang w:val="en-GB"/>
        </w:rPr>
        <w:t xml:space="preserve">A </w:t>
      </w:r>
      <w:r w:rsidR="00E07A78" w:rsidRPr="0098559E">
        <w:rPr>
          <w:lang w:val="en-GB"/>
        </w:rPr>
        <w:t xml:space="preserve">proposed basic package </w:t>
      </w:r>
      <w:r w:rsidR="00A14B2E" w:rsidRPr="0098559E">
        <w:rPr>
          <w:lang w:val="en-GB"/>
        </w:rPr>
        <w:t xml:space="preserve">derived from the current KEPH </w:t>
      </w:r>
      <w:r w:rsidR="001769A4" w:rsidRPr="0098559E">
        <w:rPr>
          <w:lang w:val="en-GB"/>
        </w:rPr>
        <w:t>would be as outlined in</w:t>
      </w:r>
      <w:r w:rsidR="00E07A78" w:rsidRPr="0098559E">
        <w:rPr>
          <w:lang w:val="en-GB"/>
        </w:rPr>
        <w:t xml:space="preserve"> </w:t>
      </w:r>
      <w:r w:rsidR="001B3B9E" w:rsidRPr="0098559E">
        <w:rPr>
          <w:lang w:val="en-GB"/>
        </w:rPr>
        <w:fldChar w:fldCharType="begin"/>
      </w:r>
      <w:r w:rsidR="001769A4" w:rsidRPr="0098559E">
        <w:rPr>
          <w:lang w:val="en-GB"/>
        </w:rPr>
        <w:instrText xml:space="preserve"> REF _Ref254253147 \h </w:instrText>
      </w:r>
      <w:r w:rsidR="001B3B9E" w:rsidRPr="0098559E">
        <w:rPr>
          <w:lang w:val="en-GB"/>
        </w:rPr>
      </w:r>
      <w:r w:rsidR="001B3B9E" w:rsidRPr="0098559E">
        <w:rPr>
          <w:lang w:val="en-GB"/>
        </w:rPr>
        <w:fldChar w:fldCharType="separate"/>
      </w:r>
      <w:r w:rsidR="001769A4">
        <w:t xml:space="preserve">Table </w:t>
      </w:r>
      <w:r w:rsidR="001769A4">
        <w:rPr>
          <w:noProof/>
        </w:rPr>
        <w:t>15</w:t>
      </w:r>
      <w:r w:rsidR="001B3B9E" w:rsidRPr="0098559E">
        <w:rPr>
          <w:lang w:val="en-GB"/>
        </w:rPr>
        <w:fldChar w:fldCharType="end"/>
      </w:r>
      <w:r w:rsidR="001769A4" w:rsidRPr="0098559E">
        <w:rPr>
          <w:lang w:val="en-GB"/>
        </w:rPr>
        <w:t xml:space="preserve"> </w:t>
      </w:r>
      <w:r w:rsidR="00E07A78" w:rsidRPr="0098559E">
        <w:rPr>
          <w:lang w:val="en-GB"/>
        </w:rPr>
        <w:t>below.</w:t>
      </w:r>
      <w:r w:rsidR="008603B4" w:rsidRPr="0098559E">
        <w:rPr>
          <w:lang w:val="en-GB"/>
        </w:rPr>
        <w:t xml:space="preserve"> </w:t>
      </w:r>
    </w:p>
    <w:p w:rsidR="00A14B2E" w:rsidRDefault="00A14B2E" w:rsidP="00A14B2E">
      <w:pPr>
        <w:pStyle w:val="Caption"/>
        <w:keepNext/>
      </w:pPr>
      <w:bookmarkStart w:id="42" w:name="_Ref254253147"/>
      <w:r>
        <w:t xml:space="preserve">Table </w:t>
      </w:r>
      <w:r w:rsidR="001B3B9E">
        <w:fldChar w:fldCharType="begin"/>
      </w:r>
      <w:r>
        <w:instrText xml:space="preserve"> SEQ Table \* ARABIC </w:instrText>
      </w:r>
      <w:r w:rsidR="001B3B9E">
        <w:fldChar w:fldCharType="separate"/>
      </w:r>
      <w:r w:rsidR="00564A16">
        <w:rPr>
          <w:noProof/>
        </w:rPr>
        <w:t>15</w:t>
      </w:r>
      <w:r w:rsidR="001B3B9E">
        <w:fldChar w:fldCharType="end"/>
      </w:r>
      <w:bookmarkEnd w:id="42"/>
      <w:r>
        <w:t>: Basic Essential Package</w:t>
      </w:r>
      <w:r w:rsidR="000457D5">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0"/>
        <w:gridCol w:w="1050"/>
        <w:gridCol w:w="2283"/>
        <w:gridCol w:w="2283"/>
      </w:tblGrid>
      <w:tr w:rsidR="004F2D1F" w:rsidRPr="00397E25" w:rsidTr="004F2D1F">
        <w:trPr>
          <w:trHeight w:val="195"/>
          <w:tblHeader/>
        </w:trPr>
        <w:tc>
          <w:tcPr>
            <w:tcW w:w="1829" w:type="pct"/>
            <w:shd w:val="clear" w:color="000000" w:fill="FFFFFF"/>
            <w:vAlign w:val="center"/>
          </w:tcPr>
          <w:p w:rsidR="004F2D1F" w:rsidRPr="00397E25" w:rsidRDefault="004F2D1F" w:rsidP="003964DF">
            <w:pPr>
              <w:spacing w:after="0" w:line="240" w:lineRule="auto"/>
              <w:rPr>
                <w:rFonts w:ascii="Times New Roman" w:hAnsi="Times New Roman" w:cs="Times New Roman"/>
                <w:b/>
                <w:bCs/>
                <w:sz w:val="20"/>
                <w:szCs w:val="20"/>
                <w:lang w:val="en-GB"/>
              </w:rPr>
            </w:pPr>
            <w:r w:rsidRPr="00397E25">
              <w:rPr>
                <w:rFonts w:ascii="Times New Roman" w:hAnsi="Times New Roman" w:cs="Times New Roman"/>
                <w:b/>
                <w:bCs/>
                <w:sz w:val="20"/>
                <w:szCs w:val="20"/>
                <w:lang w:val="en-GB"/>
              </w:rPr>
              <w:t>Service area</w:t>
            </w:r>
          </w:p>
        </w:tc>
        <w:tc>
          <w:tcPr>
            <w:tcW w:w="593" w:type="pct"/>
            <w:shd w:val="clear" w:color="000000" w:fill="FFFFFF"/>
            <w:vAlign w:val="center"/>
            <w:hideMark/>
          </w:tcPr>
          <w:p w:rsidR="004F2D1F" w:rsidRPr="00397E25" w:rsidRDefault="004F2D1F" w:rsidP="003964DF">
            <w:pPr>
              <w:spacing w:after="0" w:line="240" w:lineRule="auto"/>
              <w:rPr>
                <w:rFonts w:ascii="Times New Roman" w:hAnsi="Times New Roman" w:cs="Times New Roman"/>
                <w:i/>
                <w:iCs/>
                <w:sz w:val="20"/>
                <w:szCs w:val="20"/>
                <w:lang w:val="en-GB"/>
              </w:rPr>
            </w:pPr>
            <w:r w:rsidRPr="00397E25">
              <w:rPr>
                <w:rFonts w:ascii="Times New Roman" w:hAnsi="Times New Roman" w:cs="Times New Roman"/>
                <w:i/>
                <w:iCs/>
                <w:sz w:val="20"/>
                <w:szCs w:val="20"/>
                <w:lang w:val="en-GB"/>
              </w:rPr>
              <w:t>Minimum Tier</w:t>
            </w:r>
          </w:p>
        </w:tc>
        <w:tc>
          <w:tcPr>
            <w:tcW w:w="1289" w:type="pct"/>
            <w:shd w:val="clear" w:color="000000" w:fill="FFFFFF"/>
            <w:vAlign w:val="center"/>
            <w:hideMark/>
          </w:tcPr>
          <w:p w:rsidR="004F2D1F" w:rsidRPr="00397E25" w:rsidRDefault="004F2D1F" w:rsidP="003964DF">
            <w:pPr>
              <w:spacing w:after="0" w:line="240" w:lineRule="auto"/>
              <w:rPr>
                <w:rFonts w:ascii="Times New Roman" w:hAnsi="Times New Roman" w:cs="Times New Roman"/>
                <w:i/>
                <w:iCs/>
                <w:sz w:val="20"/>
                <w:szCs w:val="20"/>
                <w:lang w:val="en-GB"/>
              </w:rPr>
            </w:pPr>
            <w:r w:rsidRPr="00397E25">
              <w:rPr>
                <w:rFonts w:ascii="Times New Roman" w:hAnsi="Times New Roman" w:cs="Times New Roman"/>
                <w:i/>
                <w:iCs/>
                <w:sz w:val="20"/>
                <w:szCs w:val="20"/>
                <w:lang w:val="en-GB"/>
              </w:rPr>
              <w:t>Cohort</w:t>
            </w:r>
          </w:p>
        </w:tc>
        <w:tc>
          <w:tcPr>
            <w:tcW w:w="1289" w:type="pct"/>
            <w:shd w:val="clear" w:color="000000" w:fill="FFFFFF"/>
          </w:tcPr>
          <w:p w:rsidR="004F2D1F" w:rsidRDefault="004F2D1F" w:rsidP="003964DF">
            <w:pPr>
              <w:spacing w:after="0" w:line="240" w:lineRule="auto"/>
              <w:rPr>
                <w:rFonts w:ascii="Times New Roman" w:hAnsi="Times New Roman" w:cs="Times New Roman"/>
                <w:i/>
                <w:iCs/>
                <w:sz w:val="20"/>
                <w:szCs w:val="20"/>
                <w:lang w:val="en-GB"/>
              </w:rPr>
            </w:pPr>
            <w:r>
              <w:rPr>
                <w:rFonts w:ascii="Times New Roman" w:hAnsi="Times New Roman" w:cs="Times New Roman"/>
                <w:i/>
                <w:iCs/>
                <w:sz w:val="20"/>
                <w:szCs w:val="20"/>
                <w:lang w:val="en-GB"/>
              </w:rPr>
              <w:t>Current level of coverage</w:t>
            </w:r>
          </w:p>
          <w:p w:rsidR="00A850CB" w:rsidRPr="00397E25" w:rsidRDefault="00A850CB" w:rsidP="003964DF">
            <w:pPr>
              <w:spacing w:after="0" w:line="240" w:lineRule="auto"/>
              <w:rPr>
                <w:rFonts w:ascii="Times New Roman" w:hAnsi="Times New Roman" w:cs="Times New Roman"/>
                <w:i/>
                <w:iCs/>
                <w:sz w:val="20"/>
                <w:szCs w:val="20"/>
                <w:lang w:val="en-GB"/>
              </w:rPr>
            </w:pPr>
            <w:r>
              <w:rPr>
                <w:rFonts w:ascii="Times New Roman" w:hAnsi="Times New Roman" w:cs="Times New Roman"/>
                <w:i/>
                <w:iCs/>
                <w:sz w:val="20"/>
                <w:szCs w:val="20"/>
                <w:lang w:val="en-GB"/>
              </w:rPr>
              <w:t>(high, low)</w:t>
            </w:r>
          </w:p>
        </w:tc>
      </w:tr>
      <w:tr w:rsidR="004F2D1F" w:rsidRPr="00397E25" w:rsidTr="004F2D1F">
        <w:trPr>
          <w:trHeight w:val="195"/>
        </w:trPr>
        <w:tc>
          <w:tcPr>
            <w:tcW w:w="3711" w:type="pct"/>
            <w:gridSpan w:val="3"/>
            <w:vAlign w:val="center"/>
          </w:tcPr>
          <w:p w:rsidR="004F2D1F" w:rsidRPr="00397E25" w:rsidRDefault="004F2D1F" w:rsidP="003964DF">
            <w:pPr>
              <w:spacing w:after="0" w:line="240" w:lineRule="auto"/>
              <w:rPr>
                <w:rFonts w:ascii="Times New Roman" w:hAnsi="Times New Roman" w:cs="Times New Roman"/>
                <w:i/>
                <w:iCs/>
                <w:sz w:val="20"/>
                <w:szCs w:val="20"/>
                <w:lang w:val="en-GB"/>
              </w:rPr>
            </w:pPr>
            <w:r w:rsidRPr="00635A0D">
              <w:rPr>
                <w:rFonts w:ascii="Times New Roman" w:hAnsi="Times New Roman" w:cs="Times New Roman"/>
                <w:b/>
                <w:bCs/>
                <w:sz w:val="20"/>
                <w:szCs w:val="20"/>
                <w:lang w:val="en-GB"/>
              </w:rPr>
              <w:t>POLICY OBJECTIVE 1</w:t>
            </w:r>
            <w:r>
              <w:rPr>
                <w:rFonts w:ascii="Times New Roman" w:hAnsi="Times New Roman" w:cs="Times New Roman"/>
                <w:b/>
                <w:bCs/>
                <w:sz w:val="20"/>
                <w:szCs w:val="20"/>
                <w:lang w:val="en-GB"/>
              </w:rPr>
              <w:t xml:space="preserve">: </w:t>
            </w:r>
            <w:r>
              <w:rPr>
                <w:rFonts w:ascii="Times New Roman" w:hAnsi="Times New Roman" w:cs="Times New Roman"/>
                <w:b/>
                <w:bCs/>
                <w:sz w:val="20"/>
                <w:szCs w:val="20"/>
              </w:rPr>
              <w:t>To eliminate c</w:t>
            </w:r>
            <w:r w:rsidRPr="000E4833">
              <w:rPr>
                <w:rFonts w:ascii="Times New Roman" w:hAnsi="Times New Roman" w:cs="Times New Roman"/>
                <w:b/>
                <w:bCs/>
                <w:sz w:val="20"/>
                <w:szCs w:val="20"/>
              </w:rPr>
              <w:t>ommunicable conditions</w:t>
            </w:r>
          </w:p>
        </w:tc>
        <w:tc>
          <w:tcPr>
            <w:tcW w:w="1289" w:type="pct"/>
          </w:tcPr>
          <w:p w:rsidR="004F2D1F" w:rsidRPr="00635A0D" w:rsidRDefault="004F2D1F" w:rsidP="003964DF">
            <w:pPr>
              <w:spacing w:after="0" w:line="240" w:lineRule="auto"/>
              <w:rPr>
                <w:rFonts w:ascii="Times New Roman" w:hAnsi="Times New Roman" w:cs="Times New Roman"/>
                <w:b/>
                <w:bCs/>
                <w:sz w:val="20"/>
                <w:szCs w:val="20"/>
                <w:lang w:val="en-GB"/>
              </w:rPr>
            </w:pPr>
          </w:p>
        </w:tc>
      </w:tr>
      <w:tr w:rsidR="004F2D1F" w:rsidRPr="00397E25" w:rsidTr="004F2D1F">
        <w:trPr>
          <w:trHeight w:val="20"/>
        </w:trPr>
        <w:tc>
          <w:tcPr>
            <w:tcW w:w="1829" w:type="pct"/>
            <w:shd w:val="clear" w:color="000000" w:fill="FFFFFF"/>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Immunization</w:t>
            </w:r>
          </w:p>
        </w:tc>
        <w:tc>
          <w:tcPr>
            <w:tcW w:w="593"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2</w:t>
            </w:r>
          </w:p>
        </w:tc>
        <w:tc>
          <w:tcPr>
            <w:tcW w:w="1289"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1</w:t>
            </w:r>
          </w:p>
        </w:tc>
        <w:tc>
          <w:tcPr>
            <w:tcW w:w="1289" w:type="pct"/>
            <w:shd w:val="clear" w:color="000000" w:fill="FFFFFF"/>
          </w:tcPr>
          <w:p w:rsidR="004F2D1F" w:rsidRPr="00397E25" w:rsidRDefault="00A850CB"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High</w:t>
            </w:r>
          </w:p>
        </w:tc>
      </w:tr>
      <w:tr w:rsidR="004F2D1F" w:rsidRPr="00397E25" w:rsidTr="004F2D1F">
        <w:trPr>
          <w:trHeight w:val="20"/>
        </w:trPr>
        <w:tc>
          <w:tcPr>
            <w:tcW w:w="1829" w:type="pct"/>
            <w:shd w:val="clear" w:color="000000" w:fill="FFFFFF"/>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Screening for communicable conditions</w:t>
            </w:r>
          </w:p>
        </w:tc>
        <w:tc>
          <w:tcPr>
            <w:tcW w:w="593"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2</w:t>
            </w:r>
          </w:p>
        </w:tc>
        <w:tc>
          <w:tcPr>
            <w:tcW w:w="1289"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All</w:t>
            </w:r>
          </w:p>
        </w:tc>
        <w:tc>
          <w:tcPr>
            <w:tcW w:w="1289" w:type="pct"/>
            <w:shd w:val="clear" w:color="000000" w:fill="FFFFFF"/>
          </w:tcPr>
          <w:p w:rsidR="004F2D1F" w:rsidRPr="00397E25" w:rsidRDefault="00A850CB"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High</w:t>
            </w:r>
          </w:p>
        </w:tc>
      </w:tr>
      <w:tr w:rsidR="004F2D1F" w:rsidRPr="00397E25" w:rsidTr="004F2D1F">
        <w:trPr>
          <w:trHeight w:val="20"/>
        </w:trPr>
        <w:tc>
          <w:tcPr>
            <w:tcW w:w="1829" w:type="pct"/>
            <w:shd w:val="clear" w:color="000000" w:fill="FFFFFF"/>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Antenatal and post natal Care</w:t>
            </w:r>
          </w:p>
        </w:tc>
        <w:tc>
          <w:tcPr>
            <w:tcW w:w="593"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2</w:t>
            </w:r>
          </w:p>
        </w:tc>
        <w:tc>
          <w:tcPr>
            <w:tcW w:w="1289"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1</w:t>
            </w:r>
          </w:p>
        </w:tc>
        <w:tc>
          <w:tcPr>
            <w:tcW w:w="1289" w:type="pct"/>
            <w:shd w:val="clear" w:color="000000" w:fill="FFFFFF"/>
          </w:tcPr>
          <w:p w:rsidR="004F2D1F" w:rsidRPr="00397E25" w:rsidRDefault="00A850CB"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High</w:t>
            </w:r>
          </w:p>
        </w:tc>
      </w:tr>
      <w:tr w:rsidR="004F2D1F" w:rsidRPr="00397E25" w:rsidTr="004F2D1F">
        <w:trPr>
          <w:trHeight w:val="20"/>
        </w:trPr>
        <w:tc>
          <w:tcPr>
            <w:tcW w:w="1829" w:type="pct"/>
            <w:shd w:val="clear" w:color="000000" w:fill="FFFFFF"/>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Integrated MCH / Family Planning services</w:t>
            </w:r>
          </w:p>
        </w:tc>
        <w:tc>
          <w:tcPr>
            <w:tcW w:w="593"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2</w:t>
            </w:r>
          </w:p>
        </w:tc>
        <w:tc>
          <w:tcPr>
            <w:tcW w:w="1289"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1</w:t>
            </w:r>
          </w:p>
        </w:tc>
        <w:tc>
          <w:tcPr>
            <w:tcW w:w="1289" w:type="pct"/>
            <w:shd w:val="clear" w:color="000000" w:fill="FFFFFF"/>
          </w:tcPr>
          <w:p w:rsidR="004F2D1F" w:rsidRPr="00397E25" w:rsidRDefault="00895633"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High </w:t>
            </w:r>
          </w:p>
        </w:tc>
      </w:tr>
      <w:tr w:rsidR="004F2D1F" w:rsidRPr="00397E25" w:rsidTr="004F2D1F">
        <w:trPr>
          <w:trHeight w:val="20"/>
        </w:trPr>
        <w:tc>
          <w:tcPr>
            <w:tcW w:w="1829" w:type="pct"/>
            <w:shd w:val="clear" w:color="000000" w:fill="FFFFFF"/>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 xml:space="preserve">Maternity delivery </w:t>
            </w:r>
          </w:p>
        </w:tc>
        <w:tc>
          <w:tcPr>
            <w:tcW w:w="593"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2</w:t>
            </w:r>
          </w:p>
        </w:tc>
        <w:tc>
          <w:tcPr>
            <w:tcW w:w="1289"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1</w:t>
            </w:r>
          </w:p>
        </w:tc>
        <w:tc>
          <w:tcPr>
            <w:tcW w:w="1289" w:type="pct"/>
            <w:shd w:val="clear" w:color="000000" w:fill="FFFFFF"/>
          </w:tcPr>
          <w:p w:rsidR="004F2D1F" w:rsidRPr="00397E25" w:rsidRDefault="00A850CB"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Low</w:t>
            </w:r>
          </w:p>
        </w:tc>
      </w:tr>
      <w:tr w:rsidR="004F2D1F" w:rsidRPr="00397E25" w:rsidTr="004F2D1F">
        <w:trPr>
          <w:trHeight w:val="20"/>
        </w:trPr>
        <w:tc>
          <w:tcPr>
            <w:tcW w:w="1829" w:type="pct"/>
            <w:shd w:val="clear" w:color="000000" w:fill="FFFFFF"/>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Prevention of Mother to Child HIV Transmission</w:t>
            </w:r>
          </w:p>
        </w:tc>
        <w:tc>
          <w:tcPr>
            <w:tcW w:w="593"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2</w:t>
            </w:r>
          </w:p>
        </w:tc>
        <w:tc>
          <w:tcPr>
            <w:tcW w:w="1289"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1</w:t>
            </w:r>
          </w:p>
        </w:tc>
        <w:tc>
          <w:tcPr>
            <w:tcW w:w="1289" w:type="pct"/>
            <w:shd w:val="clear" w:color="000000" w:fill="FFFFFF"/>
          </w:tcPr>
          <w:p w:rsidR="004F2D1F" w:rsidRPr="00397E25" w:rsidRDefault="00895633"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High </w:t>
            </w:r>
            <w:bookmarkStart w:id="43" w:name="_GoBack"/>
            <w:bookmarkEnd w:id="43"/>
          </w:p>
        </w:tc>
      </w:tr>
      <w:tr w:rsidR="004F2D1F" w:rsidRPr="00397E25" w:rsidTr="004F2D1F">
        <w:trPr>
          <w:trHeight w:val="20"/>
        </w:trPr>
        <w:tc>
          <w:tcPr>
            <w:tcW w:w="1829" w:type="pct"/>
            <w:shd w:val="clear" w:color="000000" w:fill="FFFFFF"/>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HIV and STI prevention</w:t>
            </w:r>
          </w:p>
        </w:tc>
        <w:tc>
          <w:tcPr>
            <w:tcW w:w="593"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2</w:t>
            </w:r>
          </w:p>
        </w:tc>
        <w:tc>
          <w:tcPr>
            <w:tcW w:w="1289" w:type="pct"/>
            <w:shd w:val="clear" w:color="000000" w:fill="FFFFFF"/>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3,4,5</w:t>
            </w:r>
          </w:p>
        </w:tc>
        <w:tc>
          <w:tcPr>
            <w:tcW w:w="1289" w:type="pct"/>
            <w:shd w:val="clear" w:color="000000" w:fill="FFFFFF"/>
          </w:tcPr>
          <w:p w:rsidR="004F2D1F" w:rsidRPr="00397E25" w:rsidRDefault="00895633"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High </w:t>
            </w:r>
          </w:p>
        </w:tc>
      </w:tr>
      <w:tr w:rsidR="004F2D1F" w:rsidRPr="00397E25" w:rsidTr="004F2D1F">
        <w:trPr>
          <w:trHeight w:val="20"/>
        </w:trPr>
        <w:tc>
          <w:tcPr>
            <w:tcW w:w="3711" w:type="pct"/>
            <w:gridSpan w:val="3"/>
            <w:shd w:val="clear" w:color="000000" w:fill="FFFFFF"/>
          </w:tcPr>
          <w:p w:rsidR="004F2D1F" w:rsidRPr="00397E25" w:rsidRDefault="004F2D1F" w:rsidP="003964DF">
            <w:pPr>
              <w:spacing w:after="0" w:line="240" w:lineRule="auto"/>
              <w:rPr>
                <w:rFonts w:ascii="Times New Roman" w:hAnsi="Times New Roman" w:cs="Times New Roman"/>
                <w:b/>
                <w:sz w:val="20"/>
                <w:szCs w:val="20"/>
                <w:lang w:val="en-GB"/>
              </w:rPr>
            </w:pPr>
            <w:r w:rsidRPr="00635A0D">
              <w:rPr>
                <w:rFonts w:ascii="Times New Roman" w:hAnsi="Times New Roman" w:cs="Times New Roman"/>
                <w:b/>
                <w:sz w:val="20"/>
                <w:szCs w:val="20"/>
                <w:lang w:val="en-GB"/>
              </w:rPr>
              <w:t>POLICY OBJECTIVE 2</w:t>
            </w:r>
            <w:r>
              <w:rPr>
                <w:rFonts w:ascii="Times New Roman" w:hAnsi="Times New Roman" w:cs="Times New Roman"/>
                <w:b/>
                <w:sz w:val="20"/>
                <w:szCs w:val="20"/>
                <w:lang w:val="en-GB"/>
              </w:rPr>
              <w:t>:</w:t>
            </w:r>
            <w:r w:rsidRPr="00F51E87">
              <w:rPr>
                <w:rFonts w:ascii="Times New Roman" w:eastAsiaTheme="minorHAnsi" w:hAnsi="Times New Roman" w:cs="Times New Roman"/>
                <w:color w:val="000000" w:themeColor="text1"/>
                <w:szCs w:val="20"/>
              </w:rPr>
              <w:t xml:space="preserve"> </w:t>
            </w:r>
            <w:r w:rsidRPr="00F51E87">
              <w:rPr>
                <w:rFonts w:ascii="Times New Roman" w:hAnsi="Times New Roman" w:cs="Times New Roman"/>
                <w:b/>
                <w:sz w:val="20"/>
                <w:szCs w:val="20"/>
              </w:rPr>
              <w:t>To halt and reverse the rising burden of Non Communicable Conditions</w:t>
            </w:r>
          </w:p>
        </w:tc>
        <w:tc>
          <w:tcPr>
            <w:tcW w:w="1289" w:type="pct"/>
            <w:shd w:val="clear" w:color="000000" w:fill="FFFFFF"/>
          </w:tcPr>
          <w:p w:rsidR="004F2D1F" w:rsidRPr="00635A0D" w:rsidRDefault="004F2D1F" w:rsidP="003964DF">
            <w:pPr>
              <w:spacing w:after="0" w:line="240" w:lineRule="auto"/>
              <w:rPr>
                <w:rFonts w:ascii="Times New Roman" w:hAnsi="Times New Roman" w:cs="Times New Roman"/>
                <w:b/>
                <w:sz w:val="20"/>
                <w:szCs w:val="20"/>
                <w:lang w:val="en-GB"/>
              </w:rPr>
            </w:pPr>
          </w:p>
        </w:tc>
      </w:tr>
      <w:tr w:rsidR="004F2D1F" w:rsidRPr="00397E25" w:rsidTr="004F2D1F">
        <w:trPr>
          <w:trHeight w:val="20"/>
        </w:trPr>
        <w:tc>
          <w:tcPr>
            <w:tcW w:w="1829" w:type="pct"/>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Institutional Screening for NCD’s</w:t>
            </w:r>
          </w:p>
        </w:tc>
        <w:tc>
          <w:tcPr>
            <w:tcW w:w="593"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3</w:t>
            </w:r>
          </w:p>
        </w:tc>
        <w:tc>
          <w:tcPr>
            <w:tcW w:w="1289"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4,5</w:t>
            </w:r>
          </w:p>
        </w:tc>
        <w:tc>
          <w:tcPr>
            <w:tcW w:w="1289" w:type="pct"/>
          </w:tcPr>
          <w:p w:rsidR="004F2D1F" w:rsidRPr="00397E25" w:rsidRDefault="00D578AE"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Low </w:t>
            </w:r>
          </w:p>
        </w:tc>
      </w:tr>
      <w:tr w:rsidR="004F2D1F" w:rsidRPr="00397E25" w:rsidTr="004F2D1F">
        <w:trPr>
          <w:trHeight w:val="20"/>
        </w:trPr>
        <w:tc>
          <w:tcPr>
            <w:tcW w:w="1829" w:type="pct"/>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Workplace health and safety</w:t>
            </w:r>
          </w:p>
        </w:tc>
        <w:tc>
          <w:tcPr>
            <w:tcW w:w="593"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1</w:t>
            </w:r>
          </w:p>
        </w:tc>
        <w:tc>
          <w:tcPr>
            <w:tcW w:w="1289"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4,5</w:t>
            </w:r>
          </w:p>
        </w:tc>
        <w:tc>
          <w:tcPr>
            <w:tcW w:w="1289" w:type="pct"/>
          </w:tcPr>
          <w:p w:rsidR="004F2D1F" w:rsidRPr="00397E25" w:rsidRDefault="00D578AE"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Low </w:t>
            </w:r>
          </w:p>
        </w:tc>
      </w:tr>
      <w:tr w:rsidR="004F2D1F" w:rsidRPr="00397E25" w:rsidTr="004F2D1F">
        <w:trPr>
          <w:trHeight w:val="20"/>
        </w:trPr>
        <w:tc>
          <w:tcPr>
            <w:tcW w:w="3711" w:type="pct"/>
            <w:gridSpan w:val="3"/>
          </w:tcPr>
          <w:p w:rsidR="004F2D1F" w:rsidRPr="00397E25" w:rsidRDefault="004F2D1F" w:rsidP="003964DF">
            <w:pPr>
              <w:spacing w:after="0" w:line="240" w:lineRule="auto"/>
              <w:rPr>
                <w:rFonts w:ascii="Times New Roman" w:hAnsi="Times New Roman" w:cs="Times New Roman"/>
                <w:b/>
                <w:sz w:val="20"/>
                <w:szCs w:val="20"/>
                <w:lang w:val="en-GB"/>
              </w:rPr>
            </w:pPr>
            <w:r w:rsidRPr="00635A0D">
              <w:rPr>
                <w:rFonts w:ascii="Times New Roman" w:hAnsi="Times New Roman" w:cs="Times New Roman"/>
                <w:b/>
                <w:sz w:val="20"/>
                <w:szCs w:val="20"/>
                <w:lang w:val="en-GB"/>
              </w:rPr>
              <w:t>POLICY OBJECTIVE 3</w:t>
            </w:r>
            <w:r>
              <w:rPr>
                <w:rFonts w:ascii="Times New Roman" w:hAnsi="Times New Roman" w:cs="Times New Roman"/>
                <w:b/>
                <w:sz w:val="20"/>
                <w:szCs w:val="20"/>
                <w:lang w:val="en-GB"/>
              </w:rPr>
              <w:t xml:space="preserve">: </w:t>
            </w:r>
            <w:r w:rsidRPr="00264E42">
              <w:rPr>
                <w:rFonts w:ascii="Times New Roman" w:hAnsi="Times New Roman" w:cs="Times New Roman"/>
                <w:b/>
                <w:sz w:val="20"/>
                <w:szCs w:val="20"/>
              </w:rPr>
              <w:t>To reduce the burden of violence and injuries</w:t>
            </w:r>
          </w:p>
        </w:tc>
        <w:tc>
          <w:tcPr>
            <w:tcW w:w="1289" w:type="pct"/>
          </w:tcPr>
          <w:p w:rsidR="004F2D1F" w:rsidRPr="00635A0D" w:rsidRDefault="004F2D1F" w:rsidP="003964DF">
            <w:pPr>
              <w:spacing w:after="0" w:line="240" w:lineRule="auto"/>
              <w:rPr>
                <w:rFonts w:ascii="Times New Roman" w:hAnsi="Times New Roman" w:cs="Times New Roman"/>
                <w:b/>
                <w:sz w:val="20"/>
                <w:szCs w:val="20"/>
                <w:lang w:val="en-GB"/>
              </w:rPr>
            </w:pPr>
          </w:p>
        </w:tc>
      </w:tr>
      <w:tr w:rsidR="004F2D1F" w:rsidRPr="00397E25" w:rsidTr="004F2D1F">
        <w:trPr>
          <w:trHeight w:val="20"/>
        </w:trPr>
        <w:tc>
          <w:tcPr>
            <w:tcW w:w="1829" w:type="pct"/>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Pre hospital Care</w:t>
            </w:r>
          </w:p>
        </w:tc>
        <w:tc>
          <w:tcPr>
            <w:tcW w:w="593"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1</w:t>
            </w:r>
          </w:p>
        </w:tc>
        <w:tc>
          <w:tcPr>
            <w:tcW w:w="1289"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All</w:t>
            </w:r>
          </w:p>
        </w:tc>
        <w:tc>
          <w:tcPr>
            <w:tcW w:w="1289" w:type="pct"/>
          </w:tcPr>
          <w:p w:rsidR="004F2D1F" w:rsidRPr="00397E25" w:rsidRDefault="00D578AE"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Low </w:t>
            </w:r>
          </w:p>
        </w:tc>
      </w:tr>
      <w:tr w:rsidR="004F2D1F" w:rsidRPr="00397E25" w:rsidTr="004F2D1F">
        <w:trPr>
          <w:trHeight w:val="20"/>
        </w:trPr>
        <w:tc>
          <w:tcPr>
            <w:tcW w:w="1829" w:type="pct"/>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OPD/Accident and Emergency</w:t>
            </w:r>
          </w:p>
        </w:tc>
        <w:tc>
          <w:tcPr>
            <w:tcW w:w="593"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2</w:t>
            </w:r>
          </w:p>
        </w:tc>
        <w:tc>
          <w:tcPr>
            <w:tcW w:w="1289"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All</w:t>
            </w:r>
          </w:p>
        </w:tc>
        <w:tc>
          <w:tcPr>
            <w:tcW w:w="1289" w:type="pct"/>
          </w:tcPr>
          <w:p w:rsidR="004F2D1F" w:rsidRPr="00397E25" w:rsidRDefault="00D578AE"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Low </w:t>
            </w:r>
          </w:p>
        </w:tc>
      </w:tr>
      <w:tr w:rsidR="004F2D1F" w:rsidRPr="00397E25" w:rsidTr="004F2D1F">
        <w:trPr>
          <w:trHeight w:val="20"/>
        </w:trPr>
        <w:tc>
          <w:tcPr>
            <w:tcW w:w="1829" w:type="pct"/>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Management for injuries</w:t>
            </w:r>
          </w:p>
        </w:tc>
        <w:tc>
          <w:tcPr>
            <w:tcW w:w="593"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2</w:t>
            </w:r>
          </w:p>
        </w:tc>
        <w:tc>
          <w:tcPr>
            <w:tcW w:w="1289" w:type="pct"/>
            <w:shd w:val="clear" w:color="auto" w:fill="auto"/>
            <w:vAlign w:val="center"/>
            <w:hideMark/>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All</w:t>
            </w:r>
          </w:p>
        </w:tc>
        <w:tc>
          <w:tcPr>
            <w:tcW w:w="1289" w:type="pct"/>
          </w:tcPr>
          <w:p w:rsidR="004F2D1F" w:rsidRPr="00397E25" w:rsidRDefault="00D578AE"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Low </w:t>
            </w:r>
          </w:p>
        </w:tc>
      </w:tr>
      <w:tr w:rsidR="004F2D1F" w:rsidRPr="00397E25" w:rsidTr="004F2D1F">
        <w:trPr>
          <w:trHeight w:val="20"/>
        </w:trPr>
        <w:tc>
          <w:tcPr>
            <w:tcW w:w="1829" w:type="pct"/>
          </w:tcPr>
          <w:p w:rsidR="004F2D1F" w:rsidRPr="00397E25" w:rsidRDefault="004F2D1F" w:rsidP="003964DF">
            <w:pPr>
              <w:spacing w:after="0" w:line="240" w:lineRule="auto"/>
              <w:rPr>
                <w:rFonts w:ascii="Times New Roman" w:hAnsi="Times New Roman" w:cs="Times New Roman"/>
                <w:sz w:val="20"/>
                <w:szCs w:val="20"/>
                <w:lang w:val="en-GB"/>
              </w:rPr>
            </w:pPr>
            <w:r>
              <w:rPr>
                <w:sz w:val="18"/>
                <w:szCs w:val="18"/>
                <w:lang w:val="en-GB"/>
              </w:rPr>
              <w:t xml:space="preserve">Management of </w:t>
            </w:r>
            <w:r w:rsidRPr="009A6F69">
              <w:rPr>
                <w:sz w:val="18"/>
                <w:szCs w:val="18"/>
                <w:lang w:val="en-GB"/>
              </w:rPr>
              <w:t>Sexual and Gender Based Violence</w:t>
            </w:r>
          </w:p>
        </w:tc>
        <w:tc>
          <w:tcPr>
            <w:tcW w:w="593" w:type="pct"/>
            <w:shd w:val="clear" w:color="auto" w:fill="auto"/>
            <w:vAlign w:val="center"/>
          </w:tcPr>
          <w:p w:rsidR="004F2D1F" w:rsidRPr="00397E25" w:rsidRDefault="004F2D1F"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2</w:t>
            </w:r>
          </w:p>
        </w:tc>
        <w:tc>
          <w:tcPr>
            <w:tcW w:w="1289" w:type="pct"/>
            <w:shd w:val="clear" w:color="auto" w:fill="auto"/>
            <w:vAlign w:val="center"/>
          </w:tcPr>
          <w:p w:rsidR="004F2D1F" w:rsidRPr="00397E25" w:rsidRDefault="004F2D1F"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3,4,5</w:t>
            </w:r>
          </w:p>
        </w:tc>
        <w:tc>
          <w:tcPr>
            <w:tcW w:w="1289" w:type="pct"/>
          </w:tcPr>
          <w:p w:rsidR="004F2D1F" w:rsidRDefault="00D578AE"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Low </w:t>
            </w:r>
          </w:p>
        </w:tc>
      </w:tr>
      <w:tr w:rsidR="004F2D1F" w:rsidRPr="00397E25" w:rsidTr="004F2D1F">
        <w:trPr>
          <w:trHeight w:val="20"/>
        </w:trPr>
        <w:tc>
          <w:tcPr>
            <w:tcW w:w="1829" w:type="pct"/>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Blood safety</w:t>
            </w:r>
          </w:p>
        </w:tc>
        <w:tc>
          <w:tcPr>
            <w:tcW w:w="593" w:type="pct"/>
            <w:shd w:val="clear" w:color="auto" w:fill="auto"/>
            <w:vAlign w:val="center"/>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4</w:t>
            </w:r>
          </w:p>
        </w:tc>
        <w:tc>
          <w:tcPr>
            <w:tcW w:w="1289" w:type="pct"/>
            <w:shd w:val="clear" w:color="auto" w:fill="auto"/>
            <w:vAlign w:val="center"/>
          </w:tcPr>
          <w:p w:rsidR="004F2D1F" w:rsidRPr="00397E25" w:rsidRDefault="004F2D1F" w:rsidP="003964DF">
            <w:pPr>
              <w:spacing w:after="0" w:line="240" w:lineRule="auto"/>
              <w:rPr>
                <w:rFonts w:ascii="Times New Roman" w:hAnsi="Times New Roman" w:cs="Times New Roman"/>
                <w:sz w:val="20"/>
                <w:szCs w:val="20"/>
                <w:lang w:val="en-GB"/>
              </w:rPr>
            </w:pPr>
            <w:r w:rsidRPr="00397E25">
              <w:rPr>
                <w:rFonts w:ascii="Times New Roman" w:hAnsi="Times New Roman" w:cs="Times New Roman"/>
                <w:sz w:val="20"/>
                <w:szCs w:val="20"/>
                <w:lang w:val="en-GB"/>
              </w:rPr>
              <w:t>All</w:t>
            </w:r>
          </w:p>
        </w:tc>
        <w:tc>
          <w:tcPr>
            <w:tcW w:w="1289" w:type="pct"/>
          </w:tcPr>
          <w:p w:rsidR="004F2D1F" w:rsidRPr="00397E25" w:rsidRDefault="00D578AE"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High </w:t>
            </w:r>
          </w:p>
        </w:tc>
      </w:tr>
    </w:tbl>
    <w:p w:rsidR="00E07A78" w:rsidRDefault="00E07A78" w:rsidP="00BA0DF9">
      <w:pPr>
        <w:rPr>
          <w:lang w:val="en-GB"/>
        </w:rPr>
      </w:pPr>
    </w:p>
    <w:p w:rsidR="00564A16" w:rsidRPr="00D66F95" w:rsidRDefault="00FD7E90" w:rsidP="00D66F95">
      <w:pPr>
        <w:pStyle w:val="ListParagraph"/>
        <w:numPr>
          <w:ilvl w:val="0"/>
          <w:numId w:val="14"/>
        </w:numPr>
        <w:rPr>
          <w:lang w:val="en-GB"/>
        </w:rPr>
      </w:pPr>
      <w:r w:rsidRPr="00D66F95">
        <w:rPr>
          <w:lang w:val="en-GB"/>
        </w:rPr>
        <w:t xml:space="preserve">An enhanced package </w:t>
      </w:r>
      <w:r w:rsidR="00C864F6" w:rsidRPr="00D66F95">
        <w:rPr>
          <w:lang w:val="en-GB"/>
        </w:rPr>
        <w:t>(</w:t>
      </w:r>
      <w:r w:rsidR="001B3B9E" w:rsidRPr="00D66F95">
        <w:rPr>
          <w:lang w:val="en-GB"/>
        </w:rPr>
        <w:fldChar w:fldCharType="begin"/>
      </w:r>
      <w:r w:rsidR="00C864F6" w:rsidRPr="00D66F95">
        <w:rPr>
          <w:lang w:val="en-GB"/>
        </w:rPr>
        <w:instrText xml:space="preserve"> REF _Ref254253183 \h </w:instrText>
      </w:r>
      <w:r w:rsidR="001B3B9E" w:rsidRPr="00D66F95">
        <w:rPr>
          <w:lang w:val="en-GB"/>
        </w:rPr>
      </w:r>
      <w:r w:rsidR="001B3B9E" w:rsidRPr="00D66F95">
        <w:rPr>
          <w:lang w:val="en-GB"/>
        </w:rPr>
        <w:fldChar w:fldCharType="separate"/>
      </w:r>
      <w:r w:rsidR="00C864F6">
        <w:t xml:space="preserve">Table </w:t>
      </w:r>
      <w:r w:rsidR="00C864F6">
        <w:rPr>
          <w:noProof/>
        </w:rPr>
        <w:t>16</w:t>
      </w:r>
      <w:r w:rsidR="001B3B9E" w:rsidRPr="00D66F95">
        <w:rPr>
          <w:lang w:val="en-GB"/>
        </w:rPr>
        <w:fldChar w:fldCharType="end"/>
      </w:r>
      <w:r w:rsidR="00C864F6" w:rsidRPr="00D66F95">
        <w:rPr>
          <w:lang w:val="en-GB"/>
        </w:rPr>
        <w:t xml:space="preserve">) </w:t>
      </w:r>
      <w:r w:rsidRPr="00D66F95">
        <w:rPr>
          <w:lang w:val="en-GB"/>
        </w:rPr>
        <w:t xml:space="preserve">would add to </w:t>
      </w:r>
      <w:r w:rsidR="00C864F6" w:rsidRPr="00D66F95">
        <w:rPr>
          <w:lang w:val="en-GB"/>
        </w:rPr>
        <w:t>the basic</w:t>
      </w:r>
      <w:r w:rsidRPr="00D66F95">
        <w:rPr>
          <w:lang w:val="en-GB"/>
        </w:rPr>
        <w:t xml:space="preserve">, in and outpatient care as determined by level of care, for example outpatient services available at level 2 </w:t>
      </w:r>
      <w:proofErr w:type="gramStart"/>
      <w:r w:rsidRPr="00D66F95">
        <w:rPr>
          <w:lang w:val="en-GB"/>
        </w:rPr>
        <w:t>facility</w:t>
      </w:r>
      <w:proofErr w:type="gramEnd"/>
      <w:r w:rsidRPr="00D66F95">
        <w:rPr>
          <w:lang w:val="en-GB"/>
        </w:rPr>
        <w:t xml:space="preserve">. </w:t>
      </w:r>
    </w:p>
    <w:p w:rsidR="00564A16" w:rsidRDefault="00564A16" w:rsidP="00564A16">
      <w:pPr>
        <w:pStyle w:val="Caption"/>
        <w:keepNext/>
      </w:pPr>
      <w:bookmarkStart w:id="44" w:name="_Ref254253183"/>
      <w:r>
        <w:t xml:space="preserve">Table </w:t>
      </w:r>
      <w:r w:rsidR="001B3B9E">
        <w:fldChar w:fldCharType="begin"/>
      </w:r>
      <w:r>
        <w:instrText xml:space="preserve"> SEQ Table \* ARABIC </w:instrText>
      </w:r>
      <w:r w:rsidR="001B3B9E">
        <w:fldChar w:fldCharType="separate"/>
      </w:r>
      <w:r>
        <w:rPr>
          <w:noProof/>
        </w:rPr>
        <w:t>16</w:t>
      </w:r>
      <w:r w:rsidR="001B3B9E">
        <w:fldChar w:fldCharType="end"/>
      </w:r>
      <w:bookmarkEnd w:id="44"/>
      <w:r>
        <w:t>: Enhanced package includes basic package plus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94"/>
        <w:gridCol w:w="1378"/>
        <w:gridCol w:w="3284"/>
      </w:tblGrid>
      <w:tr w:rsidR="00564A16" w:rsidRPr="00635A0D" w:rsidTr="0088503E">
        <w:trPr>
          <w:trHeight w:val="195"/>
          <w:tblHeader/>
        </w:trPr>
        <w:tc>
          <w:tcPr>
            <w:tcW w:w="2368" w:type="pct"/>
            <w:shd w:val="clear" w:color="000000" w:fill="FFFFFF"/>
            <w:vAlign w:val="center"/>
          </w:tcPr>
          <w:p w:rsidR="00564A16" w:rsidRPr="00635A0D" w:rsidRDefault="00564A16" w:rsidP="003964DF">
            <w:pPr>
              <w:spacing w:after="0" w:line="240" w:lineRule="auto"/>
              <w:rPr>
                <w:rFonts w:ascii="Times New Roman" w:hAnsi="Times New Roman" w:cs="Times New Roman"/>
                <w:b/>
                <w:bCs/>
                <w:sz w:val="20"/>
                <w:szCs w:val="20"/>
                <w:lang w:val="en-GB"/>
              </w:rPr>
            </w:pPr>
            <w:r w:rsidRPr="00635A0D">
              <w:rPr>
                <w:rFonts w:ascii="Times New Roman" w:hAnsi="Times New Roman" w:cs="Times New Roman"/>
                <w:b/>
                <w:bCs/>
                <w:sz w:val="20"/>
                <w:szCs w:val="20"/>
                <w:lang w:val="en-GB"/>
              </w:rPr>
              <w:t>Service area</w:t>
            </w:r>
          </w:p>
        </w:tc>
        <w:tc>
          <w:tcPr>
            <w:tcW w:w="778" w:type="pct"/>
            <w:shd w:val="clear" w:color="000000" w:fill="FFFFFF"/>
            <w:vAlign w:val="center"/>
            <w:hideMark/>
          </w:tcPr>
          <w:p w:rsidR="00564A16" w:rsidRPr="00635A0D" w:rsidRDefault="00564A16" w:rsidP="003964DF">
            <w:pPr>
              <w:spacing w:after="0" w:line="240" w:lineRule="auto"/>
              <w:rPr>
                <w:rFonts w:ascii="Times New Roman" w:hAnsi="Times New Roman" w:cs="Times New Roman"/>
                <w:i/>
                <w:iCs/>
                <w:sz w:val="20"/>
                <w:szCs w:val="20"/>
                <w:lang w:val="en-GB"/>
              </w:rPr>
            </w:pPr>
            <w:r w:rsidRPr="00635A0D">
              <w:rPr>
                <w:rFonts w:ascii="Times New Roman" w:hAnsi="Times New Roman" w:cs="Times New Roman"/>
                <w:i/>
                <w:iCs/>
                <w:sz w:val="20"/>
                <w:szCs w:val="20"/>
                <w:lang w:val="en-GB"/>
              </w:rPr>
              <w:t>Minimum Tier</w:t>
            </w:r>
          </w:p>
        </w:tc>
        <w:tc>
          <w:tcPr>
            <w:tcW w:w="1854" w:type="pct"/>
            <w:shd w:val="clear" w:color="000000" w:fill="FFFFFF"/>
            <w:vAlign w:val="center"/>
            <w:hideMark/>
          </w:tcPr>
          <w:p w:rsidR="00564A16" w:rsidRPr="00635A0D" w:rsidRDefault="00564A16" w:rsidP="003964DF">
            <w:pPr>
              <w:spacing w:after="0" w:line="240" w:lineRule="auto"/>
              <w:rPr>
                <w:rFonts w:ascii="Times New Roman" w:hAnsi="Times New Roman" w:cs="Times New Roman"/>
                <w:i/>
                <w:iCs/>
                <w:sz w:val="20"/>
                <w:szCs w:val="20"/>
                <w:lang w:val="en-GB"/>
              </w:rPr>
            </w:pPr>
            <w:r w:rsidRPr="00635A0D">
              <w:rPr>
                <w:rFonts w:ascii="Times New Roman" w:hAnsi="Times New Roman" w:cs="Times New Roman"/>
                <w:i/>
                <w:iCs/>
                <w:sz w:val="20"/>
                <w:szCs w:val="20"/>
                <w:lang w:val="en-GB"/>
              </w:rPr>
              <w:t>Cohort</w:t>
            </w:r>
          </w:p>
        </w:tc>
      </w:tr>
      <w:tr w:rsidR="00564A16" w:rsidRPr="00635A0D" w:rsidTr="0088503E">
        <w:trPr>
          <w:trHeight w:val="195"/>
        </w:trPr>
        <w:tc>
          <w:tcPr>
            <w:tcW w:w="5000" w:type="pct"/>
            <w:gridSpan w:val="3"/>
            <w:vAlign w:val="center"/>
          </w:tcPr>
          <w:p w:rsidR="00564A16" w:rsidRPr="00635A0D" w:rsidRDefault="00564A16" w:rsidP="003964DF">
            <w:pPr>
              <w:spacing w:after="0" w:line="240" w:lineRule="auto"/>
              <w:rPr>
                <w:rFonts w:ascii="Times New Roman" w:hAnsi="Times New Roman" w:cs="Times New Roman"/>
                <w:i/>
                <w:iCs/>
                <w:sz w:val="20"/>
                <w:szCs w:val="20"/>
                <w:lang w:val="en-GB"/>
              </w:rPr>
            </w:pPr>
            <w:r w:rsidRPr="00635A0D">
              <w:rPr>
                <w:rFonts w:ascii="Times New Roman" w:hAnsi="Times New Roman" w:cs="Times New Roman"/>
                <w:b/>
                <w:bCs/>
                <w:sz w:val="20"/>
                <w:szCs w:val="20"/>
                <w:lang w:val="en-GB"/>
              </w:rPr>
              <w:t>POLICY OBJECTIVE 1</w:t>
            </w:r>
            <w:r w:rsidR="000E4833">
              <w:rPr>
                <w:rFonts w:ascii="Times New Roman" w:hAnsi="Times New Roman" w:cs="Times New Roman"/>
                <w:b/>
                <w:bCs/>
                <w:sz w:val="20"/>
                <w:szCs w:val="20"/>
                <w:lang w:val="en-GB"/>
              </w:rPr>
              <w:t xml:space="preserve">: </w:t>
            </w:r>
            <w:r w:rsidR="000E4833">
              <w:rPr>
                <w:rFonts w:ascii="Times New Roman" w:hAnsi="Times New Roman" w:cs="Times New Roman"/>
                <w:b/>
                <w:bCs/>
                <w:sz w:val="20"/>
                <w:szCs w:val="20"/>
              </w:rPr>
              <w:t>To eliminate c</w:t>
            </w:r>
            <w:r w:rsidR="000E4833" w:rsidRPr="000E4833">
              <w:rPr>
                <w:rFonts w:ascii="Times New Roman" w:hAnsi="Times New Roman" w:cs="Times New Roman"/>
                <w:b/>
                <w:bCs/>
                <w:sz w:val="20"/>
                <w:szCs w:val="20"/>
              </w:rPr>
              <w:t>ommunicable conditions</w:t>
            </w:r>
          </w:p>
        </w:tc>
      </w:tr>
      <w:tr w:rsidR="00564A16" w:rsidRPr="00635A0D" w:rsidTr="0088503E">
        <w:trPr>
          <w:trHeight w:val="20"/>
        </w:trPr>
        <w:tc>
          <w:tcPr>
            <w:tcW w:w="2368" w:type="pct"/>
            <w:shd w:val="clear" w:color="000000" w:fill="FFFFFF"/>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Immunization</w:t>
            </w:r>
          </w:p>
        </w:tc>
        <w:tc>
          <w:tcPr>
            <w:tcW w:w="778"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1</w:t>
            </w:r>
          </w:p>
        </w:tc>
      </w:tr>
      <w:tr w:rsidR="00564A16" w:rsidRPr="00635A0D" w:rsidTr="0088503E">
        <w:trPr>
          <w:trHeight w:val="20"/>
        </w:trPr>
        <w:tc>
          <w:tcPr>
            <w:tcW w:w="2368" w:type="pct"/>
            <w:shd w:val="clear" w:color="000000" w:fill="FFFFFF"/>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Screening for communicable conditions</w:t>
            </w:r>
          </w:p>
        </w:tc>
        <w:tc>
          <w:tcPr>
            <w:tcW w:w="778"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All</w:t>
            </w:r>
          </w:p>
        </w:tc>
      </w:tr>
      <w:tr w:rsidR="00564A16" w:rsidRPr="00635A0D" w:rsidTr="0088503E">
        <w:trPr>
          <w:trHeight w:val="20"/>
        </w:trPr>
        <w:tc>
          <w:tcPr>
            <w:tcW w:w="2368" w:type="pct"/>
            <w:shd w:val="clear" w:color="000000" w:fill="FFFFFF"/>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Antenatal and post natal Care</w:t>
            </w:r>
          </w:p>
        </w:tc>
        <w:tc>
          <w:tcPr>
            <w:tcW w:w="778"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1</w:t>
            </w:r>
          </w:p>
        </w:tc>
      </w:tr>
      <w:tr w:rsidR="00564A16" w:rsidRPr="00635A0D" w:rsidTr="0088503E">
        <w:trPr>
          <w:trHeight w:val="20"/>
        </w:trPr>
        <w:tc>
          <w:tcPr>
            <w:tcW w:w="2368" w:type="pct"/>
            <w:shd w:val="clear" w:color="000000" w:fill="FFFFFF"/>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lastRenderedPageBreak/>
              <w:t>Integrated MCH / Family Planning services</w:t>
            </w:r>
          </w:p>
        </w:tc>
        <w:tc>
          <w:tcPr>
            <w:tcW w:w="778"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1</w:t>
            </w:r>
          </w:p>
        </w:tc>
      </w:tr>
      <w:tr w:rsidR="00564A16" w:rsidRPr="00635A0D" w:rsidTr="0088503E">
        <w:trPr>
          <w:trHeight w:val="20"/>
        </w:trPr>
        <w:tc>
          <w:tcPr>
            <w:tcW w:w="2368" w:type="pct"/>
            <w:shd w:val="clear" w:color="000000" w:fill="FFFFFF"/>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 xml:space="preserve">Maternity delivery </w:t>
            </w:r>
          </w:p>
        </w:tc>
        <w:tc>
          <w:tcPr>
            <w:tcW w:w="778"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1</w:t>
            </w:r>
          </w:p>
        </w:tc>
      </w:tr>
      <w:tr w:rsidR="00564A16" w:rsidRPr="00635A0D" w:rsidTr="0088503E">
        <w:trPr>
          <w:trHeight w:val="20"/>
        </w:trPr>
        <w:tc>
          <w:tcPr>
            <w:tcW w:w="2368" w:type="pct"/>
            <w:shd w:val="clear" w:color="000000" w:fill="FFFFFF"/>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Prevention of Mother to Child HIV Transmission</w:t>
            </w:r>
          </w:p>
        </w:tc>
        <w:tc>
          <w:tcPr>
            <w:tcW w:w="778"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1</w:t>
            </w:r>
          </w:p>
        </w:tc>
      </w:tr>
      <w:tr w:rsidR="00564A16" w:rsidRPr="00635A0D" w:rsidTr="0088503E">
        <w:trPr>
          <w:trHeight w:val="20"/>
        </w:trPr>
        <w:tc>
          <w:tcPr>
            <w:tcW w:w="2368" w:type="pct"/>
            <w:shd w:val="clear" w:color="000000" w:fill="FFFFFF"/>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HIV and STI prevention</w:t>
            </w:r>
          </w:p>
        </w:tc>
        <w:tc>
          <w:tcPr>
            <w:tcW w:w="778"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000000" w:fill="FFFFFF"/>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3,4,5</w:t>
            </w:r>
          </w:p>
        </w:tc>
      </w:tr>
      <w:tr w:rsidR="00564A16" w:rsidRPr="00635A0D" w:rsidTr="0088503E">
        <w:trPr>
          <w:trHeight w:val="20"/>
        </w:trPr>
        <w:tc>
          <w:tcPr>
            <w:tcW w:w="5000" w:type="pct"/>
            <w:gridSpan w:val="3"/>
            <w:shd w:val="clear" w:color="000000" w:fill="FFFFFF"/>
          </w:tcPr>
          <w:p w:rsidR="00564A16" w:rsidRPr="00635A0D" w:rsidRDefault="00564A16" w:rsidP="003964DF">
            <w:pPr>
              <w:spacing w:after="0" w:line="240" w:lineRule="auto"/>
              <w:rPr>
                <w:rFonts w:ascii="Times New Roman" w:hAnsi="Times New Roman" w:cs="Times New Roman"/>
                <w:b/>
                <w:sz w:val="20"/>
                <w:szCs w:val="20"/>
                <w:lang w:val="en-GB"/>
              </w:rPr>
            </w:pPr>
            <w:r w:rsidRPr="00635A0D">
              <w:rPr>
                <w:rFonts w:ascii="Times New Roman" w:hAnsi="Times New Roman" w:cs="Times New Roman"/>
                <w:b/>
                <w:sz w:val="20"/>
                <w:szCs w:val="20"/>
                <w:lang w:val="en-GB"/>
              </w:rPr>
              <w:t>POLICY OBJECTIVE 2</w:t>
            </w:r>
            <w:r w:rsidR="00F51E87">
              <w:rPr>
                <w:rFonts w:ascii="Times New Roman" w:hAnsi="Times New Roman" w:cs="Times New Roman"/>
                <w:b/>
                <w:sz w:val="20"/>
                <w:szCs w:val="20"/>
                <w:lang w:val="en-GB"/>
              </w:rPr>
              <w:t>:</w:t>
            </w:r>
            <w:r w:rsidR="00F51E87" w:rsidRPr="00F51E87">
              <w:rPr>
                <w:rFonts w:ascii="Times New Roman" w:eastAsiaTheme="minorHAnsi" w:hAnsi="Times New Roman" w:cs="Times New Roman"/>
                <w:color w:val="000000" w:themeColor="text1"/>
                <w:szCs w:val="20"/>
              </w:rPr>
              <w:t xml:space="preserve"> </w:t>
            </w:r>
            <w:r w:rsidR="00F51E87" w:rsidRPr="00F51E87">
              <w:rPr>
                <w:rFonts w:ascii="Times New Roman" w:hAnsi="Times New Roman" w:cs="Times New Roman"/>
                <w:b/>
                <w:sz w:val="20"/>
                <w:szCs w:val="20"/>
              </w:rPr>
              <w:t>To halt and reverse the rising burden of Non Communicable Conditions</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Institutional Screening for NCD’s</w:t>
            </w:r>
          </w:p>
        </w:tc>
        <w:tc>
          <w:tcPr>
            <w:tcW w:w="778"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3</w:t>
            </w:r>
          </w:p>
        </w:tc>
        <w:tc>
          <w:tcPr>
            <w:tcW w:w="1854"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4,5</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Workplace health and safety</w:t>
            </w:r>
          </w:p>
        </w:tc>
        <w:tc>
          <w:tcPr>
            <w:tcW w:w="778"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1</w:t>
            </w:r>
          </w:p>
        </w:tc>
        <w:tc>
          <w:tcPr>
            <w:tcW w:w="1854"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4,5</w:t>
            </w:r>
          </w:p>
        </w:tc>
      </w:tr>
      <w:tr w:rsidR="00564A16" w:rsidRPr="00635A0D" w:rsidTr="0088503E">
        <w:trPr>
          <w:trHeight w:val="20"/>
        </w:trPr>
        <w:tc>
          <w:tcPr>
            <w:tcW w:w="5000" w:type="pct"/>
            <w:gridSpan w:val="3"/>
          </w:tcPr>
          <w:p w:rsidR="00564A16" w:rsidRPr="00264E42" w:rsidRDefault="00564A16" w:rsidP="003964DF">
            <w:pPr>
              <w:spacing w:after="0" w:line="240" w:lineRule="auto"/>
              <w:rPr>
                <w:rFonts w:ascii="Times New Roman" w:hAnsi="Times New Roman" w:cs="Times New Roman"/>
                <w:b/>
                <w:sz w:val="20"/>
                <w:szCs w:val="20"/>
              </w:rPr>
            </w:pPr>
            <w:r w:rsidRPr="00635A0D">
              <w:rPr>
                <w:rFonts w:ascii="Times New Roman" w:hAnsi="Times New Roman" w:cs="Times New Roman"/>
                <w:b/>
                <w:sz w:val="20"/>
                <w:szCs w:val="20"/>
                <w:lang w:val="en-GB"/>
              </w:rPr>
              <w:t>POLICY OBJECTIVE 3</w:t>
            </w:r>
            <w:r w:rsidR="00264E42">
              <w:rPr>
                <w:rFonts w:ascii="Times New Roman" w:hAnsi="Times New Roman" w:cs="Times New Roman"/>
                <w:b/>
                <w:sz w:val="20"/>
                <w:szCs w:val="20"/>
                <w:lang w:val="en-GB"/>
              </w:rPr>
              <w:t xml:space="preserve">: </w:t>
            </w:r>
            <w:r w:rsidR="00264E42" w:rsidRPr="00264E42">
              <w:rPr>
                <w:rFonts w:ascii="Times New Roman" w:hAnsi="Times New Roman" w:cs="Times New Roman"/>
                <w:b/>
                <w:sz w:val="20"/>
                <w:szCs w:val="20"/>
              </w:rPr>
              <w:t>To reduce the burden of violence and injuries</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Pre hospital Care</w:t>
            </w:r>
          </w:p>
        </w:tc>
        <w:tc>
          <w:tcPr>
            <w:tcW w:w="778"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1</w:t>
            </w:r>
          </w:p>
        </w:tc>
        <w:tc>
          <w:tcPr>
            <w:tcW w:w="1854"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All</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OPD/Accident and Emergency</w:t>
            </w:r>
          </w:p>
        </w:tc>
        <w:tc>
          <w:tcPr>
            <w:tcW w:w="778"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All</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Management for injuries</w:t>
            </w:r>
          </w:p>
        </w:tc>
        <w:tc>
          <w:tcPr>
            <w:tcW w:w="778"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auto" w:fill="auto"/>
            <w:vAlign w:val="center"/>
            <w:hideMark/>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All</w:t>
            </w:r>
          </w:p>
        </w:tc>
      </w:tr>
      <w:tr w:rsidR="0088503E" w:rsidRPr="00635A0D" w:rsidTr="0088503E">
        <w:trPr>
          <w:trHeight w:val="20"/>
        </w:trPr>
        <w:tc>
          <w:tcPr>
            <w:tcW w:w="2368" w:type="pct"/>
          </w:tcPr>
          <w:p w:rsidR="0088503E" w:rsidRPr="00635A0D" w:rsidRDefault="0088503E" w:rsidP="003964DF">
            <w:pPr>
              <w:spacing w:after="0" w:line="240" w:lineRule="auto"/>
              <w:rPr>
                <w:rFonts w:ascii="Times New Roman" w:hAnsi="Times New Roman" w:cs="Times New Roman"/>
                <w:sz w:val="20"/>
                <w:szCs w:val="20"/>
                <w:lang w:val="en-GB"/>
              </w:rPr>
            </w:pPr>
            <w:r>
              <w:rPr>
                <w:sz w:val="18"/>
                <w:szCs w:val="18"/>
                <w:lang w:val="en-GB"/>
              </w:rPr>
              <w:t xml:space="preserve">Management of </w:t>
            </w:r>
            <w:r w:rsidRPr="009A6F69">
              <w:rPr>
                <w:sz w:val="18"/>
                <w:szCs w:val="18"/>
                <w:lang w:val="en-GB"/>
              </w:rPr>
              <w:t>Sexual and Gender Based Violence</w:t>
            </w:r>
          </w:p>
        </w:tc>
        <w:tc>
          <w:tcPr>
            <w:tcW w:w="778" w:type="pct"/>
            <w:shd w:val="clear" w:color="auto" w:fill="auto"/>
            <w:vAlign w:val="center"/>
          </w:tcPr>
          <w:p w:rsidR="0088503E" w:rsidRPr="00635A0D" w:rsidRDefault="0029105D"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2</w:t>
            </w:r>
          </w:p>
        </w:tc>
        <w:tc>
          <w:tcPr>
            <w:tcW w:w="1854" w:type="pct"/>
            <w:shd w:val="clear" w:color="auto" w:fill="auto"/>
            <w:vAlign w:val="center"/>
          </w:tcPr>
          <w:p w:rsidR="0088503E" w:rsidRPr="00635A0D" w:rsidRDefault="0029105D" w:rsidP="003964DF">
            <w:pPr>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3,4,5</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Blood safety</w:t>
            </w:r>
          </w:p>
        </w:tc>
        <w:tc>
          <w:tcPr>
            <w:tcW w:w="778"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4</w:t>
            </w:r>
          </w:p>
        </w:tc>
        <w:tc>
          <w:tcPr>
            <w:tcW w:w="1854"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All</w:t>
            </w:r>
          </w:p>
        </w:tc>
      </w:tr>
      <w:tr w:rsidR="00F626D3" w:rsidRPr="00635A0D" w:rsidTr="0088503E">
        <w:trPr>
          <w:trHeight w:val="20"/>
        </w:trPr>
        <w:tc>
          <w:tcPr>
            <w:tcW w:w="5000" w:type="pct"/>
            <w:gridSpan w:val="3"/>
          </w:tcPr>
          <w:p w:rsidR="00F626D3" w:rsidRPr="00635A0D" w:rsidRDefault="00F626D3"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b/>
                <w:sz w:val="20"/>
                <w:szCs w:val="20"/>
                <w:lang w:val="en-GB"/>
              </w:rPr>
              <w:t>POLICY OBJECTIVE 4</w:t>
            </w:r>
            <w:r>
              <w:rPr>
                <w:rFonts w:ascii="Times New Roman" w:hAnsi="Times New Roman" w:cs="Times New Roman"/>
                <w:b/>
                <w:sz w:val="20"/>
                <w:szCs w:val="20"/>
                <w:lang w:val="en-GB"/>
              </w:rPr>
              <w:t xml:space="preserve">: </w:t>
            </w:r>
            <w:r>
              <w:rPr>
                <w:rFonts w:ascii="Times New Roman" w:hAnsi="Times New Roman" w:cs="Times New Roman"/>
                <w:b/>
                <w:sz w:val="20"/>
                <w:szCs w:val="20"/>
              </w:rPr>
              <w:t xml:space="preserve">To provide </w:t>
            </w:r>
            <w:r w:rsidRPr="00F626D3">
              <w:rPr>
                <w:rFonts w:ascii="Times New Roman" w:hAnsi="Times New Roman" w:cs="Times New Roman"/>
                <w:b/>
                <w:sz w:val="20"/>
                <w:szCs w:val="20"/>
              </w:rPr>
              <w:t>essential health services</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General Outpatient</w:t>
            </w:r>
            <w:r w:rsidR="0065650F">
              <w:rPr>
                <w:rStyle w:val="FootnoteReference"/>
                <w:rFonts w:cs="Times New Roman"/>
                <w:szCs w:val="20"/>
                <w:lang w:val="en-GB"/>
              </w:rPr>
              <w:footnoteReference w:id="1"/>
            </w:r>
          </w:p>
        </w:tc>
        <w:tc>
          <w:tcPr>
            <w:tcW w:w="778"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2</w:t>
            </w:r>
          </w:p>
        </w:tc>
        <w:tc>
          <w:tcPr>
            <w:tcW w:w="1854"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All</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In Patient</w:t>
            </w:r>
            <w:r w:rsidR="00AA432B">
              <w:rPr>
                <w:rStyle w:val="FootnoteReference"/>
                <w:rFonts w:cs="Times New Roman"/>
                <w:szCs w:val="20"/>
                <w:lang w:val="en-GB"/>
              </w:rPr>
              <w:footnoteReference w:id="2"/>
            </w:r>
          </w:p>
        </w:tc>
        <w:tc>
          <w:tcPr>
            <w:tcW w:w="778"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4</w:t>
            </w:r>
          </w:p>
        </w:tc>
        <w:tc>
          <w:tcPr>
            <w:tcW w:w="1854"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All</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 xml:space="preserve">Rehabilitation </w:t>
            </w:r>
          </w:p>
        </w:tc>
        <w:tc>
          <w:tcPr>
            <w:tcW w:w="778"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3</w:t>
            </w:r>
          </w:p>
        </w:tc>
        <w:tc>
          <w:tcPr>
            <w:tcW w:w="1854"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All</w:t>
            </w:r>
          </w:p>
        </w:tc>
      </w:tr>
      <w:tr w:rsidR="00564A16" w:rsidRPr="00635A0D" w:rsidTr="0088503E">
        <w:trPr>
          <w:trHeight w:val="20"/>
        </w:trPr>
        <w:tc>
          <w:tcPr>
            <w:tcW w:w="2368" w:type="pct"/>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 xml:space="preserve">School Health </w:t>
            </w:r>
          </w:p>
        </w:tc>
        <w:tc>
          <w:tcPr>
            <w:tcW w:w="778"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1</w:t>
            </w:r>
          </w:p>
        </w:tc>
        <w:tc>
          <w:tcPr>
            <w:tcW w:w="1854" w:type="pct"/>
            <w:shd w:val="clear" w:color="auto" w:fill="auto"/>
            <w:vAlign w:val="center"/>
          </w:tcPr>
          <w:p w:rsidR="00564A16" w:rsidRPr="00635A0D" w:rsidRDefault="00564A16" w:rsidP="003964DF">
            <w:pPr>
              <w:spacing w:after="0" w:line="240" w:lineRule="auto"/>
              <w:rPr>
                <w:rFonts w:ascii="Times New Roman" w:hAnsi="Times New Roman" w:cs="Times New Roman"/>
                <w:sz w:val="20"/>
                <w:szCs w:val="20"/>
                <w:lang w:val="en-GB"/>
              </w:rPr>
            </w:pPr>
            <w:r w:rsidRPr="00635A0D">
              <w:rPr>
                <w:rFonts w:ascii="Times New Roman" w:hAnsi="Times New Roman" w:cs="Times New Roman"/>
                <w:sz w:val="20"/>
                <w:szCs w:val="20"/>
                <w:lang w:val="en-GB"/>
              </w:rPr>
              <w:t>3</w:t>
            </w:r>
          </w:p>
        </w:tc>
      </w:tr>
    </w:tbl>
    <w:p w:rsidR="000B697B" w:rsidRDefault="000B697B" w:rsidP="00BA0DF9">
      <w:pPr>
        <w:rPr>
          <w:lang w:val="en-GB"/>
        </w:rPr>
      </w:pPr>
    </w:p>
    <w:p w:rsidR="00B91342" w:rsidRDefault="000B697B" w:rsidP="00B91342">
      <w:pPr>
        <w:pStyle w:val="ListParagraph"/>
        <w:numPr>
          <w:ilvl w:val="0"/>
          <w:numId w:val="14"/>
        </w:numPr>
        <w:rPr>
          <w:lang w:val="en-GB"/>
        </w:rPr>
      </w:pPr>
      <w:r w:rsidRPr="00343ACD">
        <w:rPr>
          <w:lang w:val="en-GB"/>
        </w:rPr>
        <w:t>A comprehensive package would encompass the current KEPH</w:t>
      </w:r>
      <w:r w:rsidR="00BA7C09" w:rsidRPr="00343ACD">
        <w:rPr>
          <w:lang w:val="en-GB"/>
        </w:rPr>
        <w:t>, (</w:t>
      </w:r>
      <w:r w:rsidR="001B3B9E" w:rsidRPr="00343ACD">
        <w:rPr>
          <w:lang w:val="en-GB"/>
        </w:rPr>
        <w:fldChar w:fldCharType="begin"/>
      </w:r>
      <w:r w:rsidR="00BA7C09" w:rsidRPr="00343ACD">
        <w:rPr>
          <w:lang w:val="en-GB"/>
        </w:rPr>
        <w:instrText xml:space="preserve"> REF _Ref254252556 \h </w:instrText>
      </w:r>
      <w:r w:rsidR="001B3B9E" w:rsidRPr="00343ACD">
        <w:rPr>
          <w:lang w:val="en-GB"/>
        </w:rPr>
      </w:r>
      <w:r w:rsidR="001B3B9E" w:rsidRPr="00343ACD">
        <w:rPr>
          <w:lang w:val="en-GB"/>
        </w:rPr>
        <w:fldChar w:fldCharType="separate"/>
      </w:r>
      <w:r w:rsidR="00BA7C09" w:rsidRPr="00343ACD">
        <w:rPr>
          <w:lang w:val="en-GB"/>
        </w:rPr>
        <w:t>Appendix 3: KEPH Service Areas and Interventions</w:t>
      </w:r>
      <w:r w:rsidR="001B3B9E" w:rsidRPr="00343ACD">
        <w:rPr>
          <w:lang w:val="en-GB"/>
        </w:rPr>
        <w:fldChar w:fldCharType="end"/>
      </w:r>
      <w:r w:rsidR="00BA7C09" w:rsidRPr="00343ACD">
        <w:rPr>
          <w:lang w:val="en-GB"/>
        </w:rPr>
        <w:t>)</w:t>
      </w:r>
      <w:r w:rsidRPr="00343ACD">
        <w:rPr>
          <w:lang w:val="en-GB"/>
        </w:rPr>
        <w:t xml:space="preserve">. </w:t>
      </w:r>
    </w:p>
    <w:p w:rsidR="00B91342" w:rsidRPr="00B91342" w:rsidRDefault="00DD0DF6" w:rsidP="00B91342">
      <w:pPr>
        <w:rPr>
          <w:lang w:val="en-GB"/>
        </w:rPr>
      </w:pPr>
      <w:r w:rsidRPr="00B91342">
        <w:rPr>
          <w:lang w:val="en-GB"/>
        </w:rPr>
        <w:t>T</w:t>
      </w:r>
      <w:r>
        <w:rPr>
          <w:lang w:val="en-GB"/>
        </w:rPr>
        <w:t>he basic package is available across both public and private providers, but through a variety of financing options</w:t>
      </w:r>
      <w:r w:rsidR="00B7428A">
        <w:rPr>
          <w:lang w:val="en-GB"/>
        </w:rPr>
        <w:t xml:space="preserve"> that include both public and private, demand and supply options</w:t>
      </w:r>
      <w:r>
        <w:rPr>
          <w:lang w:val="en-GB"/>
        </w:rPr>
        <w:t xml:space="preserve">. This would require improvement in oversight to ensure all providers take responsibility for the national targets. </w:t>
      </w:r>
      <w:r w:rsidR="00B60F81">
        <w:rPr>
          <w:lang w:val="en-GB"/>
        </w:rPr>
        <w:t xml:space="preserve">As we move to the more comprehensive package there is a need to have sufficient capacity </w:t>
      </w:r>
      <w:r w:rsidR="007230AD">
        <w:rPr>
          <w:lang w:val="en-GB"/>
        </w:rPr>
        <w:t>of the entire health system, with</w:t>
      </w:r>
      <w:r w:rsidR="00B60F81">
        <w:rPr>
          <w:lang w:val="en-GB"/>
        </w:rPr>
        <w:t xml:space="preserve"> higher levels of health financing, equitably distributed. </w:t>
      </w:r>
      <w:r>
        <w:rPr>
          <w:lang w:val="en-GB"/>
        </w:rPr>
        <w:t xml:space="preserve"> </w:t>
      </w:r>
      <w:r w:rsidR="005B0B15" w:rsidRPr="00B91342">
        <w:rPr>
          <w:lang w:val="en-GB"/>
        </w:rPr>
        <w:br w:type="page"/>
      </w:r>
    </w:p>
    <w:p w:rsidR="00B91342" w:rsidRPr="00B91342" w:rsidRDefault="00B91342" w:rsidP="00B91342">
      <w:pPr>
        <w:pStyle w:val="ListParagraph"/>
        <w:ind w:left="360"/>
        <w:rPr>
          <w:lang w:val="en-GB"/>
        </w:rPr>
      </w:pPr>
    </w:p>
    <w:p w:rsidR="009A2EBE" w:rsidRPr="009A6F69" w:rsidRDefault="009A2EBE" w:rsidP="00FE58ED">
      <w:pPr>
        <w:rPr>
          <w:rFonts w:asciiTheme="majorHAnsi" w:eastAsiaTheme="majorEastAsia" w:hAnsiTheme="majorHAnsi" w:cstheme="majorBidi"/>
          <w:b/>
          <w:bCs/>
          <w:sz w:val="28"/>
          <w:szCs w:val="28"/>
          <w:lang w:val="en-GB"/>
        </w:rPr>
      </w:pPr>
    </w:p>
    <w:p w:rsidR="006D6D55" w:rsidRPr="009A6F69" w:rsidRDefault="00C53E77" w:rsidP="005726BE">
      <w:pPr>
        <w:pStyle w:val="Heading1"/>
        <w:rPr>
          <w:lang w:val="en-GB"/>
        </w:rPr>
      </w:pPr>
      <w:bookmarkStart w:id="45" w:name="_Toc254256140"/>
      <w:r w:rsidRPr="009A6F69">
        <w:rPr>
          <w:lang w:val="en-GB"/>
        </w:rPr>
        <w:t>A</w:t>
      </w:r>
      <w:r w:rsidR="00D83144" w:rsidRPr="009A6F69">
        <w:rPr>
          <w:lang w:val="en-GB"/>
        </w:rPr>
        <w:t>ppendix</w:t>
      </w:r>
      <w:r w:rsidR="00A41DA1" w:rsidRPr="009A6F69">
        <w:rPr>
          <w:lang w:val="en-GB"/>
        </w:rPr>
        <w:t xml:space="preserve"> 1: </w:t>
      </w:r>
      <w:r w:rsidR="006D6D55" w:rsidRPr="009A6F69">
        <w:rPr>
          <w:lang w:val="en-GB"/>
        </w:rPr>
        <w:t>Bibliography</w:t>
      </w:r>
      <w:bookmarkEnd w:id="45"/>
    </w:p>
    <w:p w:rsidR="004F4010" w:rsidRPr="004F4010" w:rsidRDefault="001B3B9E">
      <w:pPr>
        <w:pStyle w:val="NormalWeb"/>
        <w:ind w:left="480" w:hanging="480"/>
        <w:divId w:val="483938589"/>
        <w:rPr>
          <w:rFonts w:ascii="Cambria" w:hAnsi="Cambria"/>
          <w:noProof/>
          <w:sz w:val="24"/>
        </w:rPr>
      </w:pPr>
      <w:r w:rsidRPr="009A6F69">
        <w:rPr>
          <w:lang w:val="en-GB"/>
        </w:rPr>
        <w:fldChar w:fldCharType="begin" w:fldLock="1"/>
      </w:r>
      <w:r w:rsidR="0007030C" w:rsidRPr="009A6F69">
        <w:rPr>
          <w:lang w:val="en-GB"/>
        </w:rPr>
        <w:instrText xml:space="preserve">ADDIN Mendeley Bibliography CSL_BIBLIOGRAPHY </w:instrText>
      </w:r>
      <w:r w:rsidRPr="009A6F69">
        <w:rPr>
          <w:lang w:val="en-GB"/>
        </w:rPr>
        <w:fldChar w:fldCharType="separate"/>
      </w:r>
      <w:r w:rsidR="004F4010" w:rsidRPr="004F4010">
        <w:rPr>
          <w:rFonts w:ascii="Cambria" w:hAnsi="Cambria"/>
          <w:noProof/>
          <w:sz w:val="24"/>
        </w:rPr>
        <w:t xml:space="preserve">Association of Kenya Insurers. (2011). </w:t>
      </w:r>
      <w:r w:rsidR="004F4010" w:rsidRPr="004F4010">
        <w:rPr>
          <w:rFonts w:ascii="Cambria" w:hAnsi="Cambria"/>
          <w:i/>
          <w:iCs/>
          <w:noProof/>
          <w:sz w:val="24"/>
        </w:rPr>
        <w:t>INSURANCE INDUSTRY ANNUAL REPORT 2011</w:t>
      </w:r>
      <w:r w:rsidR="004F4010" w:rsidRPr="004F4010">
        <w:rPr>
          <w:rFonts w:ascii="Cambria" w:hAnsi="Cambria"/>
          <w:noProof/>
          <w:sz w:val="24"/>
        </w:rPr>
        <w:t xml:space="preserve"> (pp. 1–64).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Association of Kenya Insurers. (2012). </w:t>
      </w:r>
      <w:r w:rsidRPr="004F4010">
        <w:rPr>
          <w:rFonts w:ascii="Cambria" w:hAnsi="Cambria"/>
          <w:i/>
          <w:iCs/>
          <w:noProof/>
          <w:sz w:val="24"/>
        </w:rPr>
        <w:t>Insurance Industry Annual Report 2012</w:t>
      </w:r>
      <w:r w:rsidRPr="004F4010">
        <w:rPr>
          <w:rFonts w:ascii="Cambria" w:hAnsi="Cambria"/>
          <w:noProof/>
          <w:sz w:val="24"/>
        </w:rPr>
        <w:t xml:space="preserve"> (p. 68).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Bossert, T. J., &amp; Beauvais, J. C. (2002). Decentralization of health systems in Ghana, Zambia, Uganda and the Philippines: a comparative analysis of decision space. </w:t>
      </w:r>
      <w:r w:rsidRPr="004F4010">
        <w:rPr>
          <w:rFonts w:ascii="Cambria" w:hAnsi="Cambria"/>
          <w:i/>
          <w:iCs/>
          <w:noProof/>
          <w:sz w:val="24"/>
        </w:rPr>
        <w:t>Health Policy and Planning</w:t>
      </w:r>
      <w:r w:rsidRPr="004F4010">
        <w:rPr>
          <w:rFonts w:ascii="Cambria" w:hAnsi="Cambria"/>
          <w:noProof/>
          <w:sz w:val="24"/>
        </w:rPr>
        <w:t xml:space="preserve">, </w:t>
      </w:r>
      <w:r w:rsidRPr="004F4010">
        <w:rPr>
          <w:rFonts w:ascii="Cambria" w:hAnsi="Cambria"/>
          <w:i/>
          <w:iCs/>
          <w:noProof/>
          <w:sz w:val="24"/>
        </w:rPr>
        <w:t>17</w:t>
      </w:r>
      <w:r w:rsidRPr="004F4010">
        <w:rPr>
          <w:rFonts w:ascii="Cambria" w:hAnsi="Cambria"/>
          <w:noProof/>
          <w:sz w:val="24"/>
        </w:rPr>
        <w:t>(1), 14–31. Retrieved from http://www.ncbi.nlm.nih.gov/pubmed/11861583</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Bourbonnais, B. N. (2013). Implementing Free Maternal Health Care in Kenya.</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Braveman, P. A., Kumanyika, S., Fielding, J., LaVeist, T., Borrell, L. N., Manderscheid, R., &amp; Troutman, A. (2011). Health Disparities and Health Equity : The Issue Is Justice. </w:t>
      </w:r>
      <w:r w:rsidRPr="004F4010">
        <w:rPr>
          <w:rFonts w:ascii="Cambria" w:hAnsi="Cambria"/>
          <w:i/>
          <w:iCs/>
          <w:noProof/>
          <w:sz w:val="24"/>
        </w:rPr>
        <w:t>American Journal of Public Health</w:t>
      </w:r>
      <w:r w:rsidRPr="004F4010">
        <w:rPr>
          <w:rFonts w:ascii="Cambria" w:hAnsi="Cambria"/>
          <w:noProof/>
          <w:sz w:val="24"/>
        </w:rPr>
        <w:t xml:space="preserve">, </w:t>
      </w:r>
      <w:r w:rsidRPr="004F4010">
        <w:rPr>
          <w:rFonts w:ascii="Cambria" w:hAnsi="Cambria"/>
          <w:i/>
          <w:iCs/>
          <w:noProof/>
          <w:sz w:val="24"/>
        </w:rPr>
        <w:t>101</w:t>
      </w:r>
      <w:r w:rsidRPr="004F4010">
        <w:rPr>
          <w:rFonts w:ascii="Cambria" w:hAnsi="Cambria"/>
          <w:noProof/>
          <w:sz w:val="24"/>
        </w:rPr>
        <w:t>(51), 149–155. doi:10.2105/AJPH.2010.300062</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Carrin, G., Xu, K., &amp; Evans, D. B. (2008). Editorials Exploring the features of universal coverage. </w:t>
      </w:r>
      <w:r w:rsidRPr="004F4010">
        <w:rPr>
          <w:rFonts w:ascii="Cambria" w:hAnsi="Cambria"/>
          <w:i/>
          <w:iCs/>
          <w:noProof/>
          <w:sz w:val="24"/>
        </w:rPr>
        <w:t>Bulletin of the World Health Organization</w:t>
      </w:r>
      <w:r w:rsidRPr="004F4010">
        <w:rPr>
          <w:rFonts w:ascii="Cambria" w:hAnsi="Cambria"/>
          <w:noProof/>
          <w:sz w:val="24"/>
        </w:rPr>
        <w:t xml:space="preserve">, </w:t>
      </w:r>
      <w:r w:rsidRPr="004F4010">
        <w:rPr>
          <w:rFonts w:ascii="Cambria" w:hAnsi="Cambria"/>
          <w:i/>
          <w:iCs/>
          <w:noProof/>
          <w:sz w:val="24"/>
        </w:rPr>
        <w:t>86</w:t>
      </w:r>
      <w:r w:rsidRPr="004F4010">
        <w:rPr>
          <w:rFonts w:ascii="Cambria" w:hAnsi="Cambria"/>
          <w:noProof/>
          <w:sz w:val="24"/>
        </w:rPr>
        <w:t>(November), 60137–60137. doi:10.2471/BLT.08.060137</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Chuma, J., Maina, T., &amp; Ataguba, J. (2012). Does the distribution of health care benefits in Kenya meet the principles of universal coverage? </w:t>
      </w:r>
      <w:r w:rsidRPr="004F4010">
        <w:rPr>
          <w:rFonts w:ascii="Cambria" w:hAnsi="Cambria"/>
          <w:i/>
          <w:iCs/>
          <w:noProof/>
          <w:sz w:val="24"/>
        </w:rPr>
        <w:t>BMC Public Health</w:t>
      </w:r>
      <w:r w:rsidRPr="004F4010">
        <w:rPr>
          <w:rFonts w:ascii="Cambria" w:hAnsi="Cambria"/>
          <w:noProof/>
          <w:sz w:val="24"/>
        </w:rPr>
        <w:t xml:space="preserve">, </w:t>
      </w:r>
      <w:r w:rsidRPr="004F4010">
        <w:rPr>
          <w:rFonts w:ascii="Cambria" w:hAnsi="Cambria"/>
          <w:i/>
          <w:iCs/>
          <w:noProof/>
          <w:sz w:val="24"/>
        </w:rPr>
        <w:t>12</w:t>
      </w:r>
      <w:r w:rsidRPr="004F4010">
        <w:rPr>
          <w:rFonts w:ascii="Cambria" w:hAnsi="Cambria"/>
          <w:noProof/>
          <w:sz w:val="24"/>
        </w:rPr>
        <w:t>(1), 20. doi:10.1186/1471-2458-12-20</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lastRenderedPageBreak/>
        <w:t xml:space="preserve">Chuma, J., &amp; Okungu, V. (2011). Viewing the Kenyan health system through an equity lens: implications for universal coverage. </w:t>
      </w:r>
      <w:r w:rsidRPr="004F4010">
        <w:rPr>
          <w:rFonts w:ascii="Cambria" w:hAnsi="Cambria"/>
          <w:i/>
          <w:iCs/>
          <w:noProof/>
          <w:sz w:val="24"/>
        </w:rPr>
        <w:t>International Journal for Equity in Health</w:t>
      </w:r>
      <w:r w:rsidRPr="004F4010">
        <w:rPr>
          <w:rFonts w:ascii="Cambria" w:hAnsi="Cambria"/>
          <w:noProof/>
          <w:sz w:val="24"/>
        </w:rPr>
        <w:t xml:space="preserve">, </w:t>
      </w:r>
      <w:r w:rsidRPr="004F4010">
        <w:rPr>
          <w:rFonts w:ascii="Cambria" w:hAnsi="Cambria"/>
          <w:i/>
          <w:iCs/>
          <w:noProof/>
          <w:sz w:val="24"/>
        </w:rPr>
        <w:t>10</w:t>
      </w:r>
      <w:r w:rsidRPr="004F4010">
        <w:rPr>
          <w:rFonts w:ascii="Cambria" w:hAnsi="Cambria"/>
          <w:noProof/>
          <w:sz w:val="24"/>
        </w:rPr>
        <w:t>, 22. doi:10.1186/1475-9276-10-22</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Collins, T. (2005). Health policy analysis : a simple tool for policy makers. </w:t>
      </w:r>
      <w:r w:rsidRPr="004F4010">
        <w:rPr>
          <w:rFonts w:ascii="Cambria" w:hAnsi="Cambria"/>
          <w:i/>
          <w:iCs/>
          <w:noProof/>
          <w:sz w:val="24"/>
        </w:rPr>
        <w:t>Health Policy</w:t>
      </w:r>
      <w:r w:rsidRPr="004F4010">
        <w:rPr>
          <w:rFonts w:ascii="Cambria" w:hAnsi="Cambria"/>
          <w:noProof/>
          <w:sz w:val="24"/>
        </w:rPr>
        <w:t>, 192–196. doi:10.1016/j.puhe.2004.03.006</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Culyer, A. J. (2001). Equity - some theory and its policy implications. </w:t>
      </w:r>
      <w:r w:rsidRPr="004F4010">
        <w:rPr>
          <w:rFonts w:ascii="Cambria" w:hAnsi="Cambria"/>
          <w:i/>
          <w:iCs/>
          <w:noProof/>
          <w:sz w:val="24"/>
        </w:rPr>
        <w:t>Journal of Medical Ethics</w:t>
      </w:r>
      <w:r w:rsidRPr="004F4010">
        <w:rPr>
          <w:rFonts w:ascii="Cambria" w:hAnsi="Cambria"/>
          <w:noProof/>
          <w:sz w:val="24"/>
        </w:rPr>
        <w:t>, 275–283.</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Deloitte Consulting. (2011a). </w:t>
      </w:r>
      <w:r w:rsidRPr="004F4010">
        <w:rPr>
          <w:rFonts w:ascii="Cambria" w:hAnsi="Cambria"/>
          <w:i/>
          <w:iCs/>
          <w:noProof/>
          <w:sz w:val="24"/>
        </w:rPr>
        <w:t>Market Assessment of Private Prepaid Schemes in Kenya</w:t>
      </w:r>
      <w:r w:rsidRPr="004F4010">
        <w:rPr>
          <w:rFonts w:ascii="Cambria" w:hAnsi="Cambria"/>
          <w:noProof/>
          <w:sz w:val="24"/>
        </w:rPr>
        <w:t xml:space="preserve"> (p. 129).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Deloitte Consulting. (2011b). </w:t>
      </w:r>
      <w:r w:rsidRPr="004F4010">
        <w:rPr>
          <w:rFonts w:ascii="Cambria" w:hAnsi="Cambria"/>
          <w:i/>
          <w:iCs/>
          <w:noProof/>
          <w:sz w:val="24"/>
        </w:rPr>
        <w:t>Strategic review of the National Hospital Insurance Fund-Kenya</w:t>
      </w:r>
      <w:r w:rsidRPr="004F4010">
        <w:rPr>
          <w:rFonts w:ascii="Cambria" w:hAnsi="Cambria"/>
          <w:noProof/>
          <w:sz w:val="24"/>
        </w:rPr>
        <w:t xml:space="preserve"> (p. 213). Nairobi. Retrieved from https://www.wbginvestmentclimate.org/advisory-services/health/upload/Strategic-review-of-the-NHIF-final.pdf</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Doetinchem, O., Carrin, G., &amp; Evans, D. (2010). Thinking of introducing social health insurance ? Ten questions. Geneva.</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Evans, D. B., &amp; Etienne, C. (2010). Health systems financing and the path to universal coverage. </w:t>
      </w:r>
      <w:r w:rsidRPr="004F4010">
        <w:rPr>
          <w:rFonts w:ascii="Cambria" w:hAnsi="Cambria"/>
          <w:i/>
          <w:iCs/>
          <w:noProof/>
          <w:sz w:val="24"/>
        </w:rPr>
        <w:t>World Health Bullitin</w:t>
      </w:r>
      <w:r w:rsidRPr="004F4010">
        <w:rPr>
          <w:rFonts w:ascii="Cambria" w:hAnsi="Cambria"/>
          <w:noProof/>
          <w:sz w:val="24"/>
        </w:rPr>
        <w:t xml:space="preserve">, </w:t>
      </w:r>
      <w:r w:rsidRPr="004F4010">
        <w:rPr>
          <w:rFonts w:ascii="Cambria" w:hAnsi="Cambria"/>
          <w:i/>
          <w:iCs/>
          <w:noProof/>
          <w:sz w:val="24"/>
        </w:rPr>
        <w:t>87</w:t>
      </w:r>
      <w:r w:rsidRPr="004F4010">
        <w:rPr>
          <w:rFonts w:ascii="Cambria" w:hAnsi="Cambria"/>
          <w:noProof/>
          <w:sz w:val="24"/>
        </w:rPr>
        <w:t>, 892–893. doi:10.2471/BLT.07.049387</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Goodman, C., Molyneux, S., Noor, A., Opwora, A., &amp; Fegan, G. (2013). TRACKING IMPLEMENTATION OF THE HEALTH SECTOR Research summary. London: RESYST.</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Goodman, C., Opwora, A., Kabare, M., &amp; Molyneux, S. (2011). Health facility committees and facility management - exploring the nature and depth of their roles in Coast Province , Kenya. </w:t>
      </w:r>
      <w:r w:rsidRPr="004F4010">
        <w:rPr>
          <w:rFonts w:ascii="Cambria" w:hAnsi="Cambria"/>
          <w:i/>
          <w:iCs/>
          <w:noProof/>
          <w:sz w:val="24"/>
        </w:rPr>
        <w:t>BMC Health Services Research</w:t>
      </w:r>
      <w:r w:rsidRPr="004F4010">
        <w:rPr>
          <w:rFonts w:ascii="Cambria" w:hAnsi="Cambria"/>
          <w:noProof/>
          <w:sz w:val="24"/>
        </w:rPr>
        <w:t xml:space="preserve">, </w:t>
      </w:r>
      <w:r w:rsidRPr="004F4010">
        <w:rPr>
          <w:rFonts w:ascii="Cambria" w:hAnsi="Cambria"/>
          <w:i/>
          <w:iCs/>
          <w:noProof/>
          <w:sz w:val="24"/>
        </w:rPr>
        <w:t>11</w:t>
      </w:r>
      <w:r w:rsidRPr="004F4010">
        <w:rPr>
          <w:rFonts w:ascii="Cambria" w:hAnsi="Cambria"/>
          <w:noProof/>
          <w:sz w:val="24"/>
        </w:rPr>
        <w:t>(1), 229. doi:10.1186/1472-6963-11-229</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lastRenderedPageBreak/>
        <w:t xml:space="preserve">Government of Kenya. (2012). </w:t>
      </w:r>
      <w:r w:rsidRPr="004F4010">
        <w:rPr>
          <w:rFonts w:ascii="Cambria" w:hAnsi="Cambria"/>
          <w:i/>
          <w:iCs/>
          <w:noProof/>
          <w:sz w:val="24"/>
        </w:rPr>
        <w:t>HEALTH SECTOR WORKING GROUP REPORT 2012</w:t>
      </w:r>
      <w:r w:rsidRPr="004F4010">
        <w:rPr>
          <w:rFonts w:ascii="Cambria" w:hAnsi="Cambria"/>
          <w:noProof/>
          <w:sz w:val="24"/>
        </w:rPr>
        <w:t xml:space="preserve"> (pp. 1–67).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Health Policy Project. (2013). Maternal &amp; Newborn Health Care in Kenya.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Jubilee Holdings Ltd. (2012). </w:t>
      </w:r>
      <w:r w:rsidRPr="004F4010">
        <w:rPr>
          <w:rFonts w:ascii="Cambria" w:hAnsi="Cambria"/>
          <w:i/>
          <w:iCs/>
          <w:noProof/>
          <w:sz w:val="24"/>
        </w:rPr>
        <w:t>Jubilee Holding: 2012 Annual Report &amp; FInancial Statements</w:t>
      </w:r>
      <w:r w:rsidRPr="004F4010">
        <w:rPr>
          <w:rFonts w:ascii="Cambria" w:hAnsi="Cambria"/>
          <w:noProof/>
          <w:sz w:val="24"/>
        </w:rPr>
        <w:t xml:space="preserve"> (pp. 1–45).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Kenya Demographics Profile 2013. (n.d.). Retrieved February 16, 2014, from http://www.indexmundi.com/kenya/demographics_profile.html</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Kenya Institute for Public Policy Research and Analysis. (2010). </w:t>
      </w:r>
      <w:r w:rsidRPr="004F4010">
        <w:rPr>
          <w:rFonts w:ascii="Cambria" w:hAnsi="Cambria"/>
          <w:i/>
          <w:iCs/>
          <w:noProof/>
          <w:sz w:val="24"/>
        </w:rPr>
        <w:t>Review of the Kenya Health Policy Framework 1994 - 2010</w:t>
      </w:r>
      <w:r w:rsidRPr="004F4010">
        <w:rPr>
          <w:rFonts w:ascii="Cambria" w:hAnsi="Cambria"/>
          <w:noProof/>
          <w:sz w:val="24"/>
        </w:rPr>
        <w:t xml:space="preserve">. </w:t>
      </w:r>
      <w:r w:rsidRPr="004F4010">
        <w:rPr>
          <w:rFonts w:ascii="Cambria" w:hAnsi="Cambria"/>
          <w:i/>
          <w:iCs/>
          <w:noProof/>
          <w:sz w:val="24"/>
        </w:rPr>
        <w:t>In Health</w:t>
      </w:r>
      <w:r w:rsidRPr="004F4010">
        <w:rPr>
          <w:rFonts w:ascii="Cambria" w:hAnsi="Cambria"/>
          <w:noProof/>
          <w:sz w:val="24"/>
        </w:rPr>
        <w:t xml:space="preserve"> (p. 249keny).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Kenya National AIDS and STI Control Programme (NASCOP). (2013). </w:t>
      </w:r>
      <w:r w:rsidRPr="004F4010">
        <w:rPr>
          <w:rFonts w:ascii="Cambria" w:hAnsi="Cambria"/>
          <w:i/>
          <w:iCs/>
          <w:noProof/>
          <w:sz w:val="24"/>
        </w:rPr>
        <w:t>KENYA AIDS INDICATOR SURVEY 2012 PRELIMINARY REPORT</w:t>
      </w:r>
      <w:r w:rsidRPr="004F4010">
        <w:rPr>
          <w:rFonts w:ascii="Cambria" w:hAnsi="Cambria"/>
          <w:noProof/>
          <w:sz w:val="24"/>
        </w:rPr>
        <w:t xml:space="preserve"> (pp. 1–32).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Kenya National Bureau of Statistics. (2006). </w:t>
      </w:r>
      <w:r w:rsidRPr="004F4010">
        <w:rPr>
          <w:rFonts w:ascii="Cambria" w:hAnsi="Cambria"/>
          <w:i/>
          <w:iCs/>
          <w:noProof/>
          <w:sz w:val="24"/>
        </w:rPr>
        <w:t>KENYA INTEGRATED HOUSEHOLD BUDGET SURVEY ( KIHBS )</w:t>
      </w:r>
      <w:r w:rsidRPr="004F4010">
        <w:rPr>
          <w:rFonts w:ascii="Cambria" w:hAnsi="Cambria"/>
          <w:noProof/>
          <w:sz w:val="24"/>
        </w:rPr>
        <w:t>.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Kenya National Bureau of Statistics. (2012). </w:t>
      </w:r>
      <w:r w:rsidRPr="004F4010">
        <w:rPr>
          <w:rFonts w:ascii="Cambria" w:hAnsi="Cambria"/>
          <w:i/>
          <w:iCs/>
          <w:noProof/>
          <w:sz w:val="24"/>
        </w:rPr>
        <w:t>Kenya facts and figures 2012</w:t>
      </w:r>
      <w:r w:rsidRPr="004F4010">
        <w:rPr>
          <w:rFonts w:ascii="Cambria" w:hAnsi="Cambria"/>
          <w:noProof/>
          <w:sz w:val="24"/>
        </w:rPr>
        <w:t>.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Kenya National Bureau of Statistics and ICF Macro. (2010). </w:t>
      </w:r>
      <w:r w:rsidRPr="004F4010">
        <w:rPr>
          <w:rFonts w:ascii="Cambria" w:hAnsi="Cambria"/>
          <w:i/>
          <w:iCs/>
          <w:noProof/>
          <w:sz w:val="24"/>
        </w:rPr>
        <w:t>Kenya Demographic and Health Survey 2008-9</w:t>
      </w:r>
      <w:r w:rsidRPr="004F4010">
        <w:rPr>
          <w:rFonts w:ascii="Cambria" w:hAnsi="Cambria"/>
          <w:noProof/>
          <w:sz w:val="24"/>
        </w:rPr>
        <w:t xml:space="preserve">. </w:t>
      </w:r>
      <w:r w:rsidRPr="004F4010">
        <w:rPr>
          <w:rFonts w:ascii="Cambria" w:hAnsi="Cambria"/>
          <w:i/>
          <w:iCs/>
          <w:noProof/>
          <w:sz w:val="24"/>
        </w:rPr>
        <w:t>Health (San Francisco)</w:t>
      </w:r>
      <w:r w:rsidRPr="004F4010">
        <w:rPr>
          <w:rFonts w:ascii="Cambria" w:hAnsi="Cambria"/>
          <w:noProof/>
          <w:sz w:val="24"/>
        </w:rPr>
        <w:t>.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KfW Bankengruppe. (2012). Vouchers for reproductive health care services in Kenya and Uganda. Frankfurt.</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Luoma, M., Doherty, J., Muchiri, S., Barasa, T., Hofler, K., Maniscalco, L., … Josephine, M. (2010). </w:t>
      </w:r>
      <w:r w:rsidRPr="004F4010">
        <w:rPr>
          <w:rFonts w:ascii="Cambria" w:hAnsi="Cambria"/>
          <w:i/>
          <w:iCs/>
          <w:noProof/>
          <w:sz w:val="24"/>
        </w:rPr>
        <w:t>KENYA HEALTH SYSTEM ASSESSMENT 2010</w:t>
      </w:r>
      <w:r w:rsidRPr="004F4010">
        <w:rPr>
          <w:rFonts w:ascii="Cambria" w:hAnsi="Cambria"/>
          <w:noProof/>
          <w:sz w:val="24"/>
        </w:rPr>
        <w:t xml:space="preserve">. </w:t>
      </w:r>
      <w:r w:rsidRPr="004F4010">
        <w:rPr>
          <w:rFonts w:ascii="Cambria" w:hAnsi="Cambria"/>
          <w:i/>
          <w:iCs/>
          <w:noProof/>
          <w:sz w:val="24"/>
        </w:rPr>
        <w:t>Communications</w:t>
      </w:r>
      <w:r w:rsidRPr="004F4010">
        <w:rPr>
          <w:rFonts w:ascii="Cambria" w:hAnsi="Cambria"/>
          <w:noProof/>
          <w:sz w:val="24"/>
        </w:rPr>
        <w:t xml:space="preserve"> (pp. 1–133). Bethesda, MD.</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lastRenderedPageBreak/>
        <w:t xml:space="preserve">Mikkelsen-Lopez, I., Wyss, K., &amp; de Savigny, D. (2011). An approach to addressing governance from a health system framework perspective. </w:t>
      </w:r>
      <w:r w:rsidRPr="004F4010">
        <w:rPr>
          <w:rFonts w:ascii="Cambria" w:hAnsi="Cambria"/>
          <w:i/>
          <w:iCs/>
          <w:noProof/>
          <w:sz w:val="24"/>
        </w:rPr>
        <w:t>BMC International Health and Human Rights</w:t>
      </w:r>
      <w:r w:rsidRPr="004F4010">
        <w:rPr>
          <w:rFonts w:ascii="Cambria" w:hAnsi="Cambria"/>
          <w:noProof/>
          <w:sz w:val="24"/>
        </w:rPr>
        <w:t xml:space="preserve">, </w:t>
      </w:r>
      <w:r w:rsidRPr="004F4010">
        <w:rPr>
          <w:rFonts w:ascii="Cambria" w:hAnsi="Cambria"/>
          <w:i/>
          <w:iCs/>
          <w:noProof/>
          <w:sz w:val="24"/>
        </w:rPr>
        <w:t>11</w:t>
      </w:r>
      <w:r w:rsidRPr="004F4010">
        <w:rPr>
          <w:rFonts w:ascii="Cambria" w:hAnsi="Cambria"/>
          <w:noProof/>
          <w:sz w:val="24"/>
        </w:rPr>
        <w:t>, 13. doi:10.1186/1472-698X-11-13</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Mills, A., Ataguba, J. E., Akazili, J., Borghi, J., Garshong, B., Makawia, S., … Mcintyre, D. (2012). Equity in financing and use of health care in Ghana, South Africa, and Tanzania : implications for paths to universal coverage. </w:t>
      </w:r>
      <w:r w:rsidRPr="004F4010">
        <w:rPr>
          <w:rFonts w:ascii="Cambria" w:hAnsi="Cambria"/>
          <w:i/>
          <w:iCs/>
          <w:noProof/>
          <w:sz w:val="24"/>
        </w:rPr>
        <w:t>The Lancet</w:t>
      </w:r>
      <w:r w:rsidRPr="004F4010">
        <w:rPr>
          <w:rFonts w:ascii="Cambria" w:hAnsi="Cambria"/>
          <w:noProof/>
          <w:sz w:val="24"/>
        </w:rPr>
        <w:t xml:space="preserve">, </w:t>
      </w:r>
      <w:r w:rsidRPr="004F4010">
        <w:rPr>
          <w:rFonts w:ascii="Cambria" w:hAnsi="Cambria"/>
          <w:i/>
          <w:iCs/>
          <w:noProof/>
          <w:sz w:val="24"/>
        </w:rPr>
        <w:t>6736</w:t>
      </w:r>
      <w:r w:rsidRPr="004F4010">
        <w:rPr>
          <w:rFonts w:ascii="Cambria" w:hAnsi="Cambria"/>
          <w:noProof/>
          <w:sz w:val="24"/>
        </w:rPr>
        <w:t>(12), 1–8. doi:10.1016/S0140-6736(12)60357-2</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Ministry of Medical Services &amp; Ministry of Public Health and Sanitation. (2010). </w:t>
      </w:r>
      <w:r w:rsidRPr="004F4010">
        <w:rPr>
          <w:rFonts w:ascii="Cambria" w:hAnsi="Cambria"/>
          <w:i/>
          <w:iCs/>
          <w:noProof/>
          <w:sz w:val="24"/>
        </w:rPr>
        <w:t>NATIONAL HEALTH ACCOUNTS 2009/10</w:t>
      </w:r>
      <w:r w:rsidRPr="004F4010">
        <w:rPr>
          <w:rFonts w:ascii="Cambria" w:hAnsi="Cambria"/>
          <w:noProof/>
          <w:sz w:val="24"/>
        </w:rPr>
        <w:t xml:space="preserve">. </w:t>
      </w:r>
      <w:r w:rsidRPr="004F4010">
        <w:rPr>
          <w:rFonts w:ascii="Cambria" w:hAnsi="Cambria"/>
          <w:i/>
          <w:iCs/>
          <w:noProof/>
          <w:sz w:val="24"/>
        </w:rPr>
        <w:t>Health (San Francisco)</w:t>
      </w:r>
      <w:r w:rsidRPr="004F4010">
        <w:rPr>
          <w:rFonts w:ascii="Cambria" w:hAnsi="Cambria"/>
          <w:noProof/>
          <w:sz w:val="24"/>
        </w:rPr>
        <w:t xml:space="preserve"> (p. 80).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Ministry of Medical Services &amp; Ministry of Public Health and Sanitation. (2012). </w:t>
      </w:r>
      <w:r w:rsidRPr="004F4010">
        <w:rPr>
          <w:rFonts w:ascii="Cambria" w:hAnsi="Cambria"/>
          <w:i/>
          <w:iCs/>
          <w:noProof/>
          <w:sz w:val="24"/>
        </w:rPr>
        <w:t>Kenya Health Policy 2012-2030</w:t>
      </w:r>
      <w:r w:rsidRPr="004F4010">
        <w:rPr>
          <w:rFonts w:ascii="Cambria" w:hAnsi="Cambria"/>
          <w:noProof/>
          <w:sz w:val="24"/>
        </w:rPr>
        <w:t xml:space="preserve"> (p. 43).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Ministry of Planning and National Development. (2007). Kenya Vision 2030. Nairobi: The National Economic and Social Council of Kenya (NESC) Office of the President, Ministry of Planning and National Development.</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Ministry of Public Health and Sanitation. (2008). </w:t>
      </w:r>
      <w:r w:rsidRPr="004F4010">
        <w:rPr>
          <w:rFonts w:ascii="Cambria" w:hAnsi="Cambria"/>
          <w:i/>
          <w:iCs/>
          <w:noProof/>
          <w:sz w:val="24"/>
        </w:rPr>
        <w:t>Ministry of Public Health and Sanitation Strategic plan 2008-2012</w:t>
      </w:r>
      <w:r w:rsidRPr="004F4010">
        <w:rPr>
          <w:rFonts w:ascii="Cambria" w:hAnsi="Cambria"/>
          <w:noProof/>
          <w:sz w:val="24"/>
        </w:rPr>
        <w:t xml:space="preserve"> (pp. 1–90).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Ministry of Public Health and Sanitation. (2011). </w:t>
      </w:r>
      <w:r w:rsidRPr="004F4010">
        <w:rPr>
          <w:rFonts w:ascii="Cambria" w:hAnsi="Cambria"/>
          <w:i/>
          <w:iCs/>
          <w:noProof/>
          <w:sz w:val="24"/>
        </w:rPr>
        <w:t>Ministry of Public Health and Sanitation Strategic plan 2008- 2012</w:t>
      </w:r>
      <w:r w:rsidRPr="004F4010">
        <w:rPr>
          <w:rFonts w:ascii="Cambria" w:hAnsi="Cambria"/>
          <w:noProof/>
          <w:sz w:val="24"/>
        </w:rPr>
        <w:t>.</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Ministry of Public Health and Sanitation &amp; Ministry of Medical Services Kenya. (2009). </w:t>
      </w:r>
      <w:r w:rsidRPr="004F4010">
        <w:rPr>
          <w:rFonts w:ascii="Cambria" w:hAnsi="Cambria"/>
          <w:i/>
          <w:iCs/>
          <w:noProof/>
          <w:sz w:val="24"/>
        </w:rPr>
        <w:t>National Malaria Strategy (2009-2017)</w:t>
      </w:r>
      <w:r w:rsidRPr="004F4010">
        <w:rPr>
          <w:rFonts w:ascii="Cambria" w:hAnsi="Cambria"/>
          <w:noProof/>
          <w:sz w:val="24"/>
        </w:rPr>
        <w:t xml:space="preserve"> (p. 116).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Ministry of State for Planning National Development and Vision 2030. (2012). </w:t>
      </w:r>
      <w:r w:rsidRPr="004F4010">
        <w:rPr>
          <w:rFonts w:ascii="Cambria" w:hAnsi="Cambria"/>
          <w:i/>
          <w:iCs/>
          <w:noProof/>
          <w:sz w:val="24"/>
        </w:rPr>
        <w:t>Kenya social protection sector review</w:t>
      </w:r>
      <w:r w:rsidRPr="004F4010">
        <w:rPr>
          <w:rFonts w:ascii="Cambria" w:hAnsi="Cambria"/>
          <w:noProof/>
          <w:sz w:val="24"/>
        </w:rPr>
        <w:t xml:space="preserve"> (pp. 1–172).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Muiya, B. M., &amp; Kamau, A. (2013). Universal health care in Kenya : Opportunities and challenges for the informal sector workers. </w:t>
      </w:r>
      <w:r w:rsidRPr="004F4010">
        <w:rPr>
          <w:rFonts w:ascii="Cambria" w:hAnsi="Cambria"/>
          <w:i/>
          <w:iCs/>
          <w:noProof/>
          <w:sz w:val="24"/>
        </w:rPr>
        <w:t>International Journal of Education and Research</w:t>
      </w:r>
      <w:r w:rsidRPr="004F4010">
        <w:rPr>
          <w:rFonts w:ascii="Cambria" w:hAnsi="Cambria"/>
          <w:noProof/>
          <w:sz w:val="24"/>
        </w:rPr>
        <w:t xml:space="preserve">, </w:t>
      </w:r>
      <w:r w:rsidRPr="004F4010">
        <w:rPr>
          <w:rFonts w:ascii="Cambria" w:hAnsi="Cambria"/>
          <w:i/>
          <w:iCs/>
          <w:noProof/>
          <w:sz w:val="24"/>
        </w:rPr>
        <w:t>1</w:t>
      </w:r>
      <w:r w:rsidRPr="004F4010">
        <w:rPr>
          <w:rFonts w:ascii="Cambria" w:hAnsi="Cambria"/>
          <w:noProof/>
          <w:sz w:val="24"/>
        </w:rPr>
        <w:t>(11), 1–10.</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lastRenderedPageBreak/>
        <w:t xml:space="preserve">Murkomen, O. K. (2012). Devolution and the Health System in Kenya. In </w:t>
      </w:r>
      <w:r w:rsidRPr="004F4010">
        <w:rPr>
          <w:rFonts w:ascii="Cambria" w:hAnsi="Cambria"/>
          <w:i/>
          <w:iCs/>
          <w:noProof/>
          <w:sz w:val="24"/>
        </w:rPr>
        <w:t>Devolution and Health Consultative Meeting</w:t>
      </w:r>
      <w:r w:rsidRPr="004F4010">
        <w:rPr>
          <w:rFonts w:ascii="Cambria" w:hAnsi="Cambria"/>
          <w:noProof/>
          <w:sz w:val="24"/>
        </w:rPr>
        <w:t>. Nairobi: USAID.</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Mwaura, J. W., &amp; Pongpanich, S. (2012). Access to health care: the role of a community based health insurance in Kenya. </w:t>
      </w:r>
      <w:r w:rsidRPr="004F4010">
        <w:rPr>
          <w:rFonts w:ascii="Cambria" w:hAnsi="Cambria"/>
          <w:i/>
          <w:iCs/>
          <w:noProof/>
          <w:sz w:val="24"/>
        </w:rPr>
        <w:t>The Pan African Medical Journal</w:t>
      </w:r>
      <w:r w:rsidRPr="004F4010">
        <w:rPr>
          <w:rFonts w:ascii="Cambria" w:hAnsi="Cambria"/>
          <w:noProof/>
          <w:sz w:val="24"/>
        </w:rPr>
        <w:t xml:space="preserve">, </w:t>
      </w:r>
      <w:r w:rsidRPr="004F4010">
        <w:rPr>
          <w:rFonts w:ascii="Cambria" w:hAnsi="Cambria"/>
          <w:i/>
          <w:iCs/>
          <w:noProof/>
          <w:sz w:val="24"/>
        </w:rPr>
        <w:t>12</w:t>
      </w:r>
      <w:r w:rsidRPr="004F4010">
        <w:rPr>
          <w:rFonts w:ascii="Cambria" w:hAnsi="Cambria"/>
          <w:noProof/>
          <w:sz w:val="24"/>
        </w:rPr>
        <w:t>, 35. Retrieved from http://www.pubmedcentral.nih.gov/articlerender.fcgi?artid=3415056&amp;tool=pmcentrez&amp;rendertype=abstract</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NACC and NASCOP. (2012). </w:t>
      </w:r>
      <w:r w:rsidRPr="004F4010">
        <w:rPr>
          <w:rFonts w:ascii="Cambria" w:hAnsi="Cambria"/>
          <w:i/>
          <w:iCs/>
          <w:noProof/>
          <w:sz w:val="24"/>
        </w:rPr>
        <w:t>The Kenya AIDS Epidemic Update 2011</w:t>
      </w:r>
      <w:r w:rsidRPr="004F4010">
        <w:rPr>
          <w:rFonts w:ascii="Cambria" w:hAnsi="Cambria"/>
          <w:noProof/>
          <w:sz w:val="24"/>
        </w:rPr>
        <w:t xml:space="preserve">. </w:t>
      </w:r>
      <w:r w:rsidRPr="004F4010">
        <w:rPr>
          <w:rFonts w:ascii="Cambria" w:hAnsi="Cambria"/>
          <w:i/>
          <w:iCs/>
          <w:noProof/>
          <w:sz w:val="24"/>
        </w:rPr>
        <w:t>Update</w:t>
      </w:r>
      <w:r w:rsidRPr="004F4010">
        <w:rPr>
          <w:rFonts w:ascii="Cambria" w:hAnsi="Cambria"/>
          <w:noProof/>
          <w:sz w:val="24"/>
        </w:rPr>
        <w:t xml:space="preserve"> (p. 144).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National AIDS/STI Control Program (NASCOP) Kenya. (2011). </w:t>
      </w:r>
      <w:r w:rsidRPr="004F4010">
        <w:rPr>
          <w:rFonts w:ascii="Cambria" w:hAnsi="Cambria"/>
          <w:i/>
          <w:iCs/>
          <w:noProof/>
          <w:sz w:val="24"/>
        </w:rPr>
        <w:t>Guidelines for antiretroviral therapy in Kenya 4th Edition 2011</w:t>
      </w:r>
      <w:r w:rsidRPr="004F4010">
        <w:rPr>
          <w:rFonts w:ascii="Cambria" w:hAnsi="Cambria"/>
          <w:noProof/>
          <w:sz w:val="24"/>
        </w:rPr>
        <w:t>.</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National Coordinating Agency for Population and Development. (2010). </w:t>
      </w:r>
      <w:r w:rsidRPr="004F4010">
        <w:rPr>
          <w:rFonts w:ascii="Cambria" w:hAnsi="Cambria"/>
          <w:i/>
          <w:iCs/>
          <w:noProof/>
          <w:sz w:val="24"/>
        </w:rPr>
        <w:t>Kenya Service Provision Assessment (SPA) 2010</w:t>
      </w:r>
      <w:r w:rsidRPr="004F4010">
        <w:rPr>
          <w:rFonts w:ascii="Cambria" w:hAnsi="Cambria"/>
          <w:noProof/>
          <w:sz w:val="24"/>
        </w:rPr>
        <w:t xml:space="preserve">. </w:t>
      </w:r>
      <w:r w:rsidRPr="004F4010">
        <w:rPr>
          <w:rFonts w:ascii="Cambria" w:hAnsi="Cambria"/>
          <w:i/>
          <w:iCs/>
          <w:noProof/>
          <w:sz w:val="24"/>
        </w:rPr>
        <w:t>Public Health</w:t>
      </w:r>
      <w:r w:rsidRPr="004F4010">
        <w:rPr>
          <w:rFonts w:ascii="Cambria" w:hAnsi="Cambria"/>
          <w:noProof/>
          <w:sz w:val="24"/>
        </w:rPr>
        <w:t xml:space="preserve"> (pp. 1–695).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Nayyar-stone, R., &amp; Street, M. (2006). </w:t>
      </w:r>
      <w:r w:rsidRPr="004F4010">
        <w:rPr>
          <w:rFonts w:ascii="Cambria" w:hAnsi="Cambria"/>
          <w:i/>
          <w:iCs/>
          <w:noProof/>
          <w:sz w:val="24"/>
        </w:rPr>
        <w:t>ASSESSING THE IMPACT OF DEVOLUTION ON HEALTHCARE AND EDUCATION IN PAKISTAN Prepared for Prepared by Robert Ebel Sonia Ignatova Khalid Rashid with United States Agency for International Development Contract No . DFD-I-00</w:t>
      </w:r>
      <w:r w:rsidRPr="004F4010">
        <w:rPr>
          <w:rFonts w:ascii="Cambria" w:hAnsi="Cambria"/>
          <w:noProof/>
          <w:sz w:val="24"/>
        </w:rPr>
        <w:t xml:space="preserve"> (Vol. 1). Washington DC.</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Ramana, G. N. V, Chepkoech, R., &amp; Workie, N. W. (2013). Improving Universal Primary Health Care by Kenya: A case study of the health sector services fund. Washington DC.</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Reproductive health at a glance kenya. (2011).</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Sachs, J. D. (2012). Achieving universal health coverage in low-income settings. </w:t>
      </w:r>
      <w:r w:rsidRPr="004F4010">
        <w:rPr>
          <w:rFonts w:ascii="Cambria" w:hAnsi="Cambria"/>
          <w:i/>
          <w:iCs/>
          <w:noProof/>
          <w:sz w:val="24"/>
        </w:rPr>
        <w:t>The Lancet</w:t>
      </w:r>
      <w:r w:rsidRPr="004F4010">
        <w:rPr>
          <w:rFonts w:ascii="Cambria" w:hAnsi="Cambria"/>
          <w:noProof/>
          <w:sz w:val="24"/>
        </w:rPr>
        <w:t xml:space="preserve">, </w:t>
      </w:r>
      <w:r w:rsidRPr="004F4010">
        <w:rPr>
          <w:rFonts w:ascii="Cambria" w:hAnsi="Cambria"/>
          <w:i/>
          <w:iCs/>
          <w:noProof/>
          <w:sz w:val="24"/>
        </w:rPr>
        <w:t>380</w:t>
      </w:r>
      <w:r w:rsidRPr="004F4010">
        <w:rPr>
          <w:rFonts w:ascii="Cambria" w:hAnsi="Cambria"/>
          <w:noProof/>
          <w:sz w:val="24"/>
        </w:rPr>
        <w:t>(9845), 944–947. doi:10.1016/S0140-6736(12)61149-0</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lastRenderedPageBreak/>
        <w:t xml:space="preserve">Spaan, E., Mathijssen, J., Tromp, N., Mcbain, F., &amp; Baltussen, R. (2012). The impact of health insurance in Africa and Asia : a systematic review. </w:t>
      </w:r>
      <w:r w:rsidRPr="004F4010">
        <w:rPr>
          <w:rFonts w:ascii="Cambria" w:hAnsi="Cambria"/>
          <w:i/>
          <w:iCs/>
          <w:noProof/>
          <w:sz w:val="24"/>
        </w:rPr>
        <w:t>Bulletin of the World Health Organization</w:t>
      </w:r>
      <w:r w:rsidRPr="004F4010">
        <w:rPr>
          <w:rFonts w:ascii="Cambria" w:hAnsi="Cambria"/>
          <w:noProof/>
          <w:sz w:val="24"/>
        </w:rPr>
        <w:t xml:space="preserve">, </w:t>
      </w:r>
      <w:r w:rsidRPr="004F4010">
        <w:rPr>
          <w:rFonts w:ascii="Cambria" w:hAnsi="Cambria"/>
          <w:i/>
          <w:iCs/>
          <w:noProof/>
          <w:sz w:val="24"/>
        </w:rPr>
        <w:t>90</w:t>
      </w:r>
      <w:r w:rsidRPr="004F4010">
        <w:rPr>
          <w:rFonts w:ascii="Cambria" w:hAnsi="Cambria"/>
          <w:noProof/>
          <w:sz w:val="24"/>
        </w:rPr>
        <w:t>(January), 685–692. doi:10.2471/BLT.12.102301</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The Constitution of Kenya, 2010. , Human Rights (2010). Kenya: PNational Council for Law Reporting with the Authority of the Attorney General.</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The World Bank. (2010). Private Health Sector Assessment in Kenya. Washington DC.</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The World Bank. (2012). </w:t>
      </w:r>
      <w:r w:rsidRPr="004F4010">
        <w:rPr>
          <w:rFonts w:ascii="Cambria" w:hAnsi="Cambria"/>
          <w:i/>
          <w:iCs/>
          <w:noProof/>
          <w:sz w:val="24"/>
        </w:rPr>
        <w:t>DEVOLUTION WITHOUT DISRUPTION – PATHWAYS TO A SUCCESSFUL NEW KENYA</w:t>
      </w:r>
      <w:r w:rsidRPr="004F4010">
        <w:rPr>
          <w:rFonts w:ascii="Cambria" w:hAnsi="Cambria"/>
          <w:noProof/>
          <w:sz w:val="24"/>
        </w:rPr>
        <w:t xml:space="preserve"> (pp. 1–26).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Transparency International-Kenya. (2011). </w:t>
      </w:r>
      <w:r w:rsidRPr="004F4010">
        <w:rPr>
          <w:rFonts w:ascii="Cambria" w:hAnsi="Cambria"/>
          <w:i/>
          <w:iCs/>
          <w:noProof/>
          <w:sz w:val="24"/>
        </w:rPr>
        <w:t>The Kenya Health Sector Integrity Study Report</w:t>
      </w:r>
      <w:r w:rsidRPr="004F4010">
        <w:rPr>
          <w:rFonts w:ascii="Cambria" w:hAnsi="Cambria"/>
          <w:noProof/>
          <w:sz w:val="24"/>
        </w:rPr>
        <w:t>. Nairobi.</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USAID Kenya. (2010). </w:t>
      </w:r>
      <w:r w:rsidRPr="004F4010">
        <w:rPr>
          <w:rFonts w:ascii="Cambria" w:hAnsi="Cambria"/>
          <w:i/>
          <w:iCs/>
          <w:noProof/>
          <w:sz w:val="24"/>
        </w:rPr>
        <w:t>USAID / KENYA FIVE YEAR IMPLEMENTATION FRAMEWORK FOR THE HEALTH SECTOR</w:t>
      </w:r>
      <w:r w:rsidRPr="004F4010">
        <w:rPr>
          <w:rFonts w:ascii="Cambria" w:hAnsi="Cambria"/>
          <w:noProof/>
          <w:sz w:val="24"/>
        </w:rPr>
        <w:t xml:space="preserve">. </w:t>
      </w:r>
      <w:r w:rsidRPr="004F4010">
        <w:rPr>
          <w:rFonts w:ascii="Cambria" w:hAnsi="Cambria"/>
          <w:i/>
          <w:iCs/>
          <w:noProof/>
          <w:sz w:val="24"/>
        </w:rPr>
        <w:t>World Health</w:t>
      </w:r>
      <w:r w:rsidRPr="004F4010">
        <w:rPr>
          <w:rFonts w:ascii="Cambria" w:hAnsi="Cambria"/>
          <w:noProof/>
          <w:sz w:val="24"/>
        </w:rPr>
        <w:t>.</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USAID LMG PROJECT. (2012). </w:t>
      </w:r>
      <w:r w:rsidRPr="004F4010">
        <w:rPr>
          <w:rFonts w:ascii="Cambria" w:hAnsi="Cambria"/>
          <w:i/>
          <w:iCs/>
          <w:noProof/>
          <w:sz w:val="24"/>
        </w:rPr>
        <w:t>Governing for Better Health: A targeted literature review</w:t>
      </w:r>
      <w:r w:rsidRPr="004F4010">
        <w:rPr>
          <w:rFonts w:ascii="Cambria" w:hAnsi="Cambria"/>
          <w:noProof/>
          <w:sz w:val="24"/>
        </w:rPr>
        <w:t xml:space="preserve"> (pp. 1–58). Cambridge, MA.</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Van Malderen, C., Ogali, I., Khasakhala, A., Muchiri, S. N., Sparks, C., Van Oyen, H., &amp; Speybroeck, N. (2013). Decomposing Kenyan socio-economic inequalities in skilled birth attendance and measles immunization. </w:t>
      </w:r>
      <w:r w:rsidRPr="004F4010">
        <w:rPr>
          <w:rFonts w:ascii="Cambria" w:hAnsi="Cambria"/>
          <w:i/>
          <w:iCs/>
          <w:noProof/>
          <w:sz w:val="24"/>
        </w:rPr>
        <w:t>International Journal for Equity in Health</w:t>
      </w:r>
      <w:r w:rsidRPr="004F4010">
        <w:rPr>
          <w:rFonts w:ascii="Cambria" w:hAnsi="Cambria"/>
          <w:noProof/>
          <w:sz w:val="24"/>
        </w:rPr>
        <w:t xml:space="preserve">, </w:t>
      </w:r>
      <w:r w:rsidRPr="004F4010">
        <w:rPr>
          <w:rFonts w:ascii="Cambria" w:hAnsi="Cambria"/>
          <w:i/>
          <w:iCs/>
          <w:noProof/>
          <w:sz w:val="24"/>
        </w:rPr>
        <w:t>12</w:t>
      </w:r>
      <w:r w:rsidRPr="004F4010">
        <w:rPr>
          <w:rFonts w:ascii="Cambria" w:hAnsi="Cambria"/>
          <w:noProof/>
          <w:sz w:val="24"/>
        </w:rPr>
        <w:t>, 3. doi:10.1186/1475-9276-12-3</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World Health Organization. (2005). WHA58.33 Sustainable health financing , universal coverage and social health. In </w:t>
      </w:r>
      <w:r w:rsidRPr="004F4010">
        <w:rPr>
          <w:rFonts w:ascii="Cambria" w:hAnsi="Cambria"/>
          <w:i/>
          <w:iCs/>
          <w:noProof/>
          <w:sz w:val="24"/>
        </w:rPr>
        <w:t>58th World Health Assembly</w:t>
      </w:r>
      <w:r w:rsidRPr="004F4010">
        <w:rPr>
          <w:rFonts w:ascii="Cambria" w:hAnsi="Cambria"/>
          <w:noProof/>
          <w:sz w:val="24"/>
        </w:rPr>
        <w:t xml:space="preserve"> (pp. 139–140). Geneva: World Health Organization.</w:t>
      </w:r>
    </w:p>
    <w:p w:rsidR="004F4010" w:rsidRPr="004F4010" w:rsidRDefault="004F4010">
      <w:pPr>
        <w:pStyle w:val="NormalWeb"/>
        <w:ind w:left="480" w:hanging="480"/>
        <w:divId w:val="483938589"/>
        <w:rPr>
          <w:rFonts w:ascii="Cambria" w:hAnsi="Cambria"/>
          <w:noProof/>
          <w:sz w:val="24"/>
        </w:rPr>
      </w:pPr>
      <w:r w:rsidRPr="004F4010">
        <w:rPr>
          <w:rFonts w:ascii="Cambria" w:hAnsi="Cambria"/>
          <w:noProof/>
          <w:sz w:val="24"/>
        </w:rPr>
        <w:t xml:space="preserve">World Health Organization. (2010). </w:t>
      </w:r>
      <w:r w:rsidRPr="004F4010">
        <w:rPr>
          <w:rFonts w:ascii="Cambria" w:hAnsi="Cambria"/>
          <w:i/>
          <w:iCs/>
          <w:noProof/>
          <w:sz w:val="24"/>
        </w:rPr>
        <w:t>The World Health Report. HEALTH SYSTEMS FINANCING: the path to universal coverage</w:t>
      </w:r>
      <w:r w:rsidRPr="004F4010">
        <w:rPr>
          <w:rFonts w:ascii="Cambria" w:hAnsi="Cambria"/>
          <w:noProof/>
          <w:sz w:val="24"/>
        </w:rPr>
        <w:t>. Geneva.</w:t>
      </w:r>
    </w:p>
    <w:p w:rsidR="0007030C" w:rsidRPr="009A6F69" w:rsidRDefault="001B3B9E" w:rsidP="004F4010">
      <w:pPr>
        <w:pStyle w:val="NormalWeb"/>
        <w:spacing w:before="0" w:beforeAutospacing="0" w:after="0" w:afterAutospacing="0" w:line="240" w:lineRule="auto"/>
        <w:ind w:left="480" w:hanging="480"/>
        <w:divId w:val="491945185"/>
        <w:rPr>
          <w:lang w:val="en-GB"/>
        </w:rPr>
      </w:pPr>
      <w:r w:rsidRPr="009A6F69">
        <w:rPr>
          <w:lang w:val="en-GB"/>
        </w:rPr>
        <w:lastRenderedPageBreak/>
        <w:fldChar w:fldCharType="end"/>
      </w:r>
    </w:p>
    <w:p w:rsidR="0007030C" w:rsidRPr="009A6F69" w:rsidRDefault="0007030C" w:rsidP="00C53E77">
      <w:pPr>
        <w:rPr>
          <w:lang w:val="en-GB"/>
        </w:rPr>
      </w:pPr>
    </w:p>
    <w:p w:rsidR="00D83144" w:rsidRPr="009A6F69" w:rsidRDefault="00D83144">
      <w:pPr>
        <w:rPr>
          <w:lang w:val="en-GB"/>
        </w:rPr>
      </w:pPr>
      <w:r w:rsidRPr="009A6F69">
        <w:rPr>
          <w:lang w:val="en-GB"/>
        </w:rPr>
        <w:br w:type="page"/>
      </w:r>
    </w:p>
    <w:p w:rsidR="0076201B" w:rsidRPr="009A6F69" w:rsidRDefault="00A41DA1" w:rsidP="006B5F55">
      <w:pPr>
        <w:pStyle w:val="Heading2"/>
        <w:rPr>
          <w:lang w:val="en-GB"/>
        </w:rPr>
      </w:pPr>
      <w:bookmarkStart w:id="46" w:name="_Toc254256141"/>
      <w:r w:rsidRPr="009A6F69">
        <w:rPr>
          <w:lang w:val="en-GB"/>
        </w:rPr>
        <w:lastRenderedPageBreak/>
        <w:t xml:space="preserve">Appendix 2: </w:t>
      </w:r>
      <w:r w:rsidR="00C61885" w:rsidRPr="009A6F69">
        <w:rPr>
          <w:lang w:val="en-GB"/>
        </w:rPr>
        <w:t xml:space="preserve">Draft Interview Guide and </w:t>
      </w:r>
      <w:r w:rsidR="00EB43F3" w:rsidRPr="009A6F69">
        <w:rPr>
          <w:lang w:val="en-GB"/>
        </w:rPr>
        <w:t xml:space="preserve">Proposed </w:t>
      </w:r>
      <w:r w:rsidRPr="009A6F69">
        <w:rPr>
          <w:lang w:val="en-GB"/>
        </w:rPr>
        <w:t>Key Informant Interviewees</w:t>
      </w:r>
      <w:bookmarkEnd w:id="46"/>
      <w:r w:rsidRPr="009A6F69">
        <w:rPr>
          <w:lang w:val="en-GB"/>
        </w:rPr>
        <w:t xml:space="preserve"> </w:t>
      </w:r>
    </w:p>
    <w:p w:rsidR="00274704" w:rsidRPr="009A6F69" w:rsidRDefault="00274704" w:rsidP="00FA11A1">
      <w:pPr>
        <w:spacing w:after="0" w:line="240" w:lineRule="auto"/>
        <w:rPr>
          <w:b/>
          <w:lang w:val="en-GB"/>
        </w:rPr>
      </w:pPr>
      <w:r w:rsidRPr="009A6F69">
        <w:rPr>
          <w:b/>
          <w:lang w:val="en-GB"/>
        </w:rPr>
        <w:t>Improve access to those areas that do not have adequate number of health facilities.</w:t>
      </w:r>
    </w:p>
    <w:p w:rsidR="00274704" w:rsidRPr="009A6F69" w:rsidRDefault="00274704" w:rsidP="00FA11A1">
      <w:pPr>
        <w:pStyle w:val="ListParagraph"/>
        <w:numPr>
          <w:ilvl w:val="0"/>
          <w:numId w:val="12"/>
        </w:numPr>
        <w:spacing w:after="0" w:line="240" w:lineRule="auto"/>
        <w:rPr>
          <w:lang w:val="en-GB"/>
        </w:rPr>
      </w:pPr>
      <w:r w:rsidRPr="009A6F69">
        <w:rPr>
          <w:lang w:val="en-GB"/>
        </w:rPr>
        <w:t>What incentives are needed to encourage private health providers to set up health facilities in ‘neglected areas’?</w:t>
      </w:r>
    </w:p>
    <w:p w:rsidR="00F4565D" w:rsidRPr="009A6F69" w:rsidRDefault="00F4565D" w:rsidP="00FA11A1">
      <w:pPr>
        <w:pStyle w:val="ListParagraph"/>
        <w:numPr>
          <w:ilvl w:val="0"/>
          <w:numId w:val="12"/>
        </w:numPr>
        <w:spacing w:after="0" w:line="240" w:lineRule="auto"/>
        <w:rPr>
          <w:lang w:val="en-GB"/>
        </w:rPr>
      </w:pPr>
      <w:r w:rsidRPr="009A6F69">
        <w:rPr>
          <w:lang w:val="en-GB"/>
        </w:rPr>
        <w:t xml:space="preserve">What and how should the national ministry of health ensure that county governments invest in the required </w:t>
      </w:r>
      <w:r w:rsidR="001D696F" w:rsidRPr="009A6F69">
        <w:rPr>
          <w:lang w:val="en-GB"/>
        </w:rPr>
        <w:t>infrastructure</w:t>
      </w:r>
      <w:r w:rsidRPr="009A6F69">
        <w:rPr>
          <w:lang w:val="en-GB"/>
        </w:rPr>
        <w:t xml:space="preserve"> to ensure adequate health facilities?  </w:t>
      </w:r>
    </w:p>
    <w:p w:rsidR="00274704" w:rsidRPr="009A6F69" w:rsidRDefault="00274704" w:rsidP="00FA11A1">
      <w:pPr>
        <w:pStyle w:val="ListParagraph"/>
        <w:numPr>
          <w:ilvl w:val="0"/>
          <w:numId w:val="12"/>
        </w:numPr>
        <w:spacing w:after="0" w:line="240" w:lineRule="auto"/>
        <w:rPr>
          <w:lang w:val="en-GB"/>
        </w:rPr>
      </w:pPr>
      <w:r w:rsidRPr="009A6F69">
        <w:rPr>
          <w:lang w:val="en-GB"/>
        </w:rPr>
        <w:t>What should be done to motivate private health providers to provide the basic health package as outlined in KEPH?</w:t>
      </w:r>
    </w:p>
    <w:p w:rsidR="00274704" w:rsidRPr="009A6F69" w:rsidRDefault="00274704" w:rsidP="00FA11A1">
      <w:pPr>
        <w:pStyle w:val="ListParagraph"/>
        <w:numPr>
          <w:ilvl w:val="0"/>
          <w:numId w:val="12"/>
        </w:numPr>
        <w:spacing w:after="0" w:line="240" w:lineRule="auto"/>
        <w:rPr>
          <w:lang w:val="en-GB"/>
        </w:rPr>
      </w:pPr>
      <w:r w:rsidRPr="009A6F69">
        <w:rPr>
          <w:lang w:val="en-GB"/>
        </w:rPr>
        <w:t xml:space="preserve">Which interventions in KEPH are not feasible under a basic package for health? </w:t>
      </w:r>
    </w:p>
    <w:p w:rsidR="00274704" w:rsidRPr="009A6F69" w:rsidRDefault="00274704" w:rsidP="00FA11A1">
      <w:pPr>
        <w:pStyle w:val="ListParagraph"/>
        <w:numPr>
          <w:ilvl w:val="0"/>
          <w:numId w:val="12"/>
        </w:numPr>
        <w:spacing w:after="0" w:line="240" w:lineRule="auto"/>
        <w:rPr>
          <w:lang w:val="en-GB"/>
        </w:rPr>
      </w:pPr>
      <w:r w:rsidRPr="009A6F69">
        <w:rPr>
          <w:lang w:val="en-GB"/>
        </w:rPr>
        <w:t xml:space="preserve">How should public and private sectors work to ensure the poor, the vulnerable segments of the population have financial protection in </w:t>
      </w:r>
      <w:r w:rsidR="006C76DB" w:rsidRPr="009A6F69">
        <w:rPr>
          <w:lang w:val="en-GB"/>
        </w:rPr>
        <w:t>healthcare?</w:t>
      </w:r>
    </w:p>
    <w:p w:rsidR="00274704" w:rsidRPr="009A6F69" w:rsidRDefault="00274704" w:rsidP="00FA11A1">
      <w:pPr>
        <w:spacing w:after="0" w:line="240" w:lineRule="auto"/>
        <w:rPr>
          <w:lang w:val="en-GB"/>
        </w:rPr>
      </w:pPr>
    </w:p>
    <w:p w:rsidR="00274704" w:rsidRPr="009A6F69" w:rsidRDefault="00274704" w:rsidP="00FA11A1">
      <w:pPr>
        <w:spacing w:after="0" w:line="240" w:lineRule="auto"/>
        <w:rPr>
          <w:b/>
          <w:lang w:val="en-GB"/>
        </w:rPr>
      </w:pPr>
      <w:r w:rsidRPr="009A6F69">
        <w:rPr>
          <w:b/>
          <w:lang w:val="en-GB"/>
        </w:rPr>
        <w:t>Improve</w:t>
      </w:r>
      <w:r w:rsidR="00F6173A" w:rsidRPr="009A6F69">
        <w:rPr>
          <w:b/>
          <w:lang w:val="en-GB"/>
        </w:rPr>
        <w:t xml:space="preserve"> e</w:t>
      </w:r>
      <w:r w:rsidRPr="009A6F69">
        <w:rPr>
          <w:b/>
          <w:lang w:val="en-GB"/>
        </w:rPr>
        <w:t xml:space="preserve">fficiency and effectiveness of care </w:t>
      </w:r>
    </w:p>
    <w:p w:rsidR="00274704" w:rsidRPr="009A6F69" w:rsidRDefault="00274704" w:rsidP="00FA11A1">
      <w:pPr>
        <w:pStyle w:val="ListParagraph"/>
        <w:numPr>
          <w:ilvl w:val="0"/>
          <w:numId w:val="13"/>
        </w:numPr>
        <w:spacing w:after="0" w:line="240" w:lineRule="auto"/>
        <w:rPr>
          <w:lang w:val="en-GB"/>
        </w:rPr>
      </w:pPr>
      <w:r w:rsidRPr="009A6F69">
        <w:rPr>
          <w:lang w:val="en-GB"/>
        </w:rPr>
        <w:t>Should private health clinics and dispensaries access HSSF? Elaborate on answer.</w:t>
      </w:r>
    </w:p>
    <w:p w:rsidR="00274704" w:rsidRPr="009A6F69" w:rsidRDefault="00274704" w:rsidP="00FA11A1">
      <w:pPr>
        <w:pStyle w:val="ListParagraph"/>
        <w:numPr>
          <w:ilvl w:val="0"/>
          <w:numId w:val="13"/>
        </w:numPr>
        <w:spacing w:after="0" w:line="240" w:lineRule="auto"/>
        <w:rPr>
          <w:lang w:val="en-GB"/>
        </w:rPr>
      </w:pPr>
      <w:r w:rsidRPr="009A6F69">
        <w:rPr>
          <w:lang w:val="en-GB"/>
        </w:rPr>
        <w:t>Should NHIF and other private insurance companies contribute to HSSF?</w:t>
      </w:r>
    </w:p>
    <w:p w:rsidR="00274704" w:rsidRPr="009A6F69" w:rsidRDefault="00274704" w:rsidP="00FA11A1">
      <w:pPr>
        <w:spacing w:after="0" w:line="240" w:lineRule="auto"/>
        <w:rPr>
          <w:lang w:val="en-GB"/>
        </w:rPr>
      </w:pPr>
    </w:p>
    <w:p w:rsidR="00274704" w:rsidRPr="009A6F69" w:rsidRDefault="00274704" w:rsidP="00FA11A1">
      <w:pPr>
        <w:spacing w:after="0" w:line="240" w:lineRule="auto"/>
        <w:rPr>
          <w:b/>
          <w:lang w:val="en-GB"/>
        </w:rPr>
      </w:pPr>
      <w:r w:rsidRPr="009A6F69">
        <w:rPr>
          <w:b/>
          <w:lang w:val="en-GB"/>
        </w:rPr>
        <w:t>Quality of care</w:t>
      </w:r>
    </w:p>
    <w:p w:rsidR="00274704" w:rsidRPr="009A6F69" w:rsidRDefault="00274704" w:rsidP="00FA11A1">
      <w:pPr>
        <w:pStyle w:val="ListParagraph"/>
        <w:numPr>
          <w:ilvl w:val="0"/>
          <w:numId w:val="13"/>
        </w:numPr>
        <w:spacing w:after="0" w:line="240" w:lineRule="auto"/>
        <w:rPr>
          <w:lang w:val="en-GB"/>
        </w:rPr>
      </w:pPr>
      <w:r w:rsidRPr="009A6F69">
        <w:rPr>
          <w:lang w:val="en-GB"/>
        </w:rPr>
        <w:t xml:space="preserve">What should be done to ensure that private health facilities provide an adequate quality of service? </w:t>
      </w:r>
    </w:p>
    <w:p w:rsidR="00551B7F" w:rsidRPr="009A6F69" w:rsidRDefault="00551B7F" w:rsidP="00551B7F">
      <w:pPr>
        <w:pStyle w:val="ListParagraph"/>
        <w:numPr>
          <w:ilvl w:val="0"/>
          <w:numId w:val="13"/>
        </w:numPr>
        <w:spacing w:after="0" w:line="240" w:lineRule="auto"/>
        <w:rPr>
          <w:lang w:val="en-GB"/>
        </w:rPr>
      </w:pPr>
      <w:r w:rsidRPr="009A6F69">
        <w:rPr>
          <w:lang w:val="en-GB"/>
        </w:rPr>
        <w:t>What should be done to ensure an equitable distribution of health workers around the country?</w:t>
      </w:r>
    </w:p>
    <w:p w:rsidR="00274704" w:rsidRPr="009A6F69" w:rsidRDefault="00274704" w:rsidP="001849AA">
      <w:pPr>
        <w:pStyle w:val="ListParagraph"/>
        <w:spacing w:after="0" w:line="240" w:lineRule="auto"/>
        <w:rPr>
          <w:lang w:val="en-GB"/>
        </w:rPr>
      </w:pPr>
    </w:p>
    <w:p w:rsidR="00274704" w:rsidRPr="009A6F69" w:rsidRDefault="00274704" w:rsidP="00274704">
      <w:pPr>
        <w:spacing w:after="0" w:line="240" w:lineRule="auto"/>
        <w:rPr>
          <w:b/>
          <w:lang w:val="en-GB"/>
        </w:rPr>
      </w:pPr>
      <w:r w:rsidRPr="009A6F69">
        <w:rPr>
          <w:b/>
          <w:lang w:val="en-GB"/>
        </w:rPr>
        <w:t xml:space="preserve">Financial Protection </w:t>
      </w:r>
      <w:r w:rsidR="00E10C8D" w:rsidRPr="009A6F69">
        <w:rPr>
          <w:b/>
          <w:lang w:val="en-GB"/>
        </w:rPr>
        <w:t>and Equity</w:t>
      </w:r>
    </w:p>
    <w:p w:rsidR="00274704" w:rsidRPr="009A6F69" w:rsidRDefault="00274704" w:rsidP="00FA11A1">
      <w:pPr>
        <w:pStyle w:val="ListParagraph"/>
        <w:numPr>
          <w:ilvl w:val="0"/>
          <w:numId w:val="13"/>
        </w:numPr>
        <w:spacing w:after="0" w:line="240" w:lineRule="auto"/>
        <w:rPr>
          <w:lang w:val="en-GB"/>
        </w:rPr>
      </w:pPr>
      <w:r w:rsidRPr="009A6F69">
        <w:rPr>
          <w:lang w:val="en-GB"/>
        </w:rPr>
        <w:t xml:space="preserve">What should be done to encourage private health insurers to pool funds into viable health funds? </w:t>
      </w:r>
    </w:p>
    <w:p w:rsidR="00C01DF1" w:rsidRPr="009A6F69" w:rsidRDefault="00C01DF1">
      <w:pPr>
        <w:spacing w:after="0" w:line="240" w:lineRule="auto"/>
        <w:rPr>
          <w:lang w:val="en-GB"/>
        </w:rPr>
      </w:pPr>
      <w:r w:rsidRPr="009A6F69">
        <w:rPr>
          <w:lang w:val="en-GB"/>
        </w:rPr>
        <w:br w:type="page"/>
      </w:r>
    </w:p>
    <w:p w:rsidR="00CC0CA8" w:rsidRPr="009A6F69" w:rsidRDefault="00CC0CA8" w:rsidP="001849AA">
      <w:pPr>
        <w:rPr>
          <w:lang w:val="en-GB"/>
        </w:rPr>
      </w:pPr>
    </w:p>
    <w:tbl>
      <w:tblPr>
        <w:tblW w:w="5000" w:type="pct"/>
        <w:tblLook w:val="04A0"/>
      </w:tblPr>
      <w:tblGrid>
        <w:gridCol w:w="2701"/>
        <w:gridCol w:w="3176"/>
        <w:gridCol w:w="2979"/>
      </w:tblGrid>
      <w:tr w:rsidR="00A2018D" w:rsidRPr="009A6F69" w:rsidTr="00A2018D">
        <w:tc>
          <w:tcPr>
            <w:tcW w:w="5000" w:type="pct"/>
            <w:gridSpan w:val="3"/>
          </w:tcPr>
          <w:p w:rsidR="00A2018D" w:rsidRPr="009A6F69" w:rsidRDefault="00B21751" w:rsidP="00A16F7A">
            <w:pPr>
              <w:spacing w:line="240" w:lineRule="auto"/>
              <w:rPr>
                <w:b/>
                <w:sz w:val="20"/>
                <w:szCs w:val="20"/>
                <w:lang w:val="en-GB"/>
              </w:rPr>
            </w:pPr>
            <w:r>
              <w:rPr>
                <w:b/>
                <w:sz w:val="20"/>
                <w:szCs w:val="20"/>
                <w:lang w:val="en-GB"/>
              </w:rPr>
              <w:t>Key Informants</w:t>
            </w:r>
            <w:r w:rsidR="00A84458" w:rsidRPr="009A6F69">
              <w:rPr>
                <w:b/>
                <w:sz w:val="20"/>
                <w:szCs w:val="20"/>
                <w:lang w:val="en-GB"/>
              </w:rPr>
              <w:t>:</w:t>
            </w:r>
          </w:p>
        </w:tc>
      </w:tr>
      <w:tr w:rsidR="001E668F" w:rsidRPr="009A6F69" w:rsidTr="007B5CCC">
        <w:tc>
          <w:tcPr>
            <w:tcW w:w="1525" w:type="pct"/>
          </w:tcPr>
          <w:p w:rsidR="001E668F" w:rsidRPr="009A6F69" w:rsidRDefault="001E668F" w:rsidP="00A16F7A">
            <w:pPr>
              <w:spacing w:line="240" w:lineRule="auto"/>
              <w:rPr>
                <w:sz w:val="20"/>
                <w:szCs w:val="20"/>
                <w:lang w:val="en-GB"/>
              </w:rPr>
            </w:pPr>
          </w:p>
        </w:tc>
        <w:tc>
          <w:tcPr>
            <w:tcW w:w="1793" w:type="pct"/>
          </w:tcPr>
          <w:p w:rsidR="001E668F" w:rsidRPr="009A6F69" w:rsidRDefault="00F73C8E" w:rsidP="00A16F7A">
            <w:pPr>
              <w:spacing w:line="240" w:lineRule="auto"/>
              <w:rPr>
                <w:sz w:val="20"/>
                <w:szCs w:val="20"/>
                <w:lang w:val="en-GB"/>
              </w:rPr>
            </w:pPr>
            <w:r w:rsidRPr="009A6F69">
              <w:rPr>
                <w:sz w:val="20"/>
                <w:szCs w:val="20"/>
                <w:lang w:val="en-GB"/>
              </w:rPr>
              <w:t xml:space="preserve">Organization </w:t>
            </w:r>
          </w:p>
        </w:tc>
        <w:tc>
          <w:tcPr>
            <w:tcW w:w="1682" w:type="pct"/>
          </w:tcPr>
          <w:p w:rsidR="001E668F" w:rsidRPr="009A6F69" w:rsidRDefault="001E668F" w:rsidP="00A16F7A">
            <w:pPr>
              <w:spacing w:line="240" w:lineRule="auto"/>
              <w:rPr>
                <w:sz w:val="20"/>
                <w:szCs w:val="20"/>
                <w:lang w:val="en-GB"/>
              </w:rPr>
            </w:pPr>
            <w:r w:rsidRPr="009A6F69">
              <w:rPr>
                <w:sz w:val="20"/>
                <w:szCs w:val="20"/>
                <w:lang w:val="en-GB"/>
              </w:rPr>
              <w:t>Name</w:t>
            </w:r>
          </w:p>
        </w:tc>
      </w:tr>
      <w:tr w:rsidR="001E668F" w:rsidRPr="009A6F69" w:rsidTr="007B5CCC">
        <w:tc>
          <w:tcPr>
            <w:tcW w:w="1525" w:type="pct"/>
          </w:tcPr>
          <w:p w:rsidR="001E668F" w:rsidRPr="009A6F69" w:rsidRDefault="00A21B54" w:rsidP="004D590A">
            <w:pPr>
              <w:spacing w:after="0" w:line="240" w:lineRule="auto"/>
              <w:rPr>
                <w:sz w:val="20"/>
                <w:szCs w:val="20"/>
                <w:lang w:val="en-GB"/>
              </w:rPr>
            </w:pPr>
            <w:r w:rsidRPr="009A6F69">
              <w:rPr>
                <w:sz w:val="20"/>
                <w:szCs w:val="20"/>
                <w:lang w:val="en-GB"/>
              </w:rPr>
              <w:t>Healthcare</w:t>
            </w:r>
            <w:r w:rsidR="001E668F" w:rsidRPr="009A6F69">
              <w:rPr>
                <w:sz w:val="20"/>
                <w:szCs w:val="20"/>
                <w:lang w:val="en-GB"/>
              </w:rPr>
              <w:t xml:space="preserve"> financing, </w:t>
            </w:r>
          </w:p>
          <w:p w:rsidR="001E668F" w:rsidRPr="009A6F69" w:rsidRDefault="001E668F" w:rsidP="004D590A">
            <w:pPr>
              <w:spacing w:after="0" w:line="240" w:lineRule="auto"/>
              <w:rPr>
                <w:sz w:val="20"/>
                <w:szCs w:val="20"/>
                <w:lang w:val="en-GB"/>
              </w:rPr>
            </w:pPr>
          </w:p>
        </w:tc>
        <w:tc>
          <w:tcPr>
            <w:tcW w:w="1793" w:type="pct"/>
          </w:tcPr>
          <w:p w:rsidR="001E668F" w:rsidRPr="009A6F69" w:rsidRDefault="001E668F" w:rsidP="004D590A">
            <w:pPr>
              <w:spacing w:after="0" w:line="240" w:lineRule="auto"/>
              <w:rPr>
                <w:sz w:val="20"/>
                <w:szCs w:val="20"/>
                <w:lang w:val="en-GB"/>
              </w:rPr>
            </w:pPr>
            <w:r w:rsidRPr="009A6F69">
              <w:rPr>
                <w:sz w:val="20"/>
                <w:szCs w:val="20"/>
                <w:lang w:val="en-GB"/>
              </w:rPr>
              <w:t>NHIF</w:t>
            </w:r>
          </w:p>
        </w:tc>
        <w:tc>
          <w:tcPr>
            <w:tcW w:w="1682" w:type="pct"/>
          </w:tcPr>
          <w:p w:rsidR="001E668F" w:rsidRPr="009A6F69" w:rsidRDefault="004C5163" w:rsidP="004D590A">
            <w:pPr>
              <w:spacing w:after="0" w:line="240" w:lineRule="auto"/>
              <w:rPr>
                <w:sz w:val="20"/>
                <w:szCs w:val="20"/>
                <w:lang w:val="en-GB"/>
              </w:rPr>
            </w:pPr>
            <w:r>
              <w:rPr>
                <w:sz w:val="20"/>
                <w:szCs w:val="20"/>
                <w:lang w:val="en-GB"/>
              </w:rPr>
              <w:t>KII1</w:t>
            </w:r>
          </w:p>
        </w:tc>
      </w:tr>
      <w:tr w:rsidR="001E668F" w:rsidRPr="009A6F69" w:rsidTr="007B5CCC">
        <w:tc>
          <w:tcPr>
            <w:tcW w:w="1525" w:type="pct"/>
          </w:tcPr>
          <w:p w:rsidR="001E668F" w:rsidRPr="009A6F69" w:rsidRDefault="00A21B54" w:rsidP="004D590A">
            <w:pPr>
              <w:spacing w:after="0" w:line="240" w:lineRule="auto"/>
              <w:rPr>
                <w:sz w:val="20"/>
                <w:szCs w:val="20"/>
                <w:lang w:val="en-GB"/>
              </w:rPr>
            </w:pPr>
            <w:r w:rsidRPr="009A6F69">
              <w:rPr>
                <w:sz w:val="20"/>
                <w:szCs w:val="20"/>
                <w:lang w:val="en-GB"/>
              </w:rPr>
              <w:t>Health</w:t>
            </w:r>
            <w:r w:rsidR="001E668F" w:rsidRPr="009A6F69">
              <w:rPr>
                <w:sz w:val="20"/>
                <w:szCs w:val="20"/>
                <w:lang w:val="en-GB"/>
              </w:rPr>
              <w:t xml:space="preserve"> care provision</w:t>
            </w:r>
          </w:p>
        </w:tc>
        <w:tc>
          <w:tcPr>
            <w:tcW w:w="1793" w:type="pct"/>
          </w:tcPr>
          <w:p w:rsidR="001E668F" w:rsidRPr="009A6F69" w:rsidRDefault="00E80A86" w:rsidP="004D590A">
            <w:pPr>
              <w:spacing w:after="0" w:line="240" w:lineRule="auto"/>
              <w:rPr>
                <w:sz w:val="20"/>
                <w:szCs w:val="20"/>
                <w:lang w:val="en-GB"/>
              </w:rPr>
            </w:pPr>
            <w:r w:rsidRPr="009A6F69">
              <w:rPr>
                <w:sz w:val="20"/>
                <w:szCs w:val="20"/>
                <w:lang w:val="en-GB"/>
              </w:rPr>
              <w:t>KEPSA</w:t>
            </w:r>
          </w:p>
        </w:tc>
        <w:tc>
          <w:tcPr>
            <w:tcW w:w="1682" w:type="pct"/>
          </w:tcPr>
          <w:p w:rsidR="001E668F" w:rsidRPr="009A6F69" w:rsidRDefault="004C5163" w:rsidP="004D590A">
            <w:pPr>
              <w:spacing w:after="0" w:line="240" w:lineRule="auto"/>
              <w:rPr>
                <w:sz w:val="20"/>
                <w:szCs w:val="20"/>
                <w:lang w:val="en-GB"/>
              </w:rPr>
            </w:pPr>
            <w:r>
              <w:rPr>
                <w:sz w:val="20"/>
                <w:szCs w:val="20"/>
                <w:lang w:val="en-GB"/>
              </w:rPr>
              <w:t>KII2</w:t>
            </w:r>
          </w:p>
        </w:tc>
      </w:tr>
      <w:tr w:rsidR="001E668F" w:rsidRPr="009A6F69" w:rsidTr="007B5CCC">
        <w:tc>
          <w:tcPr>
            <w:tcW w:w="1525" w:type="pct"/>
          </w:tcPr>
          <w:p w:rsidR="001E668F" w:rsidRPr="009A6F69" w:rsidRDefault="001E668F" w:rsidP="004D590A">
            <w:pPr>
              <w:spacing w:after="0" w:line="240" w:lineRule="auto"/>
              <w:rPr>
                <w:sz w:val="20"/>
                <w:szCs w:val="20"/>
                <w:lang w:val="en-GB"/>
              </w:rPr>
            </w:pPr>
          </w:p>
        </w:tc>
        <w:tc>
          <w:tcPr>
            <w:tcW w:w="1793" w:type="pct"/>
          </w:tcPr>
          <w:p w:rsidR="001E668F" w:rsidRPr="009A6F69" w:rsidRDefault="00A758D7" w:rsidP="00D42C4D">
            <w:pPr>
              <w:spacing w:after="0" w:line="240" w:lineRule="auto"/>
              <w:rPr>
                <w:sz w:val="20"/>
                <w:szCs w:val="20"/>
                <w:lang w:val="en-GB"/>
              </w:rPr>
            </w:pPr>
            <w:r w:rsidRPr="009A6F69">
              <w:rPr>
                <w:sz w:val="20"/>
                <w:szCs w:val="20"/>
                <w:lang w:val="en-GB"/>
              </w:rPr>
              <w:t>County Health</w:t>
            </w:r>
            <w:r w:rsidR="00D52F8D" w:rsidRPr="009A6F69">
              <w:rPr>
                <w:sz w:val="20"/>
                <w:szCs w:val="20"/>
                <w:lang w:val="en-GB"/>
              </w:rPr>
              <w:t xml:space="preserve"> (best and worst)</w:t>
            </w:r>
          </w:p>
        </w:tc>
        <w:tc>
          <w:tcPr>
            <w:tcW w:w="1682" w:type="pct"/>
          </w:tcPr>
          <w:p w:rsidR="001E668F" w:rsidRPr="009A6F69" w:rsidRDefault="004C5163" w:rsidP="004D590A">
            <w:pPr>
              <w:spacing w:after="0" w:line="240" w:lineRule="auto"/>
              <w:rPr>
                <w:sz w:val="20"/>
                <w:szCs w:val="20"/>
                <w:lang w:val="en-GB"/>
              </w:rPr>
            </w:pPr>
            <w:r>
              <w:rPr>
                <w:sz w:val="20"/>
                <w:szCs w:val="20"/>
                <w:lang w:val="en-GB"/>
              </w:rPr>
              <w:t>KII4</w:t>
            </w:r>
          </w:p>
        </w:tc>
      </w:tr>
      <w:tr w:rsidR="001E668F" w:rsidRPr="009A6F69" w:rsidTr="007B5CCC">
        <w:tc>
          <w:tcPr>
            <w:tcW w:w="1525" w:type="pct"/>
          </w:tcPr>
          <w:p w:rsidR="001E668F" w:rsidRPr="009A6F69" w:rsidRDefault="00A21B54" w:rsidP="004D590A">
            <w:pPr>
              <w:spacing w:after="0" w:line="240" w:lineRule="auto"/>
              <w:rPr>
                <w:sz w:val="20"/>
                <w:szCs w:val="20"/>
                <w:lang w:val="en-GB"/>
              </w:rPr>
            </w:pPr>
            <w:r w:rsidRPr="009A6F69">
              <w:rPr>
                <w:sz w:val="20"/>
                <w:szCs w:val="20"/>
                <w:lang w:val="en-GB"/>
              </w:rPr>
              <w:t>Health</w:t>
            </w:r>
            <w:r w:rsidR="001E668F" w:rsidRPr="009A6F69">
              <w:rPr>
                <w:sz w:val="20"/>
                <w:szCs w:val="20"/>
                <w:lang w:val="en-GB"/>
              </w:rPr>
              <w:t xml:space="preserve"> policy</w:t>
            </w:r>
          </w:p>
          <w:p w:rsidR="001E668F" w:rsidRPr="009A6F69" w:rsidRDefault="001E668F" w:rsidP="004D590A">
            <w:pPr>
              <w:spacing w:after="0" w:line="240" w:lineRule="auto"/>
              <w:rPr>
                <w:sz w:val="20"/>
                <w:szCs w:val="20"/>
                <w:lang w:val="en-GB"/>
              </w:rPr>
            </w:pPr>
          </w:p>
        </w:tc>
        <w:tc>
          <w:tcPr>
            <w:tcW w:w="1793" w:type="pct"/>
          </w:tcPr>
          <w:p w:rsidR="001E668F" w:rsidRPr="009A6F69" w:rsidRDefault="001E668F" w:rsidP="004D590A">
            <w:pPr>
              <w:spacing w:after="0" w:line="240" w:lineRule="auto"/>
              <w:rPr>
                <w:sz w:val="20"/>
                <w:szCs w:val="20"/>
                <w:lang w:val="en-GB"/>
              </w:rPr>
            </w:pPr>
          </w:p>
        </w:tc>
        <w:tc>
          <w:tcPr>
            <w:tcW w:w="1682" w:type="pct"/>
          </w:tcPr>
          <w:p w:rsidR="001E668F" w:rsidRPr="009A6F69" w:rsidRDefault="001E668F" w:rsidP="004D590A">
            <w:pPr>
              <w:spacing w:after="0" w:line="240" w:lineRule="auto"/>
              <w:rPr>
                <w:sz w:val="20"/>
                <w:szCs w:val="20"/>
                <w:lang w:val="en-GB"/>
              </w:rPr>
            </w:pPr>
          </w:p>
        </w:tc>
      </w:tr>
      <w:tr w:rsidR="001E668F" w:rsidRPr="009A6F69" w:rsidTr="007B5CCC">
        <w:tc>
          <w:tcPr>
            <w:tcW w:w="1525" w:type="pct"/>
          </w:tcPr>
          <w:p w:rsidR="001E668F" w:rsidRPr="009A6F69" w:rsidRDefault="001E668F" w:rsidP="004D590A">
            <w:pPr>
              <w:spacing w:after="0" w:line="240" w:lineRule="auto"/>
              <w:rPr>
                <w:sz w:val="20"/>
                <w:szCs w:val="20"/>
                <w:lang w:val="en-GB"/>
              </w:rPr>
            </w:pPr>
          </w:p>
        </w:tc>
        <w:tc>
          <w:tcPr>
            <w:tcW w:w="1793" w:type="pct"/>
          </w:tcPr>
          <w:p w:rsidR="001E668F" w:rsidRPr="009A6F69" w:rsidRDefault="00977F9C" w:rsidP="004D590A">
            <w:pPr>
              <w:spacing w:after="0" w:line="240" w:lineRule="auto"/>
              <w:rPr>
                <w:sz w:val="20"/>
                <w:szCs w:val="20"/>
                <w:lang w:val="en-GB"/>
              </w:rPr>
            </w:pPr>
            <w:r w:rsidRPr="009A6F69">
              <w:rPr>
                <w:sz w:val="20"/>
                <w:szCs w:val="20"/>
                <w:lang w:val="en-GB"/>
              </w:rPr>
              <w:t>Parliamentary health committee</w:t>
            </w:r>
          </w:p>
        </w:tc>
        <w:tc>
          <w:tcPr>
            <w:tcW w:w="1682" w:type="pct"/>
          </w:tcPr>
          <w:p w:rsidR="001E668F" w:rsidRPr="009A6F69" w:rsidRDefault="001E668F" w:rsidP="004D590A">
            <w:pPr>
              <w:spacing w:after="0" w:line="240" w:lineRule="auto"/>
              <w:rPr>
                <w:sz w:val="20"/>
                <w:szCs w:val="20"/>
                <w:lang w:val="en-GB"/>
              </w:rPr>
            </w:pPr>
          </w:p>
        </w:tc>
      </w:tr>
      <w:tr w:rsidR="001E668F" w:rsidRPr="009A6F69" w:rsidTr="007B5CCC">
        <w:tc>
          <w:tcPr>
            <w:tcW w:w="1525" w:type="pct"/>
          </w:tcPr>
          <w:p w:rsidR="001E668F" w:rsidRPr="009A6F69" w:rsidRDefault="001E668F" w:rsidP="004D590A">
            <w:pPr>
              <w:spacing w:after="0" w:line="240" w:lineRule="auto"/>
              <w:rPr>
                <w:sz w:val="20"/>
                <w:szCs w:val="20"/>
                <w:lang w:val="en-GB"/>
              </w:rPr>
            </w:pPr>
          </w:p>
        </w:tc>
        <w:tc>
          <w:tcPr>
            <w:tcW w:w="1793" w:type="pct"/>
          </w:tcPr>
          <w:p w:rsidR="001E668F" w:rsidRPr="009A6F69" w:rsidRDefault="004A63D4" w:rsidP="004D590A">
            <w:pPr>
              <w:spacing w:after="0" w:line="240" w:lineRule="auto"/>
              <w:rPr>
                <w:sz w:val="20"/>
                <w:szCs w:val="20"/>
                <w:lang w:val="en-GB"/>
              </w:rPr>
            </w:pPr>
            <w:r w:rsidRPr="009A6F69">
              <w:rPr>
                <w:sz w:val="20"/>
                <w:szCs w:val="20"/>
                <w:lang w:val="en-GB"/>
              </w:rPr>
              <w:t>Ministry responsible for social services</w:t>
            </w:r>
          </w:p>
        </w:tc>
        <w:tc>
          <w:tcPr>
            <w:tcW w:w="1682" w:type="pct"/>
          </w:tcPr>
          <w:p w:rsidR="001E668F" w:rsidRPr="009A6F69" w:rsidRDefault="001E668F" w:rsidP="004D590A">
            <w:pPr>
              <w:spacing w:after="0" w:line="240" w:lineRule="auto"/>
              <w:rPr>
                <w:sz w:val="20"/>
                <w:szCs w:val="20"/>
                <w:lang w:val="en-GB"/>
              </w:rPr>
            </w:pPr>
          </w:p>
        </w:tc>
      </w:tr>
      <w:tr w:rsidR="004A63D4" w:rsidRPr="009A6F69" w:rsidTr="007B5CCC">
        <w:tc>
          <w:tcPr>
            <w:tcW w:w="1525" w:type="pct"/>
          </w:tcPr>
          <w:p w:rsidR="004A63D4" w:rsidRPr="009A6F69" w:rsidRDefault="004A63D4" w:rsidP="004D590A">
            <w:pPr>
              <w:spacing w:after="0" w:line="240" w:lineRule="auto"/>
              <w:rPr>
                <w:sz w:val="20"/>
                <w:szCs w:val="20"/>
                <w:lang w:val="en-GB"/>
              </w:rPr>
            </w:pPr>
          </w:p>
        </w:tc>
        <w:tc>
          <w:tcPr>
            <w:tcW w:w="1793" w:type="pct"/>
          </w:tcPr>
          <w:p w:rsidR="004A63D4" w:rsidRPr="009A6F69" w:rsidRDefault="004A63D4" w:rsidP="004D590A">
            <w:pPr>
              <w:spacing w:after="0" w:line="240" w:lineRule="auto"/>
              <w:rPr>
                <w:sz w:val="20"/>
                <w:szCs w:val="20"/>
                <w:lang w:val="en-GB"/>
              </w:rPr>
            </w:pPr>
            <w:r w:rsidRPr="009A6F69">
              <w:rPr>
                <w:sz w:val="20"/>
                <w:szCs w:val="20"/>
                <w:lang w:val="en-GB"/>
              </w:rPr>
              <w:t xml:space="preserve">Ministry of Finance </w:t>
            </w:r>
          </w:p>
        </w:tc>
        <w:tc>
          <w:tcPr>
            <w:tcW w:w="1682" w:type="pct"/>
          </w:tcPr>
          <w:p w:rsidR="004A63D4" w:rsidRPr="009A6F69" w:rsidRDefault="004A63D4" w:rsidP="004D590A">
            <w:pPr>
              <w:spacing w:after="0" w:line="240" w:lineRule="auto"/>
              <w:rPr>
                <w:sz w:val="20"/>
                <w:szCs w:val="20"/>
                <w:lang w:val="en-GB"/>
              </w:rPr>
            </w:pPr>
          </w:p>
        </w:tc>
      </w:tr>
      <w:tr w:rsidR="004A63D4" w:rsidRPr="009A6F69" w:rsidTr="007B5CCC">
        <w:tc>
          <w:tcPr>
            <w:tcW w:w="1525" w:type="pct"/>
          </w:tcPr>
          <w:p w:rsidR="004A63D4" w:rsidRPr="009A6F69" w:rsidRDefault="004A63D4" w:rsidP="004D590A">
            <w:pPr>
              <w:spacing w:after="0" w:line="240" w:lineRule="auto"/>
              <w:rPr>
                <w:sz w:val="20"/>
                <w:szCs w:val="20"/>
                <w:lang w:val="en-GB"/>
              </w:rPr>
            </w:pPr>
          </w:p>
        </w:tc>
        <w:tc>
          <w:tcPr>
            <w:tcW w:w="1793" w:type="pct"/>
          </w:tcPr>
          <w:p w:rsidR="004A63D4" w:rsidRPr="009A6F69" w:rsidRDefault="008A6513" w:rsidP="004D590A">
            <w:pPr>
              <w:spacing w:after="0" w:line="240" w:lineRule="auto"/>
              <w:rPr>
                <w:sz w:val="20"/>
                <w:szCs w:val="20"/>
                <w:lang w:val="en-GB"/>
              </w:rPr>
            </w:pPr>
            <w:r w:rsidRPr="009A6F69">
              <w:rPr>
                <w:sz w:val="20"/>
                <w:szCs w:val="20"/>
                <w:lang w:val="en-GB"/>
              </w:rPr>
              <w:t>Commission for Revenue Allocation</w:t>
            </w:r>
            <w:r w:rsidR="00823F03" w:rsidRPr="009A6F69">
              <w:rPr>
                <w:sz w:val="20"/>
                <w:szCs w:val="20"/>
                <w:lang w:val="en-GB"/>
              </w:rPr>
              <w:t xml:space="preserve"> </w:t>
            </w:r>
          </w:p>
        </w:tc>
        <w:tc>
          <w:tcPr>
            <w:tcW w:w="1682" w:type="pct"/>
          </w:tcPr>
          <w:p w:rsidR="004A63D4" w:rsidRPr="009A6F69" w:rsidRDefault="004C5163" w:rsidP="004D590A">
            <w:pPr>
              <w:spacing w:after="0" w:line="240" w:lineRule="auto"/>
              <w:rPr>
                <w:sz w:val="20"/>
                <w:szCs w:val="20"/>
                <w:lang w:val="en-GB"/>
              </w:rPr>
            </w:pPr>
            <w:r>
              <w:rPr>
                <w:sz w:val="20"/>
                <w:szCs w:val="20"/>
                <w:lang w:val="en-GB"/>
              </w:rPr>
              <w:t>KII5</w:t>
            </w:r>
          </w:p>
        </w:tc>
      </w:tr>
      <w:tr w:rsidR="001531F2" w:rsidRPr="009A6F69" w:rsidTr="007B5CCC">
        <w:tc>
          <w:tcPr>
            <w:tcW w:w="1525" w:type="pct"/>
          </w:tcPr>
          <w:p w:rsidR="001531F2" w:rsidRPr="009A6F69" w:rsidRDefault="001531F2" w:rsidP="004D590A">
            <w:pPr>
              <w:spacing w:after="0" w:line="240" w:lineRule="auto"/>
              <w:rPr>
                <w:sz w:val="20"/>
                <w:szCs w:val="20"/>
                <w:lang w:val="en-GB"/>
              </w:rPr>
            </w:pPr>
          </w:p>
        </w:tc>
        <w:tc>
          <w:tcPr>
            <w:tcW w:w="1793" w:type="pct"/>
          </w:tcPr>
          <w:p w:rsidR="001531F2" w:rsidRPr="009A6F69" w:rsidRDefault="007E74E8" w:rsidP="004D590A">
            <w:pPr>
              <w:spacing w:after="0" w:line="240" w:lineRule="auto"/>
              <w:rPr>
                <w:sz w:val="20"/>
                <w:szCs w:val="20"/>
                <w:lang w:val="en-GB"/>
              </w:rPr>
            </w:pPr>
            <w:r w:rsidRPr="009A6F69">
              <w:rPr>
                <w:sz w:val="20"/>
                <w:szCs w:val="20"/>
                <w:lang w:val="en-GB"/>
              </w:rPr>
              <w:t>Donors  USAID, GIZ</w:t>
            </w:r>
            <w:r w:rsidR="00751639" w:rsidRPr="009A6F69">
              <w:rPr>
                <w:sz w:val="20"/>
                <w:szCs w:val="20"/>
                <w:lang w:val="en-GB"/>
              </w:rPr>
              <w:t>,DFID,IFC</w:t>
            </w:r>
          </w:p>
        </w:tc>
        <w:tc>
          <w:tcPr>
            <w:tcW w:w="1682" w:type="pct"/>
          </w:tcPr>
          <w:p w:rsidR="001531F2" w:rsidRPr="009A6F69" w:rsidRDefault="004C5163" w:rsidP="004D590A">
            <w:pPr>
              <w:spacing w:after="0" w:line="240" w:lineRule="auto"/>
              <w:rPr>
                <w:sz w:val="20"/>
                <w:szCs w:val="20"/>
                <w:lang w:val="en-GB"/>
              </w:rPr>
            </w:pPr>
            <w:r>
              <w:rPr>
                <w:sz w:val="20"/>
                <w:szCs w:val="20"/>
                <w:lang w:val="en-GB"/>
              </w:rPr>
              <w:t>KII3</w:t>
            </w:r>
          </w:p>
        </w:tc>
      </w:tr>
    </w:tbl>
    <w:p w:rsidR="0076201B" w:rsidRPr="009A6F69" w:rsidRDefault="0076201B" w:rsidP="00C53E77">
      <w:pPr>
        <w:rPr>
          <w:lang w:val="en-GB"/>
        </w:rPr>
      </w:pPr>
    </w:p>
    <w:p w:rsidR="002A0BC3" w:rsidRPr="009A6F69" w:rsidRDefault="002A0BC3" w:rsidP="00C53E77">
      <w:pPr>
        <w:rPr>
          <w:lang w:val="en-GB"/>
        </w:rPr>
      </w:pPr>
    </w:p>
    <w:p w:rsidR="002A0BC3" w:rsidRPr="009A6F69" w:rsidRDefault="002A0BC3" w:rsidP="00C53E77">
      <w:pPr>
        <w:rPr>
          <w:lang w:val="en-GB"/>
        </w:rPr>
      </w:pPr>
    </w:p>
    <w:p w:rsidR="002A0BC3" w:rsidRPr="009A6F69" w:rsidRDefault="002A0BC3" w:rsidP="00C53E77">
      <w:pPr>
        <w:rPr>
          <w:lang w:val="en-GB"/>
        </w:rPr>
      </w:pPr>
    </w:p>
    <w:p w:rsidR="002A0BC3" w:rsidRPr="009A6F69" w:rsidRDefault="002A0BC3" w:rsidP="00C53E77">
      <w:pPr>
        <w:rPr>
          <w:lang w:val="en-GB"/>
        </w:rPr>
      </w:pPr>
    </w:p>
    <w:p w:rsidR="00D16E9F" w:rsidRPr="009A6F69" w:rsidRDefault="00D16E9F" w:rsidP="00C53E77">
      <w:pPr>
        <w:rPr>
          <w:lang w:val="en-GB"/>
        </w:rPr>
      </w:pPr>
    </w:p>
    <w:p w:rsidR="004D290E" w:rsidRPr="009A6F69" w:rsidRDefault="004D290E">
      <w:pPr>
        <w:rPr>
          <w:lang w:val="en-GB"/>
        </w:rPr>
      </w:pPr>
      <w:r w:rsidRPr="009A6F69">
        <w:rPr>
          <w:lang w:val="en-GB"/>
        </w:rPr>
        <w:br w:type="page"/>
      </w:r>
    </w:p>
    <w:p w:rsidR="004D290E" w:rsidRPr="009A6F69" w:rsidRDefault="004D290E" w:rsidP="00464954">
      <w:pPr>
        <w:pStyle w:val="Heading1"/>
        <w:rPr>
          <w:lang w:val="en-GB"/>
        </w:rPr>
      </w:pPr>
      <w:bookmarkStart w:id="47" w:name="_Ref254252556"/>
      <w:bookmarkStart w:id="48" w:name="_Toc254256142"/>
      <w:r w:rsidRPr="009A6F69">
        <w:rPr>
          <w:lang w:val="en-GB"/>
        </w:rPr>
        <w:lastRenderedPageBreak/>
        <w:t>Appendix 3</w:t>
      </w:r>
      <w:r w:rsidR="00C74BC3" w:rsidRPr="009A6F69">
        <w:rPr>
          <w:lang w:val="en-GB"/>
        </w:rPr>
        <w:t>: KEPH Service Areas and Interventions</w:t>
      </w:r>
      <w:bookmarkEnd w:id="47"/>
      <w:bookmarkEnd w:id="48"/>
      <w:r w:rsidR="00C74BC3" w:rsidRPr="009A6F69">
        <w:rPr>
          <w:lang w:val="en-GB"/>
        </w:rPr>
        <w:t xml:space="preserve"> </w:t>
      </w:r>
    </w:p>
    <w:tbl>
      <w:tblPr>
        <w:tblW w:w="5000" w:type="pct"/>
        <w:tblLook w:val="04A0"/>
      </w:tblPr>
      <w:tblGrid>
        <w:gridCol w:w="1419"/>
        <w:gridCol w:w="5773"/>
        <w:gridCol w:w="937"/>
        <w:gridCol w:w="727"/>
      </w:tblGrid>
      <w:tr w:rsidR="004D290E" w:rsidRPr="009A6F69" w:rsidTr="00464954">
        <w:trPr>
          <w:trHeight w:val="195"/>
          <w:tblHeader/>
        </w:trPr>
        <w:tc>
          <w:tcPr>
            <w:tcW w:w="748"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b/>
                <w:bCs/>
                <w:sz w:val="18"/>
                <w:szCs w:val="18"/>
                <w:lang w:val="en-GB"/>
              </w:rPr>
            </w:pPr>
            <w:r w:rsidRPr="009A6F69">
              <w:rPr>
                <w:b/>
                <w:bCs/>
                <w:sz w:val="18"/>
                <w:szCs w:val="18"/>
                <w:lang w:val="en-GB"/>
              </w:rPr>
              <w:t>Service area</w:t>
            </w:r>
          </w:p>
        </w:tc>
        <w:tc>
          <w:tcPr>
            <w:tcW w:w="3489"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b/>
                <w:bCs/>
                <w:sz w:val="18"/>
                <w:szCs w:val="18"/>
                <w:lang w:val="en-GB"/>
              </w:rPr>
            </w:pPr>
            <w:r w:rsidRPr="009A6F69">
              <w:rPr>
                <w:b/>
                <w:bCs/>
                <w:sz w:val="18"/>
                <w:szCs w:val="18"/>
                <w:lang w:val="en-GB"/>
              </w:rPr>
              <w:t xml:space="preserve">Interventions </w:t>
            </w:r>
          </w:p>
        </w:tc>
        <w:tc>
          <w:tcPr>
            <w:tcW w:w="430" w:type="pct"/>
            <w:tcBorders>
              <w:top w:val="single" w:sz="4" w:space="0" w:color="auto"/>
              <w:left w:val="single" w:sz="4" w:space="0" w:color="auto"/>
              <w:bottom w:val="single" w:sz="4" w:space="0" w:color="000000"/>
              <w:right w:val="single" w:sz="4" w:space="0" w:color="auto"/>
            </w:tcBorders>
            <w:shd w:val="clear" w:color="000000" w:fill="FFFFFF"/>
            <w:vAlign w:val="center"/>
            <w:hideMark/>
          </w:tcPr>
          <w:p w:rsidR="004D290E" w:rsidRPr="009A6F69" w:rsidRDefault="004D290E" w:rsidP="00D1235B">
            <w:pPr>
              <w:spacing w:after="0" w:line="240" w:lineRule="auto"/>
              <w:rPr>
                <w:i/>
                <w:iCs/>
                <w:sz w:val="18"/>
                <w:szCs w:val="18"/>
                <w:lang w:val="en-GB"/>
              </w:rPr>
            </w:pPr>
            <w:r w:rsidRPr="009A6F69">
              <w:rPr>
                <w:i/>
                <w:iCs/>
                <w:sz w:val="18"/>
                <w:szCs w:val="18"/>
                <w:lang w:val="en-GB"/>
              </w:rPr>
              <w:t>Minimum Tier</w:t>
            </w:r>
          </w:p>
        </w:tc>
        <w:tc>
          <w:tcPr>
            <w:tcW w:w="334" w:type="pct"/>
            <w:tcBorders>
              <w:top w:val="single" w:sz="4" w:space="0" w:color="auto"/>
              <w:left w:val="single" w:sz="4" w:space="0" w:color="auto"/>
              <w:bottom w:val="single" w:sz="4" w:space="0" w:color="000000"/>
              <w:right w:val="single" w:sz="4" w:space="0" w:color="auto"/>
            </w:tcBorders>
            <w:shd w:val="clear" w:color="000000" w:fill="FFFFFF"/>
            <w:vAlign w:val="center"/>
            <w:hideMark/>
          </w:tcPr>
          <w:p w:rsidR="004D290E" w:rsidRPr="009A6F69" w:rsidRDefault="004D290E" w:rsidP="00D1235B">
            <w:pPr>
              <w:spacing w:after="0" w:line="240" w:lineRule="auto"/>
              <w:rPr>
                <w:i/>
                <w:iCs/>
                <w:sz w:val="18"/>
                <w:szCs w:val="18"/>
                <w:lang w:val="en-GB"/>
              </w:rPr>
            </w:pPr>
            <w:r w:rsidRPr="009A6F69">
              <w:rPr>
                <w:i/>
                <w:iCs/>
                <w:sz w:val="18"/>
                <w:szCs w:val="18"/>
                <w:lang w:val="en-GB"/>
              </w:rPr>
              <w:t>Cohort</w:t>
            </w:r>
          </w:p>
        </w:tc>
      </w:tr>
      <w:tr w:rsidR="004D290E" w:rsidRPr="009A6F69" w:rsidTr="00464954">
        <w:trPr>
          <w:trHeight w:val="195"/>
        </w:trPr>
        <w:tc>
          <w:tcPr>
            <w:tcW w:w="748" w:type="pct"/>
            <w:tcBorders>
              <w:top w:val="single" w:sz="4" w:space="0" w:color="auto"/>
              <w:left w:val="single" w:sz="4" w:space="0" w:color="auto"/>
              <w:bottom w:val="single" w:sz="4" w:space="0" w:color="auto"/>
              <w:right w:val="single" w:sz="4" w:space="0" w:color="auto"/>
            </w:tcBorders>
            <w:vAlign w:val="center"/>
            <w:hideMark/>
          </w:tcPr>
          <w:p w:rsidR="004D290E" w:rsidRPr="009A6F69" w:rsidRDefault="004D290E" w:rsidP="0054501E">
            <w:pPr>
              <w:spacing w:after="0" w:line="240" w:lineRule="auto"/>
              <w:rPr>
                <w:b/>
                <w:bCs/>
                <w:sz w:val="18"/>
                <w:szCs w:val="18"/>
                <w:lang w:val="en-GB"/>
              </w:rPr>
            </w:pPr>
            <w:r w:rsidRPr="009A6F69">
              <w:rPr>
                <w:b/>
                <w:bCs/>
                <w:sz w:val="18"/>
                <w:szCs w:val="18"/>
                <w:lang w:val="en-GB"/>
              </w:rPr>
              <w:t>POLICY OBJECTIVE 1</w:t>
            </w:r>
          </w:p>
        </w:tc>
        <w:tc>
          <w:tcPr>
            <w:tcW w:w="3489" w:type="pct"/>
            <w:tcBorders>
              <w:top w:val="single" w:sz="4" w:space="0" w:color="auto"/>
              <w:left w:val="single" w:sz="4" w:space="0" w:color="auto"/>
              <w:bottom w:val="single" w:sz="4" w:space="0" w:color="auto"/>
              <w:right w:val="single" w:sz="4" w:space="0" w:color="auto"/>
            </w:tcBorders>
            <w:vAlign w:val="center"/>
            <w:hideMark/>
          </w:tcPr>
          <w:p w:rsidR="004D290E" w:rsidRPr="009A6F69" w:rsidRDefault="004D290E" w:rsidP="00922995">
            <w:pPr>
              <w:spacing w:after="0" w:line="240" w:lineRule="auto"/>
              <w:rPr>
                <w:b/>
                <w:bCs/>
                <w:sz w:val="18"/>
                <w:szCs w:val="18"/>
                <w:lang w:val="en-GB"/>
              </w:rPr>
            </w:pPr>
          </w:p>
        </w:tc>
        <w:tc>
          <w:tcPr>
            <w:tcW w:w="430" w:type="pct"/>
            <w:tcBorders>
              <w:top w:val="single" w:sz="4" w:space="0" w:color="auto"/>
              <w:left w:val="single" w:sz="4" w:space="0" w:color="auto"/>
              <w:bottom w:val="single" w:sz="4" w:space="0" w:color="000000"/>
              <w:right w:val="single" w:sz="4" w:space="0" w:color="auto"/>
            </w:tcBorders>
            <w:vAlign w:val="center"/>
            <w:hideMark/>
          </w:tcPr>
          <w:p w:rsidR="004D290E" w:rsidRPr="009A6F69" w:rsidRDefault="004D290E" w:rsidP="00D1235B">
            <w:pPr>
              <w:spacing w:after="0" w:line="240" w:lineRule="auto"/>
              <w:rPr>
                <w:i/>
                <w:iCs/>
                <w:sz w:val="18"/>
                <w:szCs w:val="18"/>
                <w:lang w:val="en-GB"/>
              </w:rPr>
            </w:pPr>
          </w:p>
        </w:tc>
        <w:tc>
          <w:tcPr>
            <w:tcW w:w="334" w:type="pct"/>
            <w:tcBorders>
              <w:top w:val="single" w:sz="4" w:space="0" w:color="auto"/>
              <w:left w:val="single" w:sz="4" w:space="0" w:color="auto"/>
              <w:bottom w:val="single" w:sz="4" w:space="0" w:color="000000"/>
              <w:right w:val="single" w:sz="4" w:space="0" w:color="auto"/>
            </w:tcBorders>
            <w:vAlign w:val="center"/>
            <w:hideMark/>
          </w:tcPr>
          <w:p w:rsidR="004D290E" w:rsidRPr="009A6F69" w:rsidRDefault="004D290E" w:rsidP="00D1235B">
            <w:pPr>
              <w:spacing w:after="0" w:line="240" w:lineRule="auto"/>
              <w:rPr>
                <w:i/>
                <w:iCs/>
                <w:sz w:val="18"/>
                <w:szCs w:val="18"/>
                <w:lang w:val="en-GB"/>
              </w:rPr>
            </w:pP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Immunization</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r w:rsidRPr="009A6F69">
              <w:rPr>
                <w:sz w:val="18"/>
                <w:szCs w:val="18"/>
                <w:lang w:val="en-GB"/>
              </w:rPr>
              <w:t>BCG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Oral Polio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proofErr w:type="spellStart"/>
            <w:r w:rsidRPr="009A6F69">
              <w:rPr>
                <w:sz w:val="18"/>
                <w:szCs w:val="18"/>
                <w:lang w:val="en-GB"/>
              </w:rPr>
              <w:t>Pentavalent</w:t>
            </w:r>
            <w:proofErr w:type="spellEnd"/>
            <w:r w:rsidRPr="009A6F69">
              <w:rPr>
                <w:sz w:val="18"/>
                <w:szCs w:val="18"/>
                <w:lang w:val="en-GB"/>
              </w:rPr>
              <w:t xml:space="preserve">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Rotavirus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PCV – 10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Measles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Typhoid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Yellow fever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HPV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Child Health</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proofErr w:type="spellStart"/>
            <w:r w:rsidRPr="009A6F69">
              <w:rPr>
                <w:sz w:val="18"/>
                <w:szCs w:val="18"/>
                <w:lang w:val="en-GB"/>
              </w:rPr>
              <w:t>Deworming</w:t>
            </w:r>
            <w:proofErr w:type="spellEnd"/>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pneumonia</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malaria</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Management of </w:t>
            </w:r>
            <w:proofErr w:type="spellStart"/>
            <w:r w:rsidRPr="009A6F69">
              <w:rPr>
                <w:sz w:val="18"/>
                <w:szCs w:val="18"/>
                <w:lang w:val="en-GB"/>
              </w:rPr>
              <w:t>diarrhea</w:t>
            </w:r>
            <w:proofErr w:type="spellEnd"/>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Screening for communicable conditions</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r w:rsidRPr="009A6F69">
              <w:rPr>
                <w:sz w:val="18"/>
                <w:szCs w:val="18"/>
                <w:lang w:val="en-GB"/>
              </w:rPr>
              <w:t xml:space="preserve">HIV Testing and </w:t>
            </w:r>
            <w:proofErr w:type="spellStart"/>
            <w:r w:rsidRPr="009A6F69">
              <w:rPr>
                <w:sz w:val="18"/>
                <w:szCs w:val="18"/>
                <w:lang w:val="en-GB"/>
              </w:rPr>
              <w:t>Counseling</w:t>
            </w:r>
            <w:proofErr w:type="spellEnd"/>
            <w:r w:rsidRPr="009A6F69">
              <w:rPr>
                <w:sz w:val="18"/>
                <w:szCs w:val="18"/>
                <w:lang w:val="en-GB"/>
              </w:rPr>
              <w:t xml:space="preserve"> (HTC)</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Active case search for TB</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Diagnostic Testing for Malaria</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Screening for drug resistant TB</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Screening for Animal Transmitted Conditions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2,3</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Antenatal Care</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r w:rsidRPr="009A6F69">
              <w:rPr>
                <w:sz w:val="18"/>
                <w:szCs w:val="18"/>
                <w:lang w:val="en-GB"/>
              </w:rPr>
              <w:t>Physical examination of pregnant mother</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Tetanus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Supplementation (</w:t>
            </w:r>
            <w:r w:rsidRPr="009A6F69">
              <w:rPr>
                <w:i/>
                <w:iCs/>
                <w:sz w:val="18"/>
                <w:szCs w:val="18"/>
                <w:lang w:val="en-GB"/>
              </w:rPr>
              <w:t>Folic acid, multivitamins, calcium, ferrous sulphate)</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Intermittent Presumptive Treatment for Malaria in endemic areas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Antenatal profiling </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Delivery planning </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Hypertensive disease case management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Syphilis detection and management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Prevention of Mother to Child HIV Transmission</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r w:rsidRPr="009A6F69">
              <w:rPr>
                <w:sz w:val="18"/>
                <w:szCs w:val="18"/>
                <w:lang w:val="en-GB"/>
              </w:rPr>
              <w:t xml:space="preserve">HIV Testing and </w:t>
            </w:r>
            <w:proofErr w:type="spellStart"/>
            <w:r w:rsidRPr="009A6F69">
              <w:rPr>
                <w:sz w:val="18"/>
                <w:szCs w:val="18"/>
                <w:lang w:val="en-GB"/>
              </w:rPr>
              <w:t>Counseling</w:t>
            </w:r>
            <w:proofErr w:type="spellEnd"/>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ARV prophylaxis for children born of HIV+ mothers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Highly Active Anti retroviral Therapy</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proofErr w:type="spellStart"/>
            <w:r w:rsidRPr="009A6F69">
              <w:rPr>
                <w:sz w:val="18"/>
                <w:szCs w:val="18"/>
                <w:lang w:val="en-GB"/>
              </w:rPr>
              <w:t>Cotrimoxazole</w:t>
            </w:r>
            <w:proofErr w:type="spellEnd"/>
            <w:r w:rsidRPr="009A6F69">
              <w:rPr>
                <w:sz w:val="18"/>
                <w:szCs w:val="18"/>
                <w:lang w:val="en-GB"/>
              </w:rPr>
              <w:t xml:space="preserve"> prophylaxis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proofErr w:type="spellStart"/>
            <w:r w:rsidRPr="009A6F69">
              <w:rPr>
                <w:sz w:val="18"/>
                <w:szCs w:val="18"/>
                <w:lang w:val="en-GB"/>
              </w:rPr>
              <w:t>Counseling</w:t>
            </w:r>
            <w:proofErr w:type="spellEnd"/>
            <w:r w:rsidRPr="009A6F69">
              <w:rPr>
                <w:sz w:val="18"/>
                <w:szCs w:val="18"/>
                <w:lang w:val="en-GB"/>
              </w:rPr>
              <w:t xml:space="preserve"> on  best  breastfeeding and complementary feeding practices  in  HIV</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Integrated Vector Management</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r w:rsidRPr="009A6F69">
              <w:rPr>
                <w:sz w:val="18"/>
                <w:szCs w:val="18"/>
                <w:lang w:val="en-GB"/>
              </w:rPr>
              <w:t>Indoor Residual Spraying of malaria</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ITN distribution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Destruction of malaria breeding sites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Household vector control (cockroaches, fleas, rodents)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Good hygiene practices</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r w:rsidRPr="009A6F69">
              <w:rPr>
                <w:sz w:val="18"/>
                <w:szCs w:val="18"/>
                <w:lang w:val="en-GB"/>
              </w:rPr>
              <w:t>Appropriate Hand washing with soap</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Appropriate latrine use</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Food outlet inspections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Meat inspections (</w:t>
            </w:r>
            <w:proofErr w:type="spellStart"/>
            <w:r w:rsidRPr="009A6F69">
              <w:rPr>
                <w:sz w:val="18"/>
                <w:szCs w:val="18"/>
                <w:lang w:val="en-GB"/>
              </w:rPr>
              <w:t>abbartoirs</w:t>
            </w:r>
            <w:proofErr w:type="spellEnd"/>
            <w:r w:rsidRPr="009A6F69">
              <w:rPr>
                <w:sz w:val="18"/>
                <w:szCs w:val="18"/>
                <w:lang w:val="en-GB"/>
              </w:rPr>
              <w:t>, butcheries)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Household water treatment </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HIV and STI prevention</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r w:rsidRPr="009A6F69">
              <w:rPr>
                <w:sz w:val="18"/>
                <w:szCs w:val="18"/>
                <w:lang w:val="en-GB"/>
              </w:rPr>
              <w:t>Male Circumcision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Sexually transmitted Infections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Pelvic Inflammatory Disease management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Post Exposure Prophylaxis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Condom distribution/ provision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HIV Testing and Counselling (HTC)</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 xml:space="preserve">Port health </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r w:rsidRPr="009A6F69">
              <w:rPr>
                <w:sz w:val="18"/>
                <w:szCs w:val="18"/>
                <w:lang w:val="en-GB"/>
              </w:rPr>
              <w:t>Monitoring of imported and exported commodities affecting public health</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Monitoring of people movement in relation to International Health Regulations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Cholera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Meningococcal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Yellow fever vaccination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54501E">
            <w:pPr>
              <w:spacing w:after="0" w:line="240" w:lineRule="auto"/>
              <w:rPr>
                <w:sz w:val="18"/>
                <w:szCs w:val="18"/>
                <w:lang w:val="en-GB"/>
              </w:rPr>
            </w:pPr>
            <w:r w:rsidRPr="009A6F69">
              <w:rPr>
                <w:sz w:val="18"/>
                <w:szCs w:val="18"/>
                <w:lang w:val="en-GB"/>
              </w:rPr>
              <w:t>Control and prevention neglected tropical diseases</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sz w:val="18"/>
                <w:szCs w:val="18"/>
                <w:lang w:val="en-GB"/>
              </w:rPr>
            </w:pPr>
            <w:r w:rsidRPr="009A6F69">
              <w:rPr>
                <w:sz w:val="18"/>
                <w:szCs w:val="18"/>
                <w:lang w:val="en-GB"/>
              </w:rPr>
              <w:t>Mass education on prevention of NTDs (</w:t>
            </w:r>
            <w:proofErr w:type="spellStart"/>
            <w:r w:rsidRPr="009A6F69">
              <w:rPr>
                <w:i/>
                <w:iCs/>
                <w:sz w:val="18"/>
                <w:szCs w:val="18"/>
                <w:lang w:val="en-GB"/>
              </w:rPr>
              <w:t>Kalar</w:t>
            </w:r>
            <w:proofErr w:type="spellEnd"/>
            <w:r w:rsidRPr="009A6F69">
              <w:rPr>
                <w:i/>
                <w:iCs/>
                <w:sz w:val="18"/>
                <w:szCs w:val="18"/>
                <w:lang w:val="en-GB"/>
              </w:rPr>
              <w:t xml:space="preserve"> </w:t>
            </w:r>
            <w:proofErr w:type="spellStart"/>
            <w:r w:rsidRPr="009A6F69">
              <w:rPr>
                <w:i/>
                <w:iCs/>
                <w:sz w:val="18"/>
                <w:szCs w:val="18"/>
                <w:lang w:val="en-GB"/>
              </w:rPr>
              <w:t>Azar</w:t>
            </w:r>
            <w:proofErr w:type="spellEnd"/>
            <w:r w:rsidRPr="009A6F69">
              <w:rPr>
                <w:i/>
                <w:iCs/>
                <w:sz w:val="18"/>
                <w:szCs w:val="18"/>
                <w:lang w:val="en-GB"/>
              </w:rPr>
              <w:t xml:space="preserve">, </w:t>
            </w:r>
            <w:proofErr w:type="spellStart"/>
            <w:r w:rsidRPr="009A6F69">
              <w:rPr>
                <w:i/>
                <w:iCs/>
                <w:sz w:val="18"/>
                <w:szCs w:val="18"/>
                <w:lang w:val="en-GB"/>
              </w:rPr>
              <w:t>Schistosomiasis</w:t>
            </w:r>
            <w:proofErr w:type="spellEnd"/>
            <w:r w:rsidRPr="009A6F69">
              <w:rPr>
                <w:i/>
                <w:iCs/>
                <w:sz w:val="18"/>
                <w:szCs w:val="18"/>
                <w:lang w:val="en-GB"/>
              </w:rPr>
              <w:t xml:space="preserve">, </w:t>
            </w:r>
            <w:proofErr w:type="spellStart"/>
            <w:r w:rsidRPr="009A6F69">
              <w:rPr>
                <w:i/>
                <w:iCs/>
                <w:sz w:val="18"/>
                <w:szCs w:val="18"/>
                <w:lang w:val="en-GB"/>
              </w:rPr>
              <w:t>Drucunculosis</w:t>
            </w:r>
            <w:proofErr w:type="spellEnd"/>
            <w:r w:rsidRPr="009A6F69">
              <w:rPr>
                <w:i/>
                <w:iCs/>
                <w:sz w:val="18"/>
                <w:szCs w:val="18"/>
                <w:lang w:val="en-GB"/>
              </w:rPr>
              <w:t xml:space="preserve">, </w:t>
            </w:r>
            <w:proofErr w:type="spellStart"/>
            <w:r w:rsidRPr="009A6F69">
              <w:rPr>
                <w:i/>
                <w:iCs/>
                <w:sz w:val="18"/>
                <w:szCs w:val="18"/>
                <w:lang w:val="en-GB"/>
              </w:rPr>
              <w:t>Leishmaniasis</w:t>
            </w:r>
            <w:proofErr w:type="spellEnd"/>
            <w:r w:rsidRPr="009A6F69">
              <w:rPr>
                <w:i/>
                <w:iCs/>
                <w:sz w:val="18"/>
                <w:szCs w:val="18"/>
                <w:lang w:val="en-GB"/>
              </w:rPr>
              <w: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Mass </w:t>
            </w:r>
            <w:proofErr w:type="spellStart"/>
            <w:r w:rsidRPr="009A6F69">
              <w:rPr>
                <w:sz w:val="18"/>
                <w:szCs w:val="18"/>
                <w:lang w:val="en-GB"/>
              </w:rPr>
              <w:t>deworming</w:t>
            </w:r>
            <w:proofErr w:type="spellEnd"/>
            <w:r w:rsidRPr="009A6F69">
              <w:rPr>
                <w:sz w:val="18"/>
                <w:szCs w:val="18"/>
                <w:lang w:val="en-GB"/>
              </w:rPr>
              <w:t xml:space="preserve"> for </w:t>
            </w:r>
            <w:proofErr w:type="spellStart"/>
            <w:r w:rsidRPr="009A6F69">
              <w:rPr>
                <w:sz w:val="18"/>
                <w:szCs w:val="18"/>
                <w:lang w:val="en-GB"/>
              </w:rPr>
              <w:t>schistosomiasis</w:t>
            </w:r>
            <w:proofErr w:type="spellEnd"/>
            <w:r w:rsidRPr="009A6F69">
              <w:rPr>
                <w:sz w:val="18"/>
                <w:szCs w:val="18"/>
                <w:lang w:val="en-GB"/>
              </w:rPr>
              <w:t xml:space="preserve"> control</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Mass screening  of NTDS (</w:t>
            </w:r>
            <w:proofErr w:type="spellStart"/>
            <w:r w:rsidRPr="009A6F69">
              <w:rPr>
                <w:i/>
                <w:iCs/>
                <w:sz w:val="18"/>
                <w:szCs w:val="18"/>
                <w:lang w:val="en-GB"/>
              </w:rPr>
              <w:t>Kalar</w:t>
            </w:r>
            <w:proofErr w:type="spellEnd"/>
            <w:r w:rsidRPr="009A6F69">
              <w:rPr>
                <w:i/>
                <w:iCs/>
                <w:sz w:val="18"/>
                <w:szCs w:val="18"/>
                <w:lang w:val="en-GB"/>
              </w:rPr>
              <w:t xml:space="preserve"> </w:t>
            </w:r>
            <w:proofErr w:type="spellStart"/>
            <w:r w:rsidRPr="009A6F69">
              <w:rPr>
                <w:i/>
                <w:iCs/>
                <w:sz w:val="18"/>
                <w:szCs w:val="18"/>
                <w:lang w:val="en-GB"/>
              </w:rPr>
              <w:t>Azar</w:t>
            </w:r>
            <w:proofErr w:type="spellEnd"/>
            <w:r w:rsidRPr="009A6F69">
              <w:rPr>
                <w:i/>
                <w:iCs/>
                <w:sz w:val="18"/>
                <w:szCs w:val="18"/>
                <w:lang w:val="en-GB"/>
              </w:rPr>
              <w:t xml:space="preserve">, </w:t>
            </w:r>
            <w:proofErr w:type="spellStart"/>
            <w:r w:rsidRPr="009A6F69">
              <w:rPr>
                <w:i/>
                <w:iCs/>
                <w:sz w:val="18"/>
                <w:szCs w:val="18"/>
                <w:lang w:val="en-GB"/>
              </w:rPr>
              <w:t>Schistosomiasis</w:t>
            </w:r>
            <w:proofErr w:type="spellEnd"/>
            <w:r w:rsidRPr="009A6F69">
              <w:rPr>
                <w:i/>
                <w:iCs/>
                <w:sz w:val="18"/>
                <w:szCs w:val="18"/>
                <w:lang w:val="en-GB"/>
              </w:rPr>
              <w:t xml:space="preserve">, </w:t>
            </w:r>
            <w:proofErr w:type="spellStart"/>
            <w:r w:rsidRPr="009A6F69">
              <w:rPr>
                <w:i/>
                <w:iCs/>
                <w:sz w:val="18"/>
                <w:szCs w:val="18"/>
                <w:lang w:val="en-GB"/>
              </w:rPr>
              <w:t>Drucunculosis</w:t>
            </w:r>
            <w:proofErr w:type="spellEnd"/>
            <w:r w:rsidRPr="009A6F69">
              <w:rPr>
                <w:i/>
                <w:iCs/>
                <w:sz w:val="18"/>
                <w:szCs w:val="18"/>
                <w:lang w:val="en-GB"/>
              </w:rPr>
              <w:t xml:space="preserve">, </w:t>
            </w:r>
            <w:proofErr w:type="spellStart"/>
            <w:r w:rsidRPr="009A6F69">
              <w:rPr>
                <w:i/>
                <w:iCs/>
                <w:sz w:val="18"/>
                <w:szCs w:val="18"/>
                <w:lang w:val="en-GB"/>
              </w:rPr>
              <w:t>Leishmaniasis</w:t>
            </w:r>
            <w:proofErr w:type="spellEnd"/>
            <w:r w:rsidRPr="009A6F69">
              <w:rPr>
                <w:i/>
                <w:iCs/>
                <w:sz w:val="18"/>
                <w:szCs w:val="18"/>
                <w:lang w:val="en-GB"/>
              </w:rPr>
              <w: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tcBorders>
              <w:top w:val="nil"/>
              <w:left w:val="single" w:sz="4" w:space="0" w:color="auto"/>
              <w:bottom w:val="single" w:sz="4" w:space="0" w:color="auto"/>
              <w:right w:val="single" w:sz="4" w:space="0" w:color="auto"/>
            </w:tcBorders>
            <w:vAlign w:val="center"/>
            <w:hideMark/>
          </w:tcPr>
          <w:p w:rsidR="004D290E" w:rsidRPr="009A6F69" w:rsidRDefault="004D290E" w:rsidP="0054501E">
            <w:pPr>
              <w:spacing w:after="0" w:line="240" w:lineRule="auto"/>
              <w:rPr>
                <w:b/>
                <w:sz w:val="18"/>
                <w:szCs w:val="18"/>
                <w:lang w:val="en-GB"/>
              </w:rPr>
            </w:pPr>
            <w:r w:rsidRPr="009A6F69">
              <w:rPr>
                <w:b/>
                <w:sz w:val="18"/>
                <w:szCs w:val="18"/>
                <w:lang w:val="en-GB"/>
              </w:rPr>
              <w:t>POLICY OBJECTIVE 2</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922995">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b/>
                <w:sz w:val="18"/>
                <w:szCs w:val="18"/>
                <w:lang w:val="en-GB"/>
              </w:rPr>
            </w:pP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Health Promotion and education for NCD’s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Public information on NCD’s prevention, screening  and early treatment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Community detection and diagnosis for NCD’s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Education on Referral/evacuation  of persons with NCD’s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Institutional Screening for NCD’s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Routine Blood Sugar testing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Routine  Blood Pressure measurement at OPD</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Routine Body Mass Index (weight and height) measurement for all outpatients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Cervical cancer screening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roofErr w:type="spellStart"/>
            <w:r w:rsidRPr="009A6F69">
              <w:rPr>
                <w:sz w:val="18"/>
                <w:szCs w:val="18"/>
                <w:lang w:val="en-GB"/>
              </w:rPr>
              <w:t>Fecal</w:t>
            </w:r>
            <w:proofErr w:type="spellEnd"/>
            <w:r w:rsidRPr="009A6F69">
              <w:rPr>
                <w:sz w:val="18"/>
                <w:szCs w:val="18"/>
                <w:lang w:val="en-GB"/>
              </w:rPr>
              <w:t xml:space="preserve"> Occult Blood testing for bowel cancers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3,4,5</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Breast cancer screening every 3 years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3,4,5</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Lung Function Testing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3,4,5</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Lipid profiling every 5 years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3,4,5</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Annual prostate examination for all men over 50 years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4,5</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Community screening for NCD’s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Routine Blood Pressure measurement in the community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3,4,5</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Adult Mid Upper Arm Circumference measurement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3,4,5</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 xml:space="preserve">Rehabilitation </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Home based care clients with NCD’s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roofErr w:type="spellStart"/>
            <w:r w:rsidRPr="009A6F69">
              <w:rPr>
                <w:sz w:val="18"/>
                <w:szCs w:val="18"/>
                <w:lang w:val="en-GB"/>
              </w:rPr>
              <w:t>Physio</w:t>
            </w:r>
            <w:proofErr w:type="spellEnd"/>
            <w:r w:rsidRPr="009A6F69">
              <w:rPr>
                <w:sz w:val="18"/>
                <w:szCs w:val="18"/>
                <w:lang w:val="en-GB"/>
              </w:rPr>
              <w:t xml:space="preserve"> therapy for persons with physical </w:t>
            </w:r>
            <w:proofErr w:type="spellStart"/>
            <w:r w:rsidRPr="009A6F69">
              <w:rPr>
                <w:sz w:val="18"/>
                <w:szCs w:val="18"/>
                <w:lang w:val="en-GB"/>
              </w:rPr>
              <w:t>diasbilities</w:t>
            </w:r>
            <w:proofErr w:type="spellEnd"/>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Occupational therapy for persons with disabilities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Psychosocial therapy for persons with disabilities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Provision of rehabilitative appliances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Workplace health and safety</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Workplace wellness programs every 3 years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Inspection and certification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Safety education at work</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Food quality and safety</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Food demonstrations (at community and facilities)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Food quality testing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Consumer Education on food quality and safety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tcBorders>
              <w:top w:val="nil"/>
              <w:left w:val="single" w:sz="4" w:space="0" w:color="auto"/>
              <w:bottom w:val="single" w:sz="4" w:space="0" w:color="auto"/>
              <w:right w:val="single" w:sz="4" w:space="0" w:color="auto"/>
            </w:tcBorders>
            <w:vAlign w:val="center"/>
            <w:hideMark/>
          </w:tcPr>
          <w:p w:rsidR="004D290E" w:rsidRPr="009A6F69" w:rsidRDefault="004D290E" w:rsidP="0054501E">
            <w:pPr>
              <w:spacing w:after="0" w:line="240" w:lineRule="auto"/>
              <w:rPr>
                <w:b/>
                <w:sz w:val="18"/>
                <w:szCs w:val="18"/>
                <w:lang w:val="en-GB"/>
              </w:rPr>
            </w:pPr>
            <w:r w:rsidRPr="009A6F69">
              <w:rPr>
                <w:b/>
                <w:sz w:val="18"/>
                <w:szCs w:val="18"/>
                <w:lang w:val="en-GB"/>
              </w:rPr>
              <w:t>POLICY OBJECTIVE 3</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b/>
                <w:sz w:val="18"/>
                <w:szCs w:val="18"/>
                <w:lang w:val="en-GB"/>
              </w:rPr>
            </w:pP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Health Promotion and education</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Awareness creation on violence and injuries (including Sexual and Gender Based Violence)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Public education on prevention of violence and injuries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Pre hospital Care</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Basic First Aid</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Evacuation Services for Injuries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OPD/Accident and Emergency</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Basic Emergency Trauma care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Advanced Emergency Trauma care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Management for injuries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 xml:space="preserve">Basic imaging for violence and injuries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Advanced imaging for Violence and Injuries (</w:t>
            </w:r>
            <w:r w:rsidRPr="009A6F69">
              <w:rPr>
                <w:i/>
                <w:iCs/>
                <w:sz w:val="18"/>
                <w:szCs w:val="18"/>
                <w:lang w:val="en-GB"/>
              </w:rPr>
              <w:t>CT Scan, MRI)</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Basic Lab services for violence and Injuries (</w:t>
            </w:r>
            <w:r w:rsidRPr="009A6F69">
              <w:rPr>
                <w:i/>
                <w:iCs/>
                <w:sz w:val="18"/>
                <w:szCs w:val="18"/>
                <w:lang w:val="en-GB"/>
              </w:rPr>
              <w:t>Blood transfusions, vaginal swabs, HIV serology)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Advanced Lab services  for violence and Injuries (</w:t>
            </w:r>
            <w:r w:rsidRPr="009A6F69">
              <w:rPr>
                <w:i/>
                <w:iCs/>
                <w:sz w:val="18"/>
                <w:szCs w:val="18"/>
                <w:lang w:val="en-GB"/>
              </w:rPr>
              <w:t>DNA testing)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Rehabilitation</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 xml:space="preserve">Physiotherapy following recovery from violence and Injuries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Occupational Therapy following recovery from violence and Injuries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Psychosocial therapy for violence and Injuries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Rehabilitative appliances following violence and injuries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tcBorders>
              <w:top w:val="nil"/>
              <w:left w:val="single" w:sz="4" w:space="0" w:color="auto"/>
              <w:bottom w:val="single" w:sz="4" w:space="0" w:color="auto"/>
              <w:right w:val="single" w:sz="4" w:space="0" w:color="auto"/>
            </w:tcBorders>
            <w:vAlign w:val="center"/>
            <w:hideMark/>
          </w:tcPr>
          <w:p w:rsidR="004D290E" w:rsidRPr="009A6F69" w:rsidRDefault="004D290E" w:rsidP="0054501E">
            <w:pPr>
              <w:spacing w:after="0" w:line="240" w:lineRule="auto"/>
              <w:rPr>
                <w:b/>
                <w:sz w:val="18"/>
                <w:szCs w:val="18"/>
                <w:lang w:val="en-GB"/>
              </w:rPr>
            </w:pPr>
            <w:r w:rsidRPr="009A6F69">
              <w:rPr>
                <w:b/>
                <w:sz w:val="18"/>
                <w:szCs w:val="18"/>
                <w:lang w:val="en-GB"/>
              </w:rPr>
              <w:t xml:space="preserve">POLICY </w:t>
            </w:r>
            <w:r w:rsidRPr="009A6F69">
              <w:rPr>
                <w:b/>
                <w:sz w:val="18"/>
                <w:szCs w:val="18"/>
                <w:lang w:val="en-GB"/>
              </w:rPr>
              <w:lastRenderedPageBreak/>
              <w:t>OBJECTIVE 4</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b/>
                <w:sz w:val="18"/>
                <w:szCs w:val="18"/>
                <w:lang w:val="en-GB"/>
              </w:rPr>
            </w:pP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lastRenderedPageBreak/>
              <w:t>General Outpatient</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Management of ENT conditions (</w:t>
            </w:r>
            <w:proofErr w:type="spellStart"/>
            <w:r w:rsidRPr="009A6F69">
              <w:rPr>
                <w:i/>
                <w:iCs/>
                <w:sz w:val="18"/>
                <w:szCs w:val="18"/>
                <w:lang w:val="en-GB"/>
              </w:rPr>
              <w:t>Pharyngitis</w:t>
            </w:r>
            <w:proofErr w:type="spellEnd"/>
            <w:r w:rsidRPr="009A6F69">
              <w:rPr>
                <w:i/>
                <w:iCs/>
                <w:sz w:val="18"/>
                <w:szCs w:val="18"/>
                <w:lang w:val="en-GB"/>
              </w:rPr>
              <w:t>, Tonsillitis, sinusitis)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Eye conditions (</w:t>
            </w:r>
            <w:r w:rsidRPr="009A6F69">
              <w:rPr>
                <w:i/>
                <w:iCs/>
                <w:sz w:val="18"/>
                <w:szCs w:val="18"/>
                <w:lang w:val="en-GB"/>
              </w:rPr>
              <w:t xml:space="preserve">Allergies, Bacterial </w:t>
            </w:r>
            <w:proofErr w:type="spellStart"/>
            <w:r w:rsidRPr="009A6F69">
              <w:rPr>
                <w:i/>
                <w:iCs/>
                <w:sz w:val="18"/>
                <w:szCs w:val="18"/>
                <w:lang w:val="en-GB"/>
              </w:rPr>
              <w:t>Keratitis</w:t>
            </w:r>
            <w:proofErr w:type="spellEnd"/>
            <w:r w:rsidRPr="009A6F69">
              <w:rPr>
                <w:i/>
                <w:iCs/>
                <w:sz w:val="18"/>
                <w:szCs w:val="18"/>
                <w:lang w:val="en-GB"/>
              </w:rPr>
              <w:t xml:space="preserve">, Conjunctivitis (Pink Eye), Dry Eye, Low Vision, Myopia (Nearsightedness), </w:t>
            </w:r>
            <w:proofErr w:type="spellStart"/>
            <w:r w:rsidRPr="009A6F69">
              <w:rPr>
                <w:i/>
                <w:iCs/>
                <w:sz w:val="18"/>
                <w:szCs w:val="18"/>
                <w:lang w:val="en-GB"/>
              </w:rPr>
              <w:t>Stye</w:t>
            </w:r>
            <w:proofErr w:type="spellEnd"/>
            <w:r w:rsidRPr="009A6F69">
              <w:rPr>
                <w:i/>
                <w:iCs/>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Management of  Oral conditions (dental carries, </w:t>
            </w:r>
            <w:r w:rsidRPr="009A6F69">
              <w:rPr>
                <w:i/>
                <w:iCs/>
                <w:sz w:val="18"/>
                <w:szCs w:val="18"/>
                <w:lang w:val="en-GB"/>
              </w:rPr>
              <w:t>dental extraction,  halitosis,)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Respiratory conditions (</w:t>
            </w:r>
            <w:r w:rsidRPr="009A6F69">
              <w:rPr>
                <w:i/>
                <w:iCs/>
                <w:sz w:val="18"/>
                <w:szCs w:val="18"/>
                <w:lang w:val="en-GB"/>
              </w:rPr>
              <w:t xml:space="preserve">Croup, Asthma, bronchitis, </w:t>
            </w:r>
            <w:proofErr w:type="spellStart"/>
            <w:r w:rsidRPr="009A6F69">
              <w:rPr>
                <w:i/>
                <w:iCs/>
                <w:sz w:val="18"/>
                <w:szCs w:val="18"/>
                <w:lang w:val="en-GB"/>
              </w:rPr>
              <w:t>bronchiolitis</w:t>
            </w:r>
            <w:proofErr w:type="spellEnd"/>
            <w:r w:rsidRPr="009A6F69">
              <w:rPr>
                <w:i/>
                <w:iCs/>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Management of Cardiovascular conditions (e.g. </w:t>
            </w:r>
            <w:proofErr w:type="spellStart"/>
            <w:r w:rsidRPr="009A6F69">
              <w:rPr>
                <w:i/>
                <w:iCs/>
                <w:sz w:val="18"/>
                <w:szCs w:val="18"/>
                <w:lang w:val="en-GB"/>
              </w:rPr>
              <w:t>Ischaemic</w:t>
            </w:r>
            <w:proofErr w:type="spellEnd"/>
            <w:r w:rsidRPr="009A6F69">
              <w:rPr>
                <w:i/>
                <w:iCs/>
                <w:sz w:val="18"/>
                <w:szCs w:val="18"/>
                <w:lang w:val="en-GB"/>
              </w:rPr>
              <w:t xml:space="preserve"> heart disease, stroke, peripheral vascular diseases, RHD, </w:t>
            </w:r>
            <w:proofErr w:type="spellStart"/>
            <w:r w:rsidRPr="009A6F69">
              <w:rPr>
                <w:i/>
                <w:iCs/>
                <w:sz w:val="18"/>
                <w:szCs w:val="18"/>
                <w:lang w:val="en-GB"/>
              </w:rPr>
              <w:t>congential</w:t>
            </w:r>
            <w:proofErr w:type="spellEnd"/>
            <w:r w:rsidRPr="009A6F69">
              <w:rPr>
                <w:i/>
                <w:iCs/>
                <w:sz w:val="18"/>
                <w:szCs w:val="18"/>
                <w:lang w:val="en-GB"/>
              </w:rPr>
              <w:t xml:space="preserve"> heart disease)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Gastrointestinal conditions (</w:t>
            </w:r>
            <w:r w:rsidRPr="009A6F69">
              <w:rPr>
                <w:i/>
                <w:iCs/>
                <w:sz w:val="18"/>
                <w:szCs w:val="18"/>
                <w:lang w:val="en-GB"/>
              </w:rPr>
              <w:t>Hepatitis)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Management of </w:t>
            </w:r>
            <w:proofErr w:type="spellStart"/>
            <w:r w:rsidRPr="009A6F69">
              <w:rPr>
                <w:sz w:val="18"/>
                <w:szCs w:val="18"/>
                <w:lang w:val="en-GB"/>
              </w:rPr>
              <w:t>Genito</w:t>
            </w:r>
            <w:proofErr w:type="spellEnd"/>
            <w:r w:rsidRPr="009A6F69">
              <w:rPr>
                <w:sz w:val="18"/>
                <w:szCs w:val="18"/>
                <w:lang w:val="en-GB"/>
              </w:rPr>
              <w:t xml:space="preserve">-urinary conditions (e.g. </w:t>
            </w:r>
            <w:r w:rsidRPr="009A6F69">
              <w:rPr>
                <w:i/>
                <w:iCs/>
                <w:sz w:val="18"/>
                <w:szCs w:val="18"/>
                <w:lang w:val="en-GB"/>
              </w:rPr>
              <w:t>Lower UTI’s, genital tract infections)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Muscular skeletal conditions (</w:t>
            </w:r>
            <w:r w:rsidRPr="009A6F69">
              <w:rPr>
                <w:i/>
                <w:iCs/>
                <w:sz w:val="18"/>
                <w:szCs w:val="18"/>
                <w:lang w:val="en-GB"/>
              </w:rPr>
              <w:t>Juvenile rheumatoid arthritis, fractures)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Skin conditions (</w:t>
            </w:r>
            <w:r w:rsidRPr="009A6F69">
              <w:rPr>
                <w:i/>
                <w:iCs/>
                <w:sz w:val="18"/>
                <w:szCs w:val="18"/>
                <w:lang w:val="en-GB"/>
              </w:rPr>
              <w:t>Impetigo, dermatitis / eczema, scabies, fungal skin infections)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Neurological conditions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mental disorders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Sexual and Gender Based Violence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Identification and management of disabilities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Endocrine and metabolic conditions (</w:t>
            </w:r>
            <w:r w:rsidRPr="009A6F69">
              <w:rPr>
                <w:i/>
                <w:iCs/>
                <w:sz w:val="18"/>
                <w:szCs w:val="18"/>
                <w:lang w:val="en-GB"/>
              </w:rPr>
              <w:t>Diabetes Mellitus, Hypothyroidism, hyperthyroidism)</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Haematology conditions (</w:t>
            </w:r>
            <w:r w:rsidRPr="009A6F69">
              <w:rPr>
                <w:i/>
                <w:iCs/>
                <w:sz w:val="18"/>
                <w:szCs w:val="18"/>
                <w:lang w:val="en-GB"/>
              </w:rPr>
              <w:t>Anaemia, Leukaemia, Lymphoma)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birth defects (</w:t>
            </w:r>
            <w:proofErr w:type="spellStart"/>
            <w:r w:rsidRPr="009A6F69">
              <w:rPr>
                <w:i/>
                <w:iCs/>
                <w:sz w:val="18"/>
                <w:szCs w:val="18"/>
                <w:lang w:val="en-GB"/>
              </w:rPr>
              <w:t>Downs</w:t>
            </w:r>
            <w:proofErr w:type="spellEnd"/>
            <w:r w:rsidRPr="009A6F69">
              <w:rPr>
                <w:i/>
                <w:iCs/>
                <w:sz w:val="18"/>
                <w:szCs w:val="18"/>
                <w:lang w:val="en-GB"/>
              </w:rPr>
              <w:t xml:space="preserve"> syndrome, Edwards syndrome)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Management of nutritional disorders (micronutrient </w:t>
            </w:r>
            <w:proofErr w:type="spellStart"/>
            <w:r w:rsidRPr="009A6F69">
              <w:rPr>
                <w:sz w:val="18"/>
                <w:szCs w:val="18"/>
                <w:lang w:val="en-GB"/>
              </w:rPr>
              <w:t>deficincies</w:t>
            </w:r>
            <w:proofErr w:type="spellEnd"/>
            <w:r w:rsidRPr="009A6F69">
              <w:rPr>
                <w:sz w:val="18"/>
                <w:szCs w:val="18"/>
                <w:lang w:val="en-GB"/>
              </w:rPr>
              <w:t xml:space="preserve">, </w:t>
            </w:r>
            <w:r w:rsidRPr="009A6F69">
              <w:rPr>
                <w:i/>
                <w:iCs/>
                <w:sz w:val="18"/>
                <w:szCs w:val="18"/>
                <w:lang w:val="en-GB"/>
              </w:rPr>
              <w:t xml:space="preserve">Kwashiorkor, </w:t>
            </w:r>
            <w:proofErr w:type="spellStart"/>
            <w:r w:rsidRPr="009A6F69">
              <w:rPr>
                <w:i/>
                <w:iCs/>
                <w:sz w:val="18"/>
                <w:szCs w:val="18"/>
                <w:lang w:val="en-GB"/>
              </w:rPr>
              <w:t>Marasmus</w:t>
            </w:r>
            <w:proofErr w:type="spellEnd"/>
            <w:r w:rsidRPr="009A6F69">
              <w:rPr>
                <w:i/>
                <w:iCs/>
                <w:sz w:val="18"/>
                <w:szCs w:val="18"/>
                <w:lang w:val="en-GB"/>
              </w:rPr>
              <w:t>, Obesity, Iodine and Vitamin A deficiency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other infectious conditions</w:t>
            </w:r>
            <w:r w:rsidRPr="009A6F69">
              <w:rPr>
                <w:i/>
                <w:iCs/>
                <w:sz w:val="18"/>
                <w:szCs w:val="18"/>
                <w:lang w:val="en-GB"/>
              </w:rPr>
              <w:t xml:space="preserve"> (Malaria, typhoid, </w:t>
            </w:r>
            <w:proofErr w:type="spellStart"/>
            <w:r w:rsidRPr="009A6F69">
              <w:rPr>
                <w:i/>
                <w:iCs/>
                <w:sz w:val="18"/>
                <w:szCs w:val="18"/>
                <w:lang w:val="en-GB"/>
              </w:rPr>
              <w:t>amoebiasis</w:t>
            </w:r>
            <w:proofErr w:type="spellEnd"/>
            <w:r w:rsidRPr="009A6F69">
              <w:rPr>
                <w:i/>
                <w:iCs/>
                <w:sz w:val="18"/>
                <w:szCs w:val="18"/>
                <w:lang w:val="en-GB"/>
              </w:rPr>
              <w:t>, HIV,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Vaccination services </w:t>
            </w:r>
            <w:r w:rsidRPr="009A6F69">
              <w:rPr>
                <w:i/>
                <w:iCs/>
                <w:sz w:val="18"/>
                <w:szCs w:val="18"/>
                <w:lang w:val="en-GB"/>
              </w:rPr>
              <w:t xml:space="preserve">(Yellow fever, rabies, Tetanus </w:t>
            </w:r>
            <w:proofErr w:type="spellStart"/>
            <w:r w:rsidRPr="009A6F69">
              <w:rPr>
                <w:i/>
                <w:iCs/>
                <w:sz w:val="18"/>
                <w:szCs w:val="18"/>
                <w:lang w:val="en-GB"/>
              </w:rPr>
              <w:t>toxoid</w:t>
            </w:r>
            <w:proofErr w:type="spellEnd"/>
            <w:r w:rsidRPr="009A6F69">
              <w:rPr>
                <w:i/>
                <w:iCs/>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minor injuries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Management of cancers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Evacuation / transfer to other service areas / facilities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Integrated MCH / Family Planning services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Vitamin A supplementation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Micronutrient supplementation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Iron and folic Acid supplementation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Weight monitoring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Height measurement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Mid Upper Arm Circumference measurement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roofErr w:type="spellStart"/>
            <w:r w:rsidRPr="009A6F69">
              <w:rPr>
                <w:sz w:val="18"/>
                <w:szCs w:val="18"/>
                <w:lang w:val="en-GB"/>
              </w:rPr>
              <w:t>Counseling</w:t>
            </w:r>
            <w:proofErr w:type="spellEnd"/>
            <w:r w:rsidRPr="009A6F69">
              <w:rPr>
                <w:sz w:val="18"/>
                <w:szCs w:val="18"/>
                <w:lang w:val="en-GB"/>
              </w:rPr>
              <w:t>: On infant feeding: Exclusive Breastfeeding, and complementary feeding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roofErr w:type="spellStart"/>
            <w:r w:rsidRPr="009A6F69">
              <w:rPr>
                <w:sz w:val="18"/>
                <w:szCs w:val="18"/>
                <w:lang w:val="en-GB"/>
              </w:rPr>
              <w:t>Counseling</w:t>
            </w:r>
            <w:proofErr w:type="spellEnd"/>
            <w:r w:rsidRPr="009A6F69">
              <w:rPr>
                <w:sz w:val="18"/>
                <w:szCs w:val="18"/>
                <w:lang w:val="en-GB"/>
              </w:rPr>
              <w:t>: On maternal nutrition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Screening: for malnutrition, skin diseases, </w:t>
            </w:r>
            <w:proofErr w:type="spellStart"/>
            <w:r w:rsidRPr="009A6F69">
              <w:rPr>
                <w:sz w:val="18"/>
                <w:szCs w:val="18"/>
                <w:lang w:val="en-GB"/>
              </w:rPr>
              <w:t>anemia</w:t>
            </w:r>
            <w:proofErr w:type="spellEnd"/>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FP Barrier methods (</w:t>
            </w:r>
            <w:r w:rsidRPr="009A6F69">
              <w:rPr>
                <w:i/>
                <w:iCs/>
                <w:sz w:val="18"/>
                <w:szCs w:val="18"/>
                <w:lang w:val="en-GB"/>
              </w:rPr>
              <w:t>Condoms, diaphragm, caps, vaginal ring and sponge)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FP Hormonal methods (</w:t>
            </w:r>
            <w:r w:rsidRPr="009A6F69">
              <w:rPr>
                <w:i/>
                <w:iCs/>
                <w:sz w:val="18"/>
                <w:szCs w:val="18"/>
                <w:lang w:val="en-GB"/>
              </w:rPr>
              <w:t xml:space="preserve">Oral, </w:t>
            </w:r>
            <w:proofErr w:type="spellStart"/>
            <w:r w:rsidRPr="009A6F69">
              <w:rPr>
                <w:i/>
                <w:iCs/>
                <w:sz w:val="18"/>
                <w:szCs w:val="18"/>
                <w:lang w:val="en-GB"/>
              </w:rPr>
              <w:t>injectable</w:t>
            </w:r>
            <w:proofErr w:type="spellEnd"/>
            <w:r w:rsidRPr="009A6F69">
              <w:rPr>
                <w:i/>
                <w:iCs/>
                <w:sz w:val="18"/>
                <w:szCs w:val="18"/>
                <w:lang w:val="en-GB"/>
              </w:rPr>
              <w:t>, sub dermal implants)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FP Surgical methods (</w:t>
            </w:r>
            <w:r w:rsidRPr="009A6F69">
              <w:rPr>
                <w:i/>
                <w:iCs/>
                <w:sz w:val="18"/>
                <w:szCs w:val="18"/>
                <w:lang w:val="en-GB"/>
              </w:rPr>
              <w:t>Tubal ligation, vasectomy)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FP Natural methods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FP Intra Uterine Contraceptive Devices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Accident and Emergency</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Management of ENT conditions (</w:t>
            </w:r>
            <w:proofErr w:type="spellStart"/>
            <w:r w:rsidRPr="009A6F69">
              <w:rPr>
                <w:i/>
                <w:iCs/>
                <w:sz w:val="18"/>
                <w:szCs w:val="18"/>
                <w:lang w:val="en-GB"/>
              </w:rPr>
              <w:t>Pharyngitis</w:t>
            </w:r>
            <w:proofErr w:type="spellEnd"/>
            <w:r w:rsidRPr="009A6F69">
              <w:rPr>
                <w:i/>
                <w:iCs/>
                <w:sz w:val="18"/>
                <w:szCs w:val="18"/>
                <w:lang w:val="en-GB"/>
              </w:rPr>
              <w:t>, Tonsillitis, sinusitis)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Eye conditions (</w:t>
            </w:r>
            <w:r w:rsidRPr="009A6F69">
              <w:rPr>
                <w:i/>
                <w:iCs/>
                <w:sz w:val="18"/>
                <w:szCs w:val="18"/>
                <w:lang w:val="en-GB"/>
              </w:rPr>
              <w:t xml:space="preserve">Allergies, Bacterial </w:t>
            </w:r>
            <w:proofErr w:type="spellStart"/>
            <w:r w:rsidRPr="009A6F69">
              <w:rPr>
                <w:i/>
                <w:iCs/>
                <w:sz w:val="18"/>
                <w:szCs w:val="18"/>
                <w:lang w:val="en-GB"/>
              </w:rPr>
              <w:t>Keratitis</w:t>
            </w:r>
            <w:proofErr w:type="spellEnd"/>
            <w:r w:rsidRPr="009A6F69">
              <w:rPr>
                <w:i/>
                <w:iCs/>
                <w:sz w:val="18"/>
                <w:szCs w:val="18"/>
                <w:lang w:val="en-GB"/>
              </w:rPr>
              <w:t>, Cataracts, Detached and Torn Retina, Glaucoma)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Oral conditions (</w:t>
            </w:r>
            <w:r w:rsidRPr="009A6F69">
              <w:rPr>
                <w:i/>
                <w:iCs/>
                <w:sz w:val="18"/>
                <w:szCs w:val="18"/>
                <w:lang w:val="en-GB"/>
              </w:rPr>
              <w:t>Oral Infections, maxillofacial trauma, oral cancers)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Respiratory conditions (</w:t>
            </w:r>
            <w:r w:rsidRPr="009A6F69">
              <w:rPr>
                <w:i/>
                <w:iCs/>
                <w:sz w:val="18"/>
                <w:szCs w:val="18"/>
                <w:lang w:val="en-GB"/>
              </w:rPr>
              <w:t xml:space="preserve">Croup, Asthma, bronchitis, </w:t>
            </w:r>
            <w:proofErr w:type="spellStart"/>
            <w:r w:rsidRPr="009A6F69">
              <w:rPr>
                <w:i/>
                <w:iCs/>
                <w:sz w:val="18"/>
                <w:szCs w:val="18"/>
                <w:lang w:val="en-GB"/>
              </w:rPr>
              <w:t>bronchiolitis</w:t>
            </w:r>
            <w:proofErr w:type="spellEnd"/>
            <w:r w:rsidRPr="009A6F69">
              <w:rPr>
                <w:i/>
                <w:iCs/>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Cardiovascular conditions (</w:t>
            </w:r>
            <w:r w:rsidRPr="009A6F69">
              <w:rPr>
                <w:i/>
                <w:iCs/>
                <w:sz w:val="18"/>
                <w:szCs w:val="18"/>
                <w:lang w:val="en-GB"/>
              </w:rPr>
              <w:t xml:space="preserve">Infective </w:t>
            </w:r>
            <w:proofErr w:type="spellStart"/>
            <w:r w:rsidRPr="009A6F69">
              <w:rPr>
                <w:i/>
                <w:iCs/>
                <w:sz w:val="18"/>
                <w:szCs w:val="18"/>
                <w:lang w:val="en-GB"/>
              </w:rPr>
              <w:t>endocarditis</w:t>
            </w:r>
            <w:proofErr w:type="spellEnd"/>
            <w:r w:rsidRPr="009A6F69">
              <w:rPr>
                <w:i/>
                <w:iCs/>
                <w:sz w:val="18"/>
                <w:szCs w:val="18"/>
                <w:lang w:val="en-GB"/>
              </w:rPr>
              <w:t>, Rheumatic heart disease, Congestive heart failure, Shock, hypertension)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Gastrointestinal conditions (</w:t>
            </w:r>
            <w:r w:rsidRPr="009A6F69">
              <w:rPr>
                <w:i/>
                <w:iCs/>
                <w:sz w:val="18"/>
                <w:szCs w:val="18"/>
                <w:lang w:val="en-GB"/>
              </w:rPr>
              <w:t xml:space="preserve">Hepatitis, Liver failure, </w:t>
            </w:r>
            <w:proofErr w:type="spellStart"/>
            <w:r w:rsidRPr="009A6F69">
              <w:rPr>
                <w:i/>
                <w:iCs/>
                <w:sz w:val="18"/>
                <w:szCs w:val="18"/>
                <w:lang w:val="en-GB"/>
              </w:rPr>
              <w:t>Ascitis</w:t>
            </w:r>
            <w:proofErr w:type="spellEnd"/>
            <w:r w:rsidRPr="009A6F69">
              <w:rPr>
                <w:i/>
                <w:iCs/>
                <w:sz w:val="18"/>
                <w:szCs w:val="18"/>
                <w:lang w:val="en-GB"/>
              </w:rPr>
              <w:t xml:space="preserve">, </w:t>
            </w:r>
            <w:proofErr w:type="spellStart"/>
            <w:r w:rsidRPr="009A6F69">
              <w:rPr>
                <w:i/>
                <w:iCs/>
                <w:sz w:val="18"/>
                <w:szCs w:val="18"/>
                <w:lang w:val="en-GB"/>
              </w:rPr>
              <w:t>Malabsorption</w:t>
            </w:r>
            <w:proofErr w:type="spellEnd"/>
            <w:r w:rsidRPr="009A6F69">
              <w:rPr>
                <w:i/>
                <w:iCs/>
                <w:sz w:val="18"/>
                <w:szCs w:val="18"/>
                <w:lang w:val="en-GB"/>
              </w:rPr>
              <w:t>, GI bleeding, Acute abdomen)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Management of </w:t>
            </w:r>
            <w:proofErr w:type="spellStart"/>
            <w:r w:rsidRPr="009A6F69">
              <w:rPr>
                <w:sz w:val="18"/>
                <w:szCs w:val="18"/>
                <w:lang w:val="en-GB"/>
              </w:rPr>
              <w:t>Genito</w:t>
            </w:r>
            <w:proofErr w:type="spellEnd"/>
            <w:r w:rsidRPr="009A6F69">
              <w:rPr>
                <w:sz w:val="18"/>
                <w:szCs w:val="18"/>
                <w:lang w:val="en-GB"/>
              </w:rPr>
              <w:t>-urinary conditions (</w:t>
            </w:r>
            <w:r w:rsidRPr="009A6F69">
              <w:rPr>
                <w:i/>
                <w:iCs/>
                <w:sz w:val="18"/>
                <w:szCs w:val="18"/>
                <w:lang w:val="en-GB"/>
              </w:rPr>
              <w:t xml:space="preserve">Nephritis, </w:t>
            </w:r>
            <w:proofErr w:type="spellStart"/>
            <w:r w:rsidRPr="009A6F69">
              <w:rPr>
                <w:i/>
                <w:iCs/>
                <w:sz w:val="18"/>
                <w:szCs w:val="18"/>
                <w:lang w:val="en-GB"/>
              </w:rPr>
              <w:t>nephrotic</w:t>
            </w:r>
            <w:proofErr w:type="spellEnd"/>
            <w:r w:rsidRPr="009A6F69">
              <w:rPr>
                <w:i/>
                <w:iCs/>
                <w:sz w:val="18"/>
                <w:szCs w:val="18"/>
                <w:lang w:val="en-GB"/>
              </w:rPr>
              <w:t xml:space="preserve"> syndrome, renal failure, lower UTI’s, </w:t>
            </w:r>
            <w:proofErr w:type="spellStart"/>
            <w:r w:rsidRPr="009A6F69">
              <w:rPr>
                <w:i/>
                <w:iCs/>
                <w:sz w:val="18"/>
                <w:szCs w:val="18"/>
                <w:lang w:val="en-GB"/>
              </w:rPr>
              <w:t>pyelonephritis</w:t>
            </w:r>
            <w:proofErr w:type="spellEnd"/>
            <w:r w:rsidRPr="009A6F69">
              <w:rPr>
                <w:i/>
                <w:iCs/>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Muscular skeletal conditions (</w:t>
            </w:r>
            <w:proofErr w:type="spellStart"/>
            <w:r w:rsidRPr="009A6F69">
              <w:rPr>
                <w:i/>
                <w:iCs/>
                <w:sz w:val="18"/>
                <w:szCs w:val="18"/>
                <w:lang w:val="en-GB"/>
              </w:rPr>
              <w:t>Pyomyoscitis</w:t>
            </w:r>
            <w:proofErr w:type="spellEnd"/>
            <w:r w:rsidRPr="009A6F69">
              <w:rPr>
                <w:i/>
                <w:iCs/>
                <w:sz w:val="18"/>
                <w:szCs w:val="18"/>
                <w:lang w:val="en-GB"/>
              </w:rPr>
              <w:t xml:space="preserve">, septic arthritis, osteoarthritis, Juvenile rheumatoid arthritis, </w:t>
            </w:r>
            <w:proofErr w:type="spellStart"/>
            <w:r w:rsidRPr="009A6F69">
              <w:rPr>
                <w:i/>
                <w:iCs/>
                <w:sz w:val="18"/>
                <w:szCs w:val="18"/>
                <w:lang w:val="en-GB"/>
              </w:rPr>
              <w:t>fructures</w:t>
            </w:r>
            <w:proofErr w:type="spellEnd"/>
            <w:r w:rsidRPr="009A6F69">
              <w:rPr>
                <w:i/>
                <w:iCs/>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Skin conditions (</w:t>
            </w:r>
            <w:r w:rsidRPr="009A6F69">
              <w:rPr>
                <w:i/>
                <w:iCs/>
                <w:sz w:val="18"/>
                <w:szCs w:val="18"/>
                <w:lang w:val="en-GB"/>
              </w:rPr>
              <w:t>Dermatitis, fungal skin infections)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neurological conditions (</w:t>
            </w:r>
            <w:r w:rsidRPr="009A6F69">
              <w:rPr>
                <w:i/>
                <w:iCs/>
                <w:sz w:val="18"/>
                <w:szCs w:val="18"/>
                <w:lang w:val="en-GB"/>
              </w:rPr>
              <w:t>Meningitis, encephalitis, seizure disorders, cerebral palsy, tumours, raised intracranial pressure, coma)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Endocrine and metabolic conditions (</w:t>
            </w:r>
            <w:r w:rsidRPr="009A6F69">
              <w:rPr>
                <w:i/>
                <w:iCs/>
                <w:sz w:val="18"/>
                <w:szCs w:val="18"/>
                <w:lang w:val="en-GB"/>
              </w:rPr>
              <w:t>Diabetes Mellitus, Hypothyroidism, hyperthyroidism)</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Haematology conditions (</w:t>
            </w:r>
            <w:r w:rsidRPr="009A6F69">
              <w:rPr>
                <w:i/>
                <w:iCs/>
                <w:sz w:val="18"/>
                <w:szCs w:val="18"/>
                <w:lang w:val="en-GB"/>
              </w:rPr>
              <w:t xml:space="preserve">Anaemia, </w:t>
            </w:r>
            <w:proofErr w:type="spellStart"/>
            <w:r w:rsidRPr="009A6F69">
              <w:rPr>
                <w:i/>
                <w:iCs/>
                <w:sz w:val="18"/>
                <w:szCs w:val="18"/>
                <w:lang w:val="en-GB"/>
              </w:rPr>
              <w:t>Septicemia</w:t>
            </w:r>
            <w:proofErr w:type="spellEnd"/>
            <w:r w:rsidRPr="009A6F69">
              <w:rPr>
                <w:i/>
                <w:iCs/>
                <w:sz w:val="18"/>
                <w:szCs w:val="18"/>
                <w:lang w:val="en-GB"/>
              </w:rPr>
              <w:t xml:space="preserve">, </w:t>
            </w:r>
            <w:proofErr w:type="spellStart"/>
            <w:r w:rsidRPr="009A6F69">
              <w:rPr>
                <w:i/>
                <w:iCs/>
                <w:sz w:val="18"/>
                <w:szCs w:val="18"/>
                <w:lang w:val="en-GB"/>
              </w:rPr>
              <w:t>Hemophilia</w:t>
            </w:r>
            <w:proofErr w:type="spellEnd"/>
            <w:r w:rsidRPr="009A6F69">
              <w:rPr>
                <w:i/>
                <w:iCs/>
                <w:sz w:val="18"/>
                <w:szCs w:val="18"/>
                <w:lang w:val="en-GB"/>
              </w:rPr>
              <w:t xml:space="preserve">, Idiopathic Thrombocytopenic </w:t>
            </w:r>
            <w:proofErr w:type="spellStart"/>
            <w:r w:rsidRPr="009A6F69">
              <w:rPr>
                <w:i/>
                <w:iCs/>
                <w:sz w:val="18"/>
                <w:szCs w:val="18"/>
                <w:lang w:val="en-GB"/>
              </w:rPr>
              <w:t>Purpura</w:t>
            </w:r>
            <w:proofErr w:type="spellEnd"/>
            <w:r w:rsidRPr="009A6F69">
              <w:rPr>
                <w:i/>
                <w:iCs/>
                <w:sz w:val="18"/>
                <w:szCs w:val="18"/>
                <w:lang w:val="en-GB"/>
              </w:rPr>
              <w:t>, Leukaemia, Lymphoma)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other infectious conditions</w:t>
            </w:r>
            <w:r w:rsidRPr="009A6F69">
              <w:rPr>
                <w:i/>
                <w:iCs/>
                <w:sz w:val="18"/>
                <w:szCs w:val="18"/>
                <w:lang w:val="en-GB"/>
              </w:rPr>
              <w:t xml:space="preserve"> (complicated Malaria, severe diarrhoea, typhoid, </w:t>
            </w:r>
            <w:proofErr w:type="spellStart"/>
            <w:r w:rsidRPr="009A6F69">
              <w:rPr>
                <w:i/>
                <w:iCs/>
                <w:sz w:val="18"/>
                <w:szCs w:val="18"/>
                <w:lang w:val="en-GB"/>
              </w:rPr>
              <w:t>amoebiasis</w:t>
            </w:r>
            <w:proofErr w:type="spellEnd"/>
            <w:r w:rsidRPr="009A6F69">
              <w:rPr>
                <w:i/>
                <w:iCs/>
                <w:sz w:val="18"/>
                <w:szCs w:val="18"/>
                <w:lang w:val="en-GB"/>
              </w:rPr>
              <w:t>, HIV,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injuries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birth defects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Evacuation / transfer to other service areas / facilities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Emergency life support</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Triage for emergency cases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Basic life support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Mass casualty and trauma management care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Advanced life support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Maternity</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Pre-term labour management (</w:t>
            </w:r>
            <w:r w:rsidRPr="009A6F69">
              <w:rPr>
                <w:i/>
                <w:iCs/>
                <w:sz w:val="18"/>
                <w:szCs w:val="18"/>
                <w:lang w:val="en-GB"/>
              </w:rPr>
              <w:t xml:space="preserve">Corticosteroids, antibiotics for </w:t>
            </w:r>
            <w:proofErr w:type="spellStart"/>
            <w:r w:rsidRPr="009A6F69">
              <w:rPr>
                <w:i/>
                <w:iCs/>
                <w:sz w:val="18"/>
                <w:szCs w:val="18"/>
                <w:lang w:val="en-GB"/>
              </w:rPr>
              <w:t>pPROM</w:t>
            </w:r>
            <w:proofErr w:type="spellEnd"/>
            <w:r w:rsidRPr="009A6F69">
              <w:rPr>
                <w:i/>
                <w:iCs/>
                <w:sz w:val="18"/>
                <w:szCs w:val="18"/>
                <w:lang w:val="en-GB"/>
              </w:rPr>
              <w:t xml:space="preserve">, </w:t>
            </w:r>
            <w:proofErr w:type="spellStart"/>
            <w:r w:rsidRPr="009A6F69">
              <w:rPr>
                <w:i/>
                <w:iCs/>
                <w:sz w:val="18"/>
                <w:szCs w:val="18"/>
                <w:lang w:val="en-GB"/>
              </w:rPr>
              <w:t>tocolytics</w:t>
            </w:r>
            <w:proofErr w:type="spellEnd"/>
            <w:r w:rsidRPr="009A6F69">
              <w:rPr>
                <w:i/>
                <w:iCs/>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Complications during pregnancy (</w:t>
            </w:r>
            <w:r w:rsidRPr="009A6F69">
              <w:rPr>
                <w:i/>
                <w:iCs/>
                <w:sz w:val="18"/>
                <w:szCs w:val="18"/>
                <w:lang w:val="en-GB"/>
              </w:rPr>
              <w:t xml:space="preserve">Pre </w:t>
            </w:r>
            <w:proofErr w:type="spellStart"/>
            <w:r w:rsidRPr="009A6F69">
              <w:rPr>
                <w:i/>
                <w:iCs/>
                <w:sz w:val="18"/>
                <w:szCs w:val="18"/>
                <w:lang w:val="en-GB"/>
              </w:rPr>
              <w:t>eclampsia</w:t>
            </w:r>
            <w:proofErr w:type="spellEnd"/>
            <w:r w:rsidRPr="009A6F69">
              <w:rPr>
                <w:i/>
                <w:iCs/>
                <w:sz w:val="18"/>
                <w:szCs w:val="18"/>
                <w:lang w:val="en-GB"/>
              </w:rPr>
              <w:t>, fever (due to infections)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Abnormal pregnancy management (</w:t>
            </w:r>
            <w:r w:rsidRPr="009A6F69">
              <w:rPr>
                <w:i/>
                <w:iCs/>
                <w:sz w:val="18"/>
                <w:szCs w:val="18"/>
                <w:lang w:val="en-GB"/>
              </w:rPr>
              <w:t>Ectopic pregnancy, molar pregnancy, spontaneous abortion)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Labour induction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Labour monitoring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Normal Vaginal Delivery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Assisted Vaginal Delivery (vacuum extraction)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Caesarian</w:t>
            </w:r>
            <w:proofErr w:type="spellEnd"/>
            <w:r w:rsidRPr="009A6F69">
              <w:rPr>
                <w:sz w:val="18"/>
                <w:szCs w:val="18"/>
                <w:lang w:val="en-GB"/>
              </w:rPr>
              <w:t xml:space="preserve"> section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Obstetric emergencies (</w:t>
            </w:r>
            <w:proofErr w:type="spellStart"/>
            <w:r w:rsidRPr="009A6F69">
              <w:rPr>
                <w:i/>
                <w:iCs/>
                <w:sz w:val="18"/>
                <w:szCs w:val="18"/>
                <w:lang w:val="en-GB"/>
              </w:rPr>
              <w:t>Eclampsia</w:t>
            </w:r>
            <w:proofErr w:type="spellEnd"/>
            <w:r w:rsidRPr="009A6F69">
              <w:rPr>
                <w:i/>
                <w:iCs/>
                <w:sz w:val="18"/>
                <w:szCs w:val="18"/>
                <w:lang w:val="en-GB"/>
              </w:rPr>
              <w:t xml:space="preserve">, Shock, Post Partum </w:t>
            </w:r>
            <w:proofErr w:type="spellStart"/>
            <w:r w:rsidRPr="009A6F69">
              <w:rPr>
                <w:i/>
                <w:iCs/>
                <w:sz w:val="18"/>
                <w:szCs w:val="18"/>
                <w:lang w:val="en-GB"/>
              </w:rPr>
              <w:t>Hemorrhage</w:t>
            </w:r>
            <w:proofErr w:type="spellEnd"/>
            <w:r w:rsidRPr="009A6F69">
              <w:rPr>
                <w:i/>
                <w:iCs/>
                <w:sz w:val="18"/>
                <w:szCs w:val="18"/>
                <w:lang w:val="en-GB"/>
              </w:rPr>
              <w:t>, Premature Rupture of Membranes)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Active management of 3</w:t>
            </w:r>
            <w:r w:rsidRPr="009A6F69">
              <w:rPr>
                <w:sz w:val="18"/>
                <w:szCs w:val="18"/>
                <w:vertAlign w:val="superscript"/>
                <w:lang w:val="en-GB"/>
              </w:rPr>
              <w:t>rd</w:t>
            </w:r>
            <w:r w:rsidRPr="009A6F69">
              <w:rPr>
                <w:sz w:val="18"/>
                <w:szCs w:val="18"/>
                <w:lang w:val="en-GB"/>
              </w:rPr>
              <w:t xml:space="preserve"> stage of labour</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Feeding of mothers post labour</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Post partum care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Post operative care for mother and child</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Referral of clients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Newborn services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Neonatal resuscitation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Treatment of newborns with sepsis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Early initiation of breastfeeding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Kangaroo mother care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Management of newborn conditions </w:t>
            </w:r>
            <w:r w:rsidRPr="009A6F69">
              <w:rPr>
                <w:i/>
                <w:iCs/>
                <w:sz w:val="18"/>
                <w:szCs w:val="18"/>
                <w:lang w:val="en-GB"/>
              </w:rPr>
              <w:t>(Asphyxia, jaundice, birth trauma)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Care for premature babies (</w:t>
            </w:r>
            <w:r w:rsidRPr="009A6F69">
              <w:rPr>
                <w:i/>
                <w:iCs/>
                <w:sz w:val="18"/>
                <w:szCs w:val="18"/>
                <w:lang w:val="en-GB"/>
              </w:rPr>
              <w:t>Warmth, feeding)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Reproductive health</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Breast examination by palpation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Management of reproductive health cancers e.g. </w:t>
            </w:r>
            <w:r w:rsidRPr="009A6F69">
              <w:rPr>
                <w:i/>
                <w:iCs/>
                <w:sz w:val="18"/>
                <w:szCs w:val="18"/>
                <w:lang w:val="en-GB"/>
              </w:rPr>
              <w:t>Breast cancer, cervical cancer, prostate cancer</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abnormal uterine bleeding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other gynaecological conditions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High Vaginal Swab</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Obstetric fistula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Infertility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54501E">
            <w:pPr>
              <w:spacing w:after="0" w:line="240" w:lineRule="auto"/>
              <w:rPr>
                <w:sz w:val="18"/>
                <w:szCs w:val="18"/>
                <w:lang w:val="en-GB"/>
              </w:rPr>
            </w:pPr>
            <w:r w:rsidRPr="009A6F69">
              <w:rPr>
                <w:sz w:val="18"/>
                <w:szCs w:val="18"/>
                <w:lang w:val="en-GB"/>
              </w:rPr>
              <w:t>In Patient</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Management of Cardiovascular conditions (</w:t>
            </w:r>
            <w:r w:rsidRPr="009A6F69">
              <w:rPr>
                <w:i/>
                <w:iCs/>
                <w:sz w:val="18"/>
                <w:szCs w:val="18"/>
                <w:lang w:val="en-GB"/>
              </w:rPr>
              <w:t xml:space="preserve">Congenital Heart Disease, Infective </w:t>
            </w:r>
            <w:proofErr w:type="spellStart"/>
            <w:r w:rsidRPr="009A6F69">
              <w:rPr>
                <w:i/>
                <w:iCs/>
                <w:sz w:val="18"/>
                <w:szCs w:val="18"/>
                <w:lang w:val="en-GB"/>
              </w:rPr>
              <w:t>endocarditis</w:t>
            </w:r>
            <w:proofErr w:type="spellEnd"/>
            <w:r w:rsidRPr="009A6F69">
              <w:rPr>
                <w:i/>
                <w:iCs/>
                <w:sz w:val="18"/>
                <w:szCs w:val="18"/>
                <w:lang w:val="en-GB"/>
              </w:rPr>
              <w:t>, Rheumatic heart disease, Congestive heart failure, hypertension)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Management of Respiratory conditions (Croup, Asthma, bronchitis, </w:t>
            </w:r>
            <w:proofErr w:type="spellStart"/>
            <w:r w:rsidRPr="009A6F69">
              <w:rPr>
                <w:sz w:val="18"/>
                <w:szCs w:val="18"/>
                <w:lang w:val="en-GB"/>
              </w:rPr>
              <w:t>bronchiolitis</w:t>
            </w:r>
            <w:proofErr w:type="spellEnd"/>
            <w:r w:rsidRPr="009A6F69">
              <w:rPr>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Gastrointestinal conditions (</w:t>
            </w:r>
            <w:r w:rsidRPr="009A6F69">
              <w:rPr>
                <w:i/>
                <w:iCs/>
                <w:sz w:val="18"/>
                <w:szCs w:val="18"/>
                <w:lang w:val="en-GB"/>
              </w:rPr>
              <w:t xml:space="preserve">Hepatitis, </w:t>
            </w:r>
            <w:proofErr w:type="spellStart"/>
            <w:r w:rsidRPr="009A6F69">
              <w:rPr>
                <w:i/>
                <w:iCs/>
                <w:sz w:val="18"/>
                <w:szCs w:val="18"/>
                <w:lang w:val="en-GB"/>
              </w:rPr>
              <w:t>Ascitis</w:t>
            </w:r>
            <w:proofErr w:type="spellEnd"/>
            <w:r w:rsidRPr="009A6F69">
              <w:rPr>
                <w:i/>
                <w:iCs/>
                <w:sz w:val="18"/>
                <w:szCs w:val="18"/>
                <w:lang w:val="en-GB"/>
              </w:rPr>
              <w:t xml:space="preserve">, </w:t>
            </w:r>
            <w:proofErr w:type="spellStart"/>
            <w:r w:rsidRPr="009A6F69">
              <w:rPr>
                <w:i/>
                <w:iCs/>
                <w:sz w:val="18"/>
                <w:szCs w:val="18"/>
                <w:lang w:val="en-GB"/>
              </w:rPr>
              <w:t>Malabsorption</w:t>
            </w:r>
            <w:proofErr w:type="spellEnd"/>
            <w:r w:rsidRPr="009A6F69">
              <w:rPr>
                <w:i/>
                <w:iCs/>
                <w:sz w:val="18"/>
                <w:szCs w:val="18"/>
                <w:lang w:val="en-GB"/>
              </w:rPr>
              <w:t>, GI bleeding)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Management of </w:t>
            </w:r>
            <w:proofErr w:type="spellStart"/>
            <w:r w:rsidRPr="009A6F69">
              <w:rPr>
                <w:sz w:val="18"/>
                <w:szCs w:val="18"/>
                <w:lang w:val="en-GB"/>
              </w:rPr>
              <w:t>Genito</w:t>
            </w:r>
            <w:proofErr w:type="spellEnd"/>
            <w:r w:rsidRPr="009A6F69">
              <w:rPr>
                <w:sz w:val="18"/>
                <w:szCs w:val="18"/>
                <w:lang w:val="en-GB"/>
              </w:rPr>
              <w:t>-urinary conditions (</w:t>
            </w:r>
            <w:r w:rsidRPr="009A6F69">
              <w:rPr>
                <w:i/>
                <w:iCs/>
                <w:sz w:val="18"/>
                <w:szCs w:val="18"/>
                <w:lang w:val="en-GB"/>
              </w:rPr>
              <w:t xml:space="preserve">Haemolytic </w:t>
            </w:r>
            <w:proofErr w:type="spellStart"/>
            <w:r w:rsidRPr="009A6F69">
              <w:rPr>
                <w:i/>
                <w:iCs/>
                <w:sz w:val="18"/>
                <w:szCs w:val="18"/>
                <w:lang w:val="en-GB"/>
              </w:rPr>
              <w:t>uraemic</w:t>
            </w:r>
            <w:proofErr w:type="spellEnd"/>
            <w:r w:rsidRPr="009A6F69">
              <w:rPr>
                <w:i/>
                <w:iCs/>
                <w:sz w:val="18"/>
                <w:szCs w:val="18"/>
                <w:lang w:val="en-GB"/>
              </w:rPr>
              <w:t xml:space="preserve"> syndrome, nephritis, </w:t>
            </w:r>
            <w:proofErr w:type="spellStart"/>
            <w:r w:rsidRPr="009A6F69">
              <w:rPr>
                <w:i/>
                <w:iCs/>
                <w:sz w:val="18"/>
                <w:szCs w:val="18"/>
                <w:lang w:val="en-GB"/>
              </w:rPr>
              <w:t>nephrotic</w:t>
            </w:r>
            <w:proofErr w:type="spellEnd"/>
            <w:r w:rsidRPr="009A6F69">
              <w:rPr>
                <w:i/>
                <w:iCs/>
                <w:sz w:val="18"/>
                <w:szCs w:val="18"/>
                <w:lang w:val="en-GB"/>
              </w:rPr>
              <w:t xml:space="preserve"> syndrome, lower UTI’s, </w:t>
            </w:r>
            <w:proofErr w:type="spellStart"/>
            <w:r w:rsidRPr="009A6F69">
              <w:rPr>
                <w:i/>
                <w:iCs/>
                <w:sz w:val="18"/>
                <w:szCs w:val="18"/>
                <w:lang w:val="en-GB"/>
              </w:rPr>
              <w:t>bilharzia</w:t>
            </w:r>
            <w:proofErr w:type="spellEnd"/>
            <w:r w:rsidRPr="009A6F69">
              <w:rPr>
                <w:i/>
                <w:iCs/>
                <w:sz w:val="18"/>
                <w:szCs w:val="18"/>
                <w:lang w:val="en-GB"/>
              </w:rPr>
              <w:t xml:space="preserve">, </w:t>
            </w:r>
            <w:proofErr w:type="spellStart"/>
            <w:r w:rsidRPr="009A6F69">
              <w:rPr>
                <w:i/>
                <w:iCs/>
                <w:sz w:val="18"/>
                <w:szCs w:val="18"/>
                <w:lang w:val="en-GB"/>
              </w:rPr>
              <w:t>Wilms</w:t>
            </w:r>
            <w:proofErr w:type="spellEnd"/>
            <w:r w:rsidRPr="009A6F69">
              <w:rPr>
                <w:i/>
                <w:iCs/>
                <w:sz w:val="18"/>
                <w:szCs w:val="18"/>
                <w:lang w:val="en-GB"/>
              </w:rPr>
              <w:t xml:space="preserve"> tumour, ambiguous genitalia)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Management of gynaecological conditions </w:t>
            </w:r>
            <w:r w:rsidRPr="009A6F69">
              <w:rPr>
                <w:i/>
                <w:iCs/>
                <w:sz w:val="18"/>
                <w:szCs w:val="18"/>
                <w:lang w:val="en-GB"/>
              </w:rPr>
              <w:t>(abnormal uterine bleeding, fibroids, endometriosis, ovarian cysts, ovarian cancer, pelvic floor disorders)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Muscular skeletal conditions (</w:t>
            </w:r>
            <w:proofErr w:type="spellStart"/>
            <w:r w:rsidRPr="009A6F69">
              <w:rPr>
                <w:i/>
                <w:iCs/>
                <w:sz w:val="18"/>
                <w:szCs w:val="18"/>
                <w:lang w:val="en-GB"/>
              </w:rPr>
              <w:t>Pyomyoscitis</w:t>
            </w:r>
            <w:proofErr w:type="spellEnd"/>
            <w:r w:rsidRPr="009A6F69">
              <w:rPr>
                <w:i/>
                <w:iCs/>
                <w:sz w:val="18"/>
                <w:szCs w:val="18"/>
                <w:lang w:val="en-GB"/>
              </w:rPr>
              <w:t>, septic arthritis, osteoarthritis, Juvenile rheumatoid arthritis, fractures)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Skin conditions (</w:t>
            </w:r>
            <w:r w:rsidRPr="009A6F69">
              <w:rPr>
                <w:i/>
                <w:iCs/>
                <w:sz w:val="18"/>
                <w:szCs w:val="18"/>
                <w:lang w:val="en-GB"/>
              </w:rPr>
              <w:t>Impetigo, dermatitis / eczema, fungal skin infections)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neurological conditions (</w:t>
            </w:r>
            <w:r w:rsidRPr="009A6F69">
              <w:rPr>
                <w:i/>
                <w:iCs/>
                <w:sz w:val="18"/>
                <w:szCs w:val="18"/>
                <w:lang w:val="en-GB"/>
              </w:rPr>
              <w:t>Seizure disorders, cerebral palsy, tumours)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Endocrine and metabolic conditions (</w:t>
            </w:r>
            <w:r w:rsidRPr="009A6F69">
              <w:rPr>
                <w:i/>
                <w:iCs/>
                <w:sz w:val="18"/>
                <w:szCs w:val="18"/>
                <w:lang w:val="en-GB"/>
              </w:rPr>
              <w:t>Diabetes Mellitus, Hypothyroidism, hyperthyroidism)</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Haematology conditions (</w:t>
            </w:r>
            <w:r w:rsidRPr="009A6F69">
              <w:rPr>
                <w:i/>
                <w:iCs/>
                <w:sz w:val="18"/>
                <w:szCs w:val="18"/>
                <w:lang w:val="en-GB"/>
              </w:rPr>
              <w:t xml:space="preserve">Anaemia, Haemophilia, Idiopathic Thrombocytopenic </w:t>
            </w:r>
            <w:proofErr w:type="spellStart"/>
            <w:r w:rsidRPr="009A6F69">
              <w:rPr>
                <w:i/>
                <w:iCs/>
                <w:sz w:val="18"/>
                <w:szCs w:val="18"/>
                <w:lang w:val="en-GB"/>
              </w:rPr>
              <w:t>Purpura</w:t>
            </w:r>
            <w:proofErr w:type="spellEnd"/>
            <w:r w:rsidRPr="009A6F69">
              <w:rPr>
                <w:i/>
                <w:iCs/>
                <w:sz w:val="18"/>
                <w:szCs w:val="18"/>
                <w:lang w:val="en-GB"/>
              </w:rPr>
              <w:t>, Leukaemia, Lymphoma)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birth defects  (</w:t>
            </w:r>
            <w:proofErr w:type="spellStart"/>
            <w:r w:rsidRPr="009A6F69">
              <w:rPr>
                <w:i/>
                <w:iCs/>
                <w:sz w:val="18"/>
                <w:szCs w:val="18"/>
                <w:lang w:val="en-GB"/>
              </w:rPr>
              <w:t>Downs</w:t>
            </w:r>
            <w:proofErr w:type="spellEnd"/>
            <w:r w:rsidRPr="009A6F69">
              <w:rPr>
                <w:i/>
                <w:iCs/>
                <w:sz w:val="18"/>
                <w:szCs w:val="18"/>
                <w:lang w:val="en-GB"/>
              </w:rPr>
              <w:t xml:space="preserve"> syndrome, Edwards syndrome)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nutritional disorders (</w:t>
            </w:r>
            <w:r w:rsidRPr="009A6F69">
              <w:rPr>
                <w:i/>
                <w:iCs/>
                <w:sz w:val="18"/>
                <w:szCs w:val="18"/>
                <w:lang w:val="en-GB"/>
              </w:rPr>
              <w:t xml:space="preserve">Kwashiorkor, </w:t>
            </w:r>
            <w:proofErr w:type="spellStart"/>
            <w:r w:rsidRPr="009A6F69">
              <w:rPr>
                <w:i/>
                <w:iCs/>
                <w:sz w:val="18"/>
                <w:szCs w:val="18"/>
                <w:lang w:val="en-GB"/>
              </w:rPr>
              <w:t>Marasmus</w:t>
            </w:r>
            <w:proofErr w:type="spellEnd"/>
            <w:r w:rsidRPr="009A6F69">
              <w:rPr>
                <w:i/>
                <w:iCs/>
                <w:sz w:val="18"/>
                <w:szCs w:val="18"/>
                <w:lang w:val="en-GB"/>
              </w:rPr>
              <w:t>, vitamin and mineral deficiencies)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various infections conditions</w:t>
            </w:r>
            <w:r w:rsidRPr="009A6F69">
              <w:rPr>
                <w:i/>
                <w:iCs/>
                <w:sz w:val="18"/>
                <w:szCs w:val="18"/>
                <w:lang w:val="en-GB"/>
              </w:rPr>
              <w:t xml:space="preserve"> (complicated malaria, diarrhoea)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Specialized cancer therapy (surgery, </w:t>
            </w:r>
            <w:r w:rsidRPr="009A6F69">
              <w:rPr>
                <w:i/>
                <w:iCs/>
                <w:sz w:val="18"/>
                <w:szCs w:val="18"/>
                <w:lang w:val="en-GB"/>
              </w:rPr>
              <w:t xml:space="preserve">Radiotherapy and </w:t>
            </w:r>
            <w:proofErr w:type="spellStart"/>
            <w:r w:rsidRPr="009A6F69">
              <w:rPr>
                <w:i/>
                <w:iCs/>
                <w:sz w:val="18"/>
                <w:szCs w:val="18"/>
                <w:lang w:val="en-GB"/>
              </w:rPr>
              <w:t>brachytherapy</w:t>
            </w:r>
            <w:proofErr w:type="spellEnd"/>
            <w:r w:rsidRPr="009A6F69">
              <w:rPr>
                <w:i/>
                <w:iCs/>
                <w:sz w:val="18"/>
                <w:szCs w:val="18"/>
                <w:lang w:val="en-GB"/>
              </w:rPr>
              <w:t>, Co-60, LINAC, Chemotherapy)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mental disorders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Clinical Laboratory</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 xml:space="preserve">Haematology </w:t>
            </w:r>
            <w:r w:rsidRPr="009A6F69">
              <w:rPr>
                <w:i/>
                <w:iCs/>
                <w:sz w:val="18"/>
                <w:szCs w:val="18"/>
                <w:lang w:val="en-GB"/>
              </w:rPr>
              <w:t>(</w:t>
            </w:r>
            <w:proofErr w:type="spellStart"/>
            <w:r w:rsidRPr="009A6F69">
              <w:rPr>
                <w:i/>
                <w:iCs/>
                <w:sz w:val="18"/>
                <w:szCs w:val="18"/>
                <w:lang w:val="en-GB"/>
              </w:rPr>
              <w:t>Hb</w:t>
            </w:r>
            <w:proofErr w:type="spellEnd"/>
            <w:r w:rsidRPr="009A6F69">
              <w:rPr>
                <w:i/>
                <w:iCs/>
                <w:sz w:val="18"/>
                <w:szCs w:val="18"/>
                <w:lang w:val="en-GB"/>
              </w:rPr>
              <w:t xml:space="preserve">, RBC/WBC counts, </w:t>
            </w:r>
            <w:proofErr w:type="spellStart"/>
            <w:r w:rsidRPr="009A6F69">
              <w:rPr>
                <w:i/>
                <w:iCs/>
                <w:sz w:val="18"/>
                <w:szCs w:val="18"/>
                <w:lang w:val="en-GB"/>
              </w:rPr>
              <w:t>hematocrit</w:t>
            </w:r>
            <w:proofErr w:type="spellEnd"/>
            <w:r w:rsidRPr="009A6F69">
              <w:rPr>
                <w:i/>
                <w:iCs/>
                <w:sz w:val="18"/>
                <w:szCs w:val="18"/>
                <w:lang w:val="en-GB"/>
              </w:rPr>
              <w:t>, peripheral film)</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Pregnancy test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Bleeding and coagulation time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Blood grouping with </w:t>
            </w:r>
            <w:proofErr w:type="spellStart"/>
            <w:r w:rsidRPr="009A6F69">
              <w:rPr>
                <w:sz w:val="18"/>
                <w:szCs w:val="18"/>
                <w:lang w:val="en-GB"/>
              </w:rPr>
              <w:t>Rh</w:t>
            </w:r>
            <w:proofErr w:type="spellEnd"/>
            <w:r w:rsidRPr="009A6F69">
              <w:rPr>
                <w:sz w:val="18"/>
                <w:szCs w:val="18"/>
                <w:lang w:val="en-GB"/>
              </w:rPr>
              <w:t xml:space="preserve"> factors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Parasitology</w:t>
            </w:r>
            <w:proofErr w:type="spellEnd"/>
            <w:r w:rsidRPr="009A6F69">
              <w:rPr>
                <w:sz w:val="18"/>
                <w:szCs w:val="18"/>
                <w:lang w:val="en-GB"/>
              </w:rPr>
              <w:t xml:space="preserve"> </w:t>
            </w:r>
            <w:r w:rsidRPr="009A6F69">
              <w:rPr>
                <w:i/>
                <w:iCs/>
                <w:sz w:val="18"/>
                <w:szCs w:val="18"/>
                <w:lang w:val="en-GB"/>
              </w:rPr>
              <w:t>(RDT)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Hepatitis B and C tests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Bacteriology </w:t>
            </w:r>
            <w:r w:rsidRPr="009A6F69">
              <w:rPr>
                <w:i/>
                <w:iCs/>
                <w:sz w:val="18"/>
                <w:szCs w:val="18"/>
                <w:lang w:val="en-GB"/>
              </w:rPr>
              <w:t xml:space="preserve">(ZN staining, </w:t>
            </w:r>
            <w:proofErr w:type="spellStart"/>
            <w:r w:rsidRPr="009A6F69">
              <w:rPr>
                <w:i/>
                <w:iCs/>
                <w:sz w:val="18"/>
                <w:szCs w:val="18"/>
                <w:lang w:val="en-GB"/>
              </w:rPr>
              <w:t>Alberts</w:t>
            </w:r>
            <w:proofErr w:type="spellEnd"/>
            <w:r w:rsidRPr="009A6F69">
              <w:rPr>
                <w:i/>
                <w:iCs/>
                <w:sz w:val="18"/>
                <w:szCs w:val="18"/>
                <w:lang w:val="en-GB"/>
              </w:rPr>
              <w:t xml:space="preserve"> staining, Gram Staining) </w:t>
            </w:r>
            <w:r w:rsidRPr="009A6F69">
              <w:rPr>
                <w:sz w:val="18"/>
                <w:szCs w:val="18"/>
                <w:lang w:val="en-GB"/>
              </w:rPr>
              <w:t>microscopy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ELISA tests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Widal</w:t>
            </w:r>
            <w:proofErr w:type="spellEnd"/>
            <w:r w:rsidRPr="009A6F69">
              <w:rPr>
                <w:sz w:val="18"/>
                <w:szCs w:val="18"/>
                <w:lang w:val="en-GB"/>
              </w:rPr>
              <w:t xml:space="preserve"> tests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CD 4 count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PCR tests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Viral culture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Agglutination tests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Urinalysis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Liver Function Tests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Renal Function Tests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Blood gases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Cardiac enzymes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Cholesterol tests (Total / Differential)</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Blood culture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Blood sugar</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Semen analysis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Fecal</w:t>
            </w:r>
            <w:proofErr w:type="spellEnd"/>
            <w:r w:rsidRPr="009A6F69">
              <w:rPr>
                <w:sz w:val="18"/>
                <w:szCs w:val="18"/>
                <w:lang w:val="en-GB"/>
              </w:rPr>
              <w:t xml:space="preserve"> Occult Blood testing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Tumour markers </w:t>
            </w:r>
            <w:r w:rsidRPr="009A6F69">
              <w:rPr>
                <w:i/>
                <w:iCs/>
                <w:sz w:val="18"/>
                <w:szCs w:val="18"/>
                <w:lang w:val="en-GB"/>
              </w:rPr>
              <w:t xml:space="preserve">(PSA, </w:t>
            </w:r>
            <w:proofErr w:type="spellStart"/>
            <w:r w:rsidRPr="009A6F69">
              <w:rPr>
                <w:i/>
                <w:iCs/>
                <w:sz w:val="18"/>
                <w:szCs w:val="18"/>
                <w:lang w:val="en-GB"/>
              </w:rPr>
              <w:t>Bence</w:t>
            </w:r>
            <w:proofErr w:type="spellEnd"/>
            <w:r w:rsidRPr="009A6F69">
              <w:rPr>
                <w:i/>
                <w:iCs/>
                <w:sz w:val="18"/>
                <w:szCs w:val="18"/>
                <w:lang w:val="en-GB"/>
              </w:rPr>
              <w:t xml:space="preserve"> Jones protein, CA125, cytology, biopsy examinations)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Histopathology (FNA, </w:t>
            </w:r>
            <w:proofErr w:type="spellStart"/>
            <w:r w:rsidRPr="009A6F69">
              <w:rPr>
                <w:sz w:val="18"/>
                <w:szCs w:val="18"/>
                <w:lang w:val="en-GB"/>
              </w:rPr>
              <w:t>Tru</w:t>
            </w:r>
            <w:proofErr w:type="spellEnd"/>
            <w:r w:rsidRPr="009A6F69">
              <w:rPr>
                <w:sz w:val="18"/>
                <w:szCs w:val="18"/>
                <w:lang w:val="en-GB"/>
              </w:rPr>
              <w:t xml:space="preserve"> cut, Incision or excision) and cytology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Micro nutrient test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Cerebro</w:t>
            </w:r>
            <w:proofErr w:type="spellEnd"/>
            <w:r w:rsidRPr="009A6F69">
              <w:rPr>
                <w:sz w:val="18"/>
                <w:szCs w:val="18"/>
                <w:lang w:val="en-GB"/>
              </w:rPr>
              <w:t xml:space="preserve"> Spinal Fluid analysis</w:t>
            </w:r>
            <w:r w:rsidRPr="009A6F69">
              <w:rPr>
                <w:i/>
                <w:iCs/>
                <w:sz w:val="18"/>
                <w:szCs w:val="18"/>
                <w:lang w:val="en-GB"/>
              </w:rPr>
              <w:t xml:space="preserve"> (culture, biochemistry, cytology)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 xml:space="preserve">Specialized laboratory </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DNA testing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Food analysis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Water analysis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Blood analysis </w:t>
            </w:r>
            <w:r w:rsidRPr="009A6F69">
              <w:rPr>
                <w:i/>
                <w:iCs/>
                <w:sz w:val="18"/>
                <w:szCs w:val="18"/>
                <w:lang w:val="en-GB"/>
              </w:rPr>
              <w:t>(alcohol, drug)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Stool testing </w:t>
            </w:r>
            <w:r w:rsidRPr="009A6F69">
              <w:rPr>
                <w:i/>
                <w:iCs/>
                <w:sz w:val="18"/>
                <w:szCs w:val="18"/>
                <w:lang w:val="en-GB"/>
              </w:rPr>
              <w:t>(e.g. polio)</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Imaging</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Ultra sound scan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X – ray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Endoscopy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Laparascopy</w:t>
            </w:r>
            <w:proofErr w:type="spellEnd"/>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Computerized Tomography Scan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Magnetic Resonance Imaging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Radio-isotope scanning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Angiography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AVU / AVP</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Electro Encephalogram (EEG)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Pharmaceutical</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Medical Therapy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Medicines dispensing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922995">
            <w:pPr>
              <w:spacing w:after="0" w:line="240" w:lineRule="auto"/>
              <w:rPr>
                <w:sz w:val="18"/>
                <w:szCs w:val="18"/>
                <w:lang w:val="en-GB"/>
              </w:rPr>
            </w:pPr>
            <w:r w:rsidRPr="009A6F69">
              <w:rPr>
                <w:sz w:val="18"/>
                <w:szCs w:val="18"/>
                <w:lang w:val="en-GB"/>
              </w:rPr>
              <w:t>Blood safety</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Blood donation and storage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Blood screening (</w:t>
            </w:r>
            <w:r w:rsidRPr="009A6F69">
              <w:rPr>
                <w:i/>
                <w:iCs/>
                <w:sz w:val="18"/>
                <w:szCs w:val="18"/>
                <w:lang w:val="en-GB"/>
              </w:rPr>
              <w:t>Hepatitis B and C, Syphilis, Malaria, blood grouping)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Blood product preparation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Blood transfusion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Rehabilitation</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Physiotherapy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Speech and hearing therapy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Orthopedic</w:t>
            </w:r>
            <w:proofErr w:type="spellEnd"/>
            <w:r w:rsidRPr="009A6F69">
              <w:rPr>
                <w:sz w:val="18"/>
                <w:szCs w:val="18"/>
                <w:lang w:val="en-GB"/>
              </w:rPr>
              <w:t xml:space="preserve"> technology (appliances)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Occupational therapy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Palliative care</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Pain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Counseling</w:t>
            </w:r>
            <w:proofErr w:type="spellEnd"/>
            <w:r w:rsidRPr="009A6F69">
              <w:rPr>
                <w:sz w:val="18"/>
                <w:szCs w:val="18"/>
                <w:lang w:val="en-GB"/>
              </w:rPr>
              <w:t xml:space="preserve"> services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Psychosocial support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Specialized clinics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HIV clinic (</w:t>
            </w:r>
            <w:r w:rsidRPr="009A6F69">
              <w:rPr>
                <w:i/>
                <w:iCs/>
                <w:sz w:val="18"/>
                <w:szCs w:val="18"/>
                <w:lang w:val="en-GB"/>
              </w:rPr>
              <w:t>ART provision (1</w:t>
            </w:r>
            <w:r w:rsidRPr="009A6F69">
              <w:rPr>
                <w:i/>
                <w:iCs/>
                <w:sz w:val="18"/>
                <w:szCs w:val="18"/>
                <w:vertAlign w:val="superscript"/>
                <w:lang w:val="en-GB"/>
              </w:rPr>
              <w:t>st</w:t>
            </w:r>
            <w:r w:rsidRPr="009A6F69">
              <w:rPr>
                <w:i/>
                <w:iCs/>
                <w:sz w:val="18"/>
                <w:szCs w:val="18"/>
                <w:lang w:val="en-GB"/>
              </w:rPr>
              <w:t xml:space="preserve"> and 2</w:t>
            </w:r>
            <w:r w:rsidRPr="009A6F69">
              <w:rPr>
                <w:i/>
                <w:iCs/>
                <w:sz w:val="18"/>
                <w:szCs w:val="18"/>
                <w:vertAlign w:val="superscript"/>
                <w:lang w:val="en-GB"/>
              </w:rPr>
              <w:t>nd</w:t>
            </w:r>
            <w:r w:rsidRPr="009A6F69">
              <w:rPr>
                <w:i/>
                <w:iCs/>
                <w:sz w:val="18"/>
                <w:szCs w:val="18"/>
                <w:lang w:val="en-GB"/>
              </w:rPr>
              <w:t xml:space="preserve"> line), AT’s for TB patients, Opportunistic infection management, nutrition care and support, </w:t>
            </w:r>
            <w:proofErr w:type="spellStart"/>
            <w:r w:rsidRPr="009A6F69">
              <w:rPr>
                <w:i/>
                <w:iCs/>
                <w:sz w:val="18"/>
                <w:szCs w:val="18"/>
                <w:lang w:val="en-GB"/>
              </w:rPr>
              <w:t>Cotrimoxazole</w:t>
            </w:r>
            <w:proofErr w:type="spellEnd"/>
            <w:r w:rsidRPr="009A6F69">
              <w:rPr>
                <w:i/>
                <w:iCs/>
                <w:sz w:val="18"/>
                <w:szCs w:val="18"/>
                <w:lang w:val="en-GB"/>
              </w:rPr>
              <w:t xml:space="preserve"> prophylaxis for children and TB patients, TB screening)</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TB clinic (</w:t>
            </w:r>
            <w:r w:rsidRPr="009A6F69">
              <w:rPr>
                <w:i/>
                <w:iCs/>
                <w:sz w:val="18"/>
                <w:szCs w:val="18"/>
                <w:lang w:val="en-GB"/>
              </w:rPr>
              <w:t>TB treatment (1</w:t>
            </w:r>
            <w:r w:rsidRPr="009A6F69">
              <w:rPr>
                <w:i/>
                <w:iCs/>
                <w:sz w:val="18"/>
                <w:szCs w:val="18"/>
                <w:vertAlign w:val="superscript"/>
                <w:lang w:val="en-GB"/>
              </w:rPr>
              <w:t>st</w:t>
            </w:r>
            <w:r w:rsidRPr="009A6F69">
              <w:rPr>
                <w:i/>
                <w:iCs/>
                <w:sz w:val="18"/>
                <w:szCs w:val="18"/>
                <w:lang w:val="en-GB"/>
              </w:rPr>
              <w:t xml:space="preserve"> and 2</w:t>
            </w:r>
            <w:r w:rsidRPr="009A6F69">
              <w:rPr>
                <w:i/>
                <w:iCs/>
                <w:sz w:val="18"/>
                <w:szCs w:val="18"/>
                <w:vertAlign w:val="superscript"/>
                <w:lang w:val="en-GB"/>
              </w:rPr>
              <w:t>nd</w:t>
            </w:r>
            <w:r w:rsidRPr="009A6F69">
              <w:rPr>
                <w:i/>
                <w:iCs/>
                <w:sz w:val="18"/>
                <w:szCs w:val="18"/>
                <w:lang w:val="en-GB"/>
              </w:rPr>
              <w:t xml:space="preserve"> line), MDR and XDR TB management, Treatment follow up)</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Pediatric</w:t>
            </w:r>
            <w:proofErr w:type="spellEnd"/>
            <w:r w:rsidRPr="009A6F69">
              <w:rPr>
                <w:sz w:val="18"/>
                <w:szCs w:val="18"/>
                <w:lang w:val="en-GB"/>
              </w:rPr>
              <w:t xml:space="preserve"> clinic (</w:t>
            </w:r>
            <w:r w:rsidRPr="009A6F69">
              <w:rPr>
                <w:i/>
                <w:iCs/>
                <w:sz w:val="18"/>
                <w:szCs w:val="18"/>
                <w:lang w:val="en-GB"/>
              </w:rPr>
              <w:t xml:space="preserve">Nutrition, neurological conditions, birth defects, chronic </w:t>
            </w:r>
            <w:proofErr w:type="spellStart"/>
            <w:r w:rsidRPr="009A6F69">
              <w:rPr>
                <w:i/>
                <w:iCs/>
                <w:sz w:val="18"/>
                <w:szCs w:val="18"/>
                <w:lang w:val="en-GB"/>
              </w:rPr>
              <w:t>pediatric</w:t>
            </w:r>
            <w:proofErr w:type="spellEnd"/>
            <w:r w:rsidRPr="009A6F69">
              <w:rPr>
                <w:i/>
                <w:iCs/>
                <w:sz w:val="18"/>
                <w:szCs w:val="18"/>
                <w:lang w:val="en-GB"/>
              </w:rPr>
              <w:t xml:space="preserve"> conditions, post admission follow up)</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ENT clinic (</w:t>
            </w:r>
            <w:r w:rsidRPr="009A6F69">
              <w:rPr>
                <w:i/>
                <w:iCs/>
                <w:sz w:val="18"/>
                <w:szCs w:val="18"/>
                <w:lang w:val="en-GB"/>
              </w:rPr>
              <w:t>Sinusitis)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Eye clinic (</w:t>
            </w:r>
            <w:r w:rsidRPr="009A6F69">
              <w:rPr>
                <w:i/>
                <w:iCs/>
                <w:sz w:val="18"/>
                <w:szCs w:val="18"/>
                <w:lang w:val="en-GB"/>
              </w:rPr>
              <w:t xml:space="preserve">Bacterial </w:t>
            </w:r>
            <w:proofErr w:type="spellStart"/>
            <w:r w:rsidRPr="009A6F69">
              <w:rPr>
                <w:i/>
                <w:iCs/>
                <w:sz w:val="18"/>
                <w:szCs w:val="18"/>
                <w:lang w:val="en-GB"/>
              </w:rPr>
              <w:t>Keratitis</w:t>
            </w:r>
            <w:proofErr w:type="spellEnd"/>
            <w:r w:rsidRPr="009A6F69">
              <w:rPr>
                <w:i/>
                <w:iCs/>
                <w:sz w:val="18"/>
                <w:szCs w:val="18"/>
                <w:lang w:val="en-GB"/>
              </w:rPr>
              <w:t>, Cataracts, Detached and Torn Retina, Diabetic Retinopathy, Glaucoma)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Dental clinic (</w:t>
            </w:r>
            <w:r w:rsidRPr="009A6F69">
              <w:rPr>
                <w:i/>
                <w:iCs/>
                <w:sz w:val="18"/>
                <w:szCs w:val="18"/>
                <w:lang w:val="en-GB"/>
              </w:rPr>
              <w:t>Oral Infections, maxillofacial trauma, oral cancers, major oral surgery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Chest clinic (</w:t>
            </w:r>
            <w:r w:rsidRPr="009A6F69">
              <w:rPr>
                <w:i/>
                <w:iCs/>
                <w:sz w:val="18"/>
                <w:szCs w:val="18"/>
                <w:lang w:val="en-GB"/>
              </w:rPr>
              <w:t xml:space="preserve">Croup, Asthma, bronchitis, </w:t>
            </w:r>
            <w:proofErr w:type="spellStart"/>
            <w:r w:rsidRPr="009A6F69">
              <w:rPr>
                <w:i/>
                <w:iCs/>
                <w:sz w:val="18"/>
                <w:szCs w:val="18"/>
                <w:lang w:val="en-GB"/>
              </w:rPr>
              <w:t>bronchiolitis</w:t>
            </w:r>
            <w:proofErr w:type="spellEnd"/>
            <w:r w:rsidRPr="009A6F69">
              <w:rPr>
                <w:i/>
                <w:iCs/>
                <w:sz w:val="18"/>
                <w:szCs w:val="18"/>
                <w:lang w:val="en-GB"/>
              </w:rPr>
              <w:t>, uncomplicated TB, drug resistant TB)</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Cardiac clinic (</w:t>
            </w:r>
            <w:r w:rsidRPr="009A6F69">
              <w:rPr>
                <w:i/>
                <w:iCs/>
                <w:sz w:val="18"/>
                <w:szCs w:val="18"/>
                <w:lang w:val="en-GB"/>
              </w:rPr>
              <w:t xml:space="preserve">Congenital Health Disease, Infective </w:t>
            </w:r>
            <w:proofErr w:type="spellStart"/>
            <w:r w:rsidRPr="009A6F69">
              <w:rPr>
                <w:i/>
                <w:iCs/>
                <w:sz w:val="18"/>
                <w:szCs w:val="18"/>
                <w:lang w:val="en-GB"/>
              </w:rPr>
              <w:t>endocarditis</w:t>
            </w:r>
            <w:proofErr w:type="spellEnd"/>
            <w:r w:rsidRPr="009A6F69">
              <w:rPr>
                <w:i/>
                <w:iCs/>
                <w:sz w:val="18"/>
                <w:szCs w:val="18"/>
                <w:lang w:val="en-GB"/>
              </w:rPr>
              <w:t>, Rheumatic heart disease, Congestive heart failure, Shock, hypertension)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Gastro Intestinal clinic (</w:t>
            </w:r>
            <w:r w:rsidRPr="009A6F69">
              <w:rPr>
                <w:i/>
                <w:iCs/>
                <w:sz w:val="18"/>
                <w:szCs w:val="18"/>
                <w:lang w:val="en-GB"/>
              </w:rPr>
              <w:t xml:space="preserve">Hepatitis, Liver failure, </w:t>
            </w:r>
            <w:proofErr w:type="spellStart"/>
            <w:r w:rsidRPr="009A6F69">
              <w:rPr>
                <w:i/>
                <w:iCs/>
                <w:sz w:val="18"/>
                <w:szCs w:val="18"/>
                <w:lang w:val="en-GB"/>
              </w:rPr>
              <w:t>Ascitis</w:t>
            </w:r>
            <w:proofErr w:type="spellEnd"/>
            <w:r w:rsidRPr="009A6F69">
              <w:rPr>
                <w:i/>
                <w:iCs/>
                <w:sz w:val="18"/>
                <w:szCs w:val="18"/>
                <w:lang w:val="en-GB"/>
              </w:rPr>
              <w:t>, GI bleeding, Acute abdomen)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Genito</w:t>
            </w:r>
            <w:proofErr w:type="spellEnd"/>
            <w:r w:rsidRPr="009A6F69">
              <w:rPr>
                <w:sz w:val="18"/>
                <w:szCs w:val="18"/>
                <w:lang w:val="en-GB"/>
              </w:rPr>
              <w:t>-urinary clinic (</w:t>
            </w:r>
            <w:r w:rsidRPr="009A6F69">
              <w:rPr>
                <w:i/>
                <w:iCs/>
                <w:sz w:val="18"/>
                <w:szCs w:val="18"/>
                <w:lang w:val="en-GB"/>
              </w:rPr>
              <w:t xml:space="preserve">Haemolytic </w:t>
            </w:r>
            <w:proofErr w:type="spellStart"/>
            <w:r w:rsidRPr="009A6F69">
              <w:rPr>
                <w:i/>
                <w:iCs/>
                <w:sz w:val="18"/>
                <w:szCs w:val="18"/>
                <w:lang w:val="en-GB"/>
              </w:rPr>
              <w:t>uraemic</w:t>
            </w:r>
            <w:proofErr w:type="spellEnd"/>
            <w:r w:rsidRPr="009A6F69">
              <w:rPr>
                <w:i/>
                <w:iCs/>
                <w:sz w:val="18"/>
                <w:szCs w:val="18"/>
                <w:lang w:val="en-GB"/>
              </w:rPr>
              <w:t xml:space="preserve"> syndrome, nephritis, </w:t>
            </w:r>
            <w:proofErr w:type="spellStart"/>
            <w:r w:rsidRPr="009A6F69">
              <w:rPr>
                <w:i/>
                <w:iCs/>
                <w:sz w:val="18"/>
                <w:szCs w:val="18"/>
                <w:lang w:val="en-GB"/>
              </w:rPr>
              <w:t>nephrotic</w:t>
            </w:r>
            <w:proofErr w:type="spellEnd"/>
            <w:r w:rsidRPr="009A6F69">
              <w:rPr>
                <w:i/>
                <w:iCs/>
                <w:sz w:val="18"/>
                <w:szCs w:val="18"/>
                <w:lang w:val="en-GB"/>
              </w:rPr>
              <w:t xml:space="preserve"> </w:t>
            </w:r>
            <w:r w:rsidRPr="009A6F69">
              <w:rPr>
                <w:i/>
                <w:iCs/>
                <w:sz w:val="18"/>
                <w:szCs w:val="18"/>
                <w:lang w:val="en-GB"/>
              </w:rPr>
              <w:lastRenderedPageBreak/>
              <w:t xml:space="preserve">syndrome, renal failure, </w:t>
            </w:r>
            <w:proofErr w:type="spellStart"/>
            <w:r w:rsidRPr="009A6F69">
              <w:rPr>
                <w:i/>
                <w:iCs/>
                <w:sz w:val="18"/>
                <w:szCs w:val="18"/>
                <w:lang w:val="en-GB"/>
              </w:rPr>
              <w:t>pyelonephritis</w:t>
            </w:r>
            <w:proofErr w:type="spellEnd"/>
            <w:r w:rsidRPr="009A6F69">
              <w:rPr>
                <w:i/>
                <w:iCs/>
                <w:sz w:val="18"/>
                <w:szCs w:val="18"/>
                <w:lang w:val="en-GB"/>
              </w:rPr>
              <w:t xml:space="preserve">, </w:t>
            </w:r>
            <w:proofErr w:type="spellStart"/>
            <w:r w:rsidRPr="009A6F69">
              <w:rPr>
                <w:i/>
                <w:iCs/>
                <w:sz w:val="18"/>
                <w:szCs w:val="18"/>
                <w:lang w:val="en-GB"/>
              </w:rPr>
              <w:t>Wilms</w:t>
            </w:r>
            <w:proofErr w:type="spellEnd"/>
            <w:r w:rsidRPr="009A6F69">
              <w:rPr>
                <w:i/>
                <w:iCs/>
                <w:sz w:val="18"/>
                <w:szCs w:val="18"/>
                <w:lang w:val="en-GB"/>
              </w:rPr>
              <w:t xml:space="preserve"> tumour, ambiguous genitalia)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lastRenderedPageBreak/>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Mental health clinic (</w:t>
            </w:r>
            <w:r w:rsidRPr="009A6F69">
              <w:rPr>
                <w:i/>
                <w:iCs/>
                <w:sz w:val="18"/>
                <w:szCs w:val="18"/>
                <w:lang w:val="en-GB"/>
              </w:rPr>
              <w:t>Substance abuse, Neurotic conditions, psychosis)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Oncology clinic</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Surgical clinic (</w:t>
            </w:r>
            <w:proofErr w:type="spellStart"/>
            <w:r w:rsidRPr="009A6F69">
              <w:rPr>
                <w:i/>
                <w:iCs/>
                <w:sz w:val="18"/>
                <w:szCs w:val="18"/>
                <w:lang w:val="en-GB"/>
              </w:rPr>
              <w:t>Pyomyoscitis</w:t>
            </w:r>
            <w:proofErr w:type="spellEnd"/>
            <w:r w:rsidRPr="009A6F69">
              <w:rPr>
                <w:i/>
                <w:iCs/>
                <w:sz w:val="18"/>
                <w:szCs w:val="18"/>
                <w:lang w:val="en-GB"/>
              </w:rPr>
              <w:t>, septic arthritis, osteoarthritis, Juvenile rheumatoid arthritis, fractures)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Orthopedic</w:t>
            </w:r>
            <w:proofErr w:type="spellEnd"/>
            <w:r w:rsidRPr="009A6F69">
              <w:rPr>
                <w:sz w:val="18"/>
                <w:szCs w:val="18"/>
                <w:lang w:val="en-GB"/>
              </w:rPr>
              <w:t xml:space="preserve"> clinic</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Skin clinic (</w:t>
            </w:r>
            <w:r w:rsidRPr="009A6F69">
              <w:rPr>
                <w:i/>
                <w:iCs/>
                <w:sz w:val="18"/>
                <w:szCs w:val="18"/>
                <w:lang w:val="en-GB"/>
              </w:rPr>
              <w:t>Impetigo, dermatitis)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Neurological clinic (</w:t>
            </w:r>
            <w:r w:rsidRPr="009A6F69">
              <w:rPr>
                <w:i/>
                <w:iCs/>
                <w:sz w:val="18"/>
                <w:szCs w:val="18"/>
                <w:lang w:val="en-GB"/>
              </w:rPr>
              <w:t>Meningitis, encephalitis, seizure disorders, raised intracranial pressure, coma)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Endocrine and metabolic clinic (</w:t>
            </w:r>
            <w:r w:rsidRPr="009A6F69">
              <w:rPr>
                <w:i/>
                <w:iCs/>
                <w:sz w:val="18"/>
                <w:szCs w:val="18"/>
                <w:lang w:val="en-GB"/>
              </w:rPr>
              <w:t>Diabetes Mellitus, Hypothyroidism, hyperthyroidism)</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Haematology clinic (</w:t>
            </w:r>
            <w:r w:rsidRPr="009A6F69">
              <w:rPr>
                <w:i/>
                <w:iCs/>
                <w:sz w:val="18"/>
                <w:szCs w:val="18"/>
                <w:lang w:val="en-GB"/>
              </w:rPr>
              <w:t xml:space="preserve">Anaemia, Septicaemia, Haemophilia, Idiopathic Thrombocytopenic </w:t>
            </w:r>
            <w:proofErr w:type="spellStart"/>
            <w:r w:rsidRPr="009A6F69">
              <w:rPr>
                <w:i/>
                <w:iCs/>
                <w:sz w:val="18"/>
                <w:szCs w:val="18"/>
                <w:lang w:val="en-GB"/>
              </w:rPr>
              <w:t>Purpura</w:t>
            </w:r>
            <w:proofErr w:type="spellEnd"/>
            <w:r w:rsidRPr="009A6F69">
              <w:rPr>
                <w:i/>
                <w:iCs/>
                <w:sz w:val="18"/>
                <w:szCs w:val="18"/>
                <w:lang w:val="en-GB"/>
              </w:rPr>
              <w:t>, Leukaemia, Lymphoma)</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Comprehensive youth friendly services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Provision of life skills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Information on healthy lifestyle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Operative surgical services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Outpatient operations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Emergency operations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General operations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Specialized operations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Specialized Therapies</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Radiotherapy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Chemotherapy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Interventional Radiology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Dialysis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Organ transplants </w:t>
            </w:r>
            <w:r w:rsidRPr="009A6F69">
              <w:rPr>
                <w:i/>
                <w:iCs/>
                <w:sz w:val="18"/>
                <w:szCs w:val="18"/>
                <w:lang w:val="en-GB"/>
              </w:rPr>
              <w:t>(kidney, liver, bone marrow)</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Bypass surgeries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Reconstructive surgery</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Assisted Reproduction </w:t>
            </w:r>
            <w:r w:rsidRPr="009A6F69">
              <w:rPr>
                <w:i/>
                <w:iCs/>
                <w:sz w:val="18"/>
                <w:szCs w:val="18"/>
                <w:lang w:val="en-GB"/>
              </w:rPr>
              <w:t>(IVF)</w:t>
            </w:r>
            <w:r w:rsidRPr="009A6F69">
              <w:rPr>
                <w:sz w:val="18"/>
                <w:szCs w:val="18"/>
                <w:lang w:val="en-GB"/>
              </w:rPr>
              <w:t xml:space="preserve"> </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b/>
                <w:sz w:val="18"/>
                <w:szCs w:val="18"/>
                <w:lang w:val="en-GB"/>
              </w:rPr>
            </w:pPr>
            <w:r w:rsidRPr="009A6F69">
              <w:rPr>
                <w:b/>
                <w:sz w:val="18"/>
                <w:szCs w:val="18"/>
                <w:lang w:val="en-GB"/>
              </w:rPr>
              <w:t>POLICY OBJECTIVE 5</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b/>
                <w:sz w:val="18"/>
                <w:szCs w:val="18"/>
                <w:lang w:val="en-GB"/>
              </w:rPr>
            </w:pP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Health Promotion including health Education</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Health promotion on violence and injury prevention (</w:t>
            </w:r>
            <w:r w:rsidRPr="009A6F69">
              <w:rPr>
                <w:i/>
                <w:iCs/>
                <w:sz w:val="18"/>
                <w:szCs w:val="18"/>
                <w:lang w:val="en-GB"/>
              </w:rPr>
              <w:t xml:space="preserve">Road Traffic, Burns/Fires, </w:t>
            </w:r>
            <w:proofErr w:type="gramStart"/>
            <w:r w:rsidRPr="009A6F69">
              <w:rPr>
                <w:i/>
                <w:iCs/>
                <w:sz w:val="18"/>
                <w:szCs w:val="18"/>
                <w:lang w:val="en-GB"/>
              </w:rPr>
              <w:t>Occupational ,</w:t>
            </w:r>
            <w:proofErr w:type="gramEnd"/>
            <w:r w:rsidRPr="009A6F69">
              <w:rPr>
                <w:i/>
                <w:iCs/>
                <w:sz w:val="18"/>
                <w:szCs w:val="18"/>
                <w:lang w:val="en-GB"/>
              </w:rPr>
              <w:t xml:space="preserve"> Poisoning, Falls , Sports , Drowning ,Conflict/war, Female Genital mutilation, Self-inflicted , Interpersonal injuries ,Gender Based violence, Child maltreatment</w:t>
            </w:r>
            <w:r w:rsidRPr="009A6F69">
              <w:rPr>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promotion on prevention of communicable conditions ( Environmental sanitation and hygiene, infection prevention practices, safe dwellings and habitant, safe sex practices, safe food handling, safe water, blood safety practices, immunization</w:t>
            </w:r>
            <w:r w:rsidRPr="009A6F69">
              <w:rPr>
                <w:i/>
                <w:iCs/>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Health promotion on prevention of Non Communicable conditions (tobacco control, control of harmful use of alcohol, prevention of drug and substance abuse, health diets and physical activities, control of indoor </w:t>
            </w:r>
            <w:proofErr w:type="spellStart"/>
            <w:r w:rsidRPr="009A6F69">
              <w:rPr>
                <w:sz w:val="18"/>
                <w:szCs w:val="18"/>
                <w:lang w:val="en-GB"/>
              </w:rPr>
              <w:t>polution</w:t>
            </w:r>
            <w:proofErr w:type="spellEnd"/>
            <w:r w:rsidRPr="009A6F69">
              <w:rPr>
                <w:sz w:val="18"/>
                <w:szCs w:val="18"/>
                <w:lang w:val="en-GB"/>
              </w:rPr>
              <w:t xml:space="preserve">, control of environmental </w:t>
            </w:r>
            <w:proofErr w:type="spellStart"/>
            <w:r w:rsidRPr="009A6F69">
              <w:rPr>
                <w:sz w:val="18"/>
                <w:szCs w:val="18"/>
                <w:lang w:val="en-GB"/>
              </w:rPr>
              <w:t>polution</w:t>
            </w:r>
            <w:proofErr w:type="spellEnd"/>
            <w:r w:rsidRPr="009A6F69">
              <w:rPr>
                <w:sz w:val="18"/>
                <w:szCs w:val="18"/>
                <w:lang w:val="en-GB"/>
              </w:rPr>
              <w:t xml:space="preserve"> and contamination, radiation protection, safe sex practices, work place safety, personal hygiene)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Sexual education</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Sensitization of the community on safe sex practices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Incorporation of sex education in education curricular</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Targeted education methods for high risk groups (MARPS) (</w:t>
            </w:r>
            <w:r w:rsidRPr="009A6F69">
              <w:rPr>
                <w:i/>
                <w:iCs/>
                <w:sz w:val="18"/>
                <w:szCs w:val="18"/>
                <w:lang w:val="en-GB"/>
              </w:rPr>
              <w:t>commercial</w:t>
            </w:r>
            <w:r w:rsidRPr="009A6F69">
              <w:rPr>
                <w:sz w:val="18"/>
                <w:szCs w:val="18"/>
                <w:lang w:val="en-GB"/>
              </w:rPr>
              <w:t xml:space="preserve"> </w:t>
            </w:r>
            <w:r w:rsidRPr="009A6F69">
              <w:rPr>
                <w:i/>
                <w:iCs/>
                <w:sz w:val="18"/>
                <w:szCs w:val="18"/>
                <w:lang w:val="en-GB"/>
              </w:rPr>
              <w:t xml:space="preserve">sex workers, uncircumcised men, Men Having Sex with men, intravenous drug </w:t>
            </w:r>
            <w:proofErr w:type="spellStart"/>
            <w:r w:rsidRPr="009A6F69">
              <w:rPr>
                <w:i/>
                <w:iCs/>
                <w:sz w:val="18"/>
                <w:szCs w:val="18"/>
                <w:lang w:val="en-GB"/>
              </w:rPr>
              <w:t>users,Adolescents</w:t>
            </w:r>
            <w:proofErr w:type="spellEnd"/>
            <w:r w:rsidRPr="009A6F69">
              <w:rPr>
                <w:i/>
                <w:iCs/>
                <w:sz w:val="18"/>
                <w:szCs w:val="18"/>
                <w:lang w:val="en-GB"/>
              </w:rPr>
              <w:t>)</w:t>
            </w:r>
            <w:r w:rsidRPr="009A6F69">
              <w:rPr>
                <w:sz w:val="18"/>
                <w:szCs w:val="18"/>
                <w:lang w:val="en-GB"/>
              </w:rPr>
              <w:t>and negative cultural practices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Substance abuse</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Communication on harmful effects of Tobacco use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Communication on harmful effects of Alcohol abuse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Communication on harmful effects of Substance abuse (</w:t>
            </w:r>
            <w:r w:rsidRPr="009A6F69">
              <w:rPr>
                <w:i/>
                <w:iCs/>
                <w:sz w:val="18"/>
                <w:szCs w:val="18"/>
                <w:lang w:val="en-GB"/>
              </w:rPr>
              <w:t xml:space="preserve">Cocaine, Heroine, glue, </w:t>
            </w:r>
            <w:proofErr w:type="spellStart"/>
            <w:r w:rsidRPr="009A6F69">
              <w:rPr>
                <w:i/>
                <w:iCs/>
                <w:sz w:val="18"/>
                <w:szCs w:val="18"/>
                <w:lang w:val="en-GB"/>
              </w:rPr>
              <w:t>khat</w:t>
            </w:r>
            <w:proofErr w:type="spellEnd"/>
            <w:r w:rsidRPr="009A6F69">
              <w:rPr>
                <w:i/>
                <w:iCs/>
                <w:sz w:val="18"/>
                <w:szCs w:val="18"/>
                <w:lang w:val="en-GB"/>
              </w:rPr>
              <w:t>, and others)</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Communication on harmful effects of Prescription drug abuse</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roofErr w:type="spellStart"/>
            <w:r w:rsidRPr="009A6F69">
              <w:rPr>
                <w:sz w:val="18"/>
                <w:szCs w:val="18"/>
                <w:lang w:val="en-GB"/>
              </w:rPr>
              <w:t>Counseling</w:t>
            </w:r>
            <w:proofErr w:type="spellEnd"/>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rsidR="004D290E" w:rsidRPr="009A6F69" w:rsidRDefault="004D290E" w:rsidP="00D1235B">
            <w:pPr>
              <w:spacing w:after="0" w:line="240" w:lineRule="auto"/>
              <w:rPr>
                <w:sz w:val="18"/>
                <w:szCs w:val="18"/>
                <w:lang w:val="en-GB"/>
              </w:rPr>
            </w:pPr>
            <w:r w:rsidRPr="009A6F69">
              <w:rPr>
                <w:sz w:val="18"/>
                <w:szCs w:val="18"/>
                <w:lang w:val="en-GB"/>
              </w:rPr>
              <w:t>Micronutrient deficiency control</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sz w:val="18"/>
                <w:szCs w:val="18"/>
                <w:lang w:val="en-GB"/>
              </w:rPr>
            </w:pPr>
            <w:r w:rsidRPr="009A6F69">
              <w:rPr>
                <w:sz w:val="18"/>
                <w:szCs w:val="18"/>
                <w:lang w:val="en-GB"/>
              </w:rPr>
              <w:t>Advocate for food fortification</w:t>
            </w:r>
          </w:p>
        </w:tc>
        <w:tc>
          <w:tcPr>
            <w:tcW w:w="430"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Advocacy for consumption of fortified foods</w:t>
            </w:r>
          </w:p>
        </w:tc>
        <w:tc>
          <w:tcPr>
            <w:tcW w:w="430" w:type="pct"/>
            <w:tcBorders>
              <w:top w:val="nil"/>
              <w:left w:val="nil"/>
              <w:bottom w:val="single" w:sz="4" w:space="0" w:color="auto"/>
              <w:right w:val="single" w:sz="4" w:space="0" w:color="auto"/>
            </w:tcBorders>
            <w:shd w:val="clear" w:color="auto" w:fill="auto"/>
            <w:noWrap/>
            <w:vAlign w:val="bottom"/>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noWrap/>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promotion of dietary diversification</w:t>
            </w:r>
          </w:p>
        </w:tc>
        <w:tc>
          <w:tcPr>
            <w:tcW w:w="430" w:type="pct"/>
            <w:tcBorders>
              <w:top w:val="nil"/>
              <w:left w:val="nil"/>
              <w:bottom w:val="single" w:sz="4" w:space="0" w:color="auto"/>
              <w:right w:val="single" w:sz="4" w:space="0" w:color="auto"/>
            </w:tcBorders>
            <w:shd w:val="clear" w:color="auto" w:fill="auto"/>
            <w:noWrap/>
            <w:vAlign w:val="bottom"/>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noWrap/>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D472A">
            <w:pPr>
              <w:spacing w:after="0" w:line="240" w:lineRule="auto"/>
              <w:rPr>
                <w:sz w:val="18"/>
                <w:szCs w:val="18"/>
                <w:lang w:val="en-GB"/>
              </w:rPr>
            </w:pPr>
            <w:r w:rsidRPr="009A6F69">
              <w:rPr>
                <w:sz w:val="18"/>
                <w:szCs w:val="18"/>
                <w:lang w:val="en-GB"/>
              </w:rPr>
              <w:t>Food supplementation</w:t>
            </w:r>
          </w:p>
        </w:tc>
        <w:tc>
          <w:tcPr>
            <w:tcW w:w="430" w:type="pct"/>
            <w:tcBorders>
              <w:top w:val="nil"/>
              <w:left w:val="nil"/>
              <w:bottom w:val="single" w:sz="4" w:space="0" w:color="auto"/>
              <w:right w:val="single" w:sz="4" w:space="0" w:color="auto"/>
            </w:tcBorders>
            <w:shd w:val="clear" w:color="auto" w:fill="auto"/>
            <w:noWrap/>
            <w:vAlign w:val="bottom"/>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auto" w:fill="auto"/>
            <w:noWrap/>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tcBorders>
              <w:top w:val="nil"/>
              <w:left w:val="single" w:sz="4" w:space="0" w:color="auto"/>
              <w:bottom w:val="single" w:sz="4" w:space="0" w:color="auto"/>
              <w:right w:val="single" w:sz="4" w:space="0" w:color="auto"/>
            </w:tcBorders>
            <w:vAlign w:val="center"/>
            <w:hideMark/>
          </w:tcPr>
          <w:p w:rsidR="004D290E" w:rsidRPr="009A6F69" w:rsidRDefault="004D290E" w:rsidP="00D1235B">
            <w:pPr>
              <w:spacing w:after="0" w:line="240" w:lineRule="auto"/>
              <w:rPr>
                <w:b/>
                <w:sz w:val="18"/>
                <w:szCs w:val="18"/>
                <w:lang w:val="en-GB"/>
              </w:rPr>
            </w:pPr>
            <w:r w:rsidRPr="009A6F69">
              <w:rPr>
                <w:b/>
                <w:sz w:val="18"/>
                <w:szCs w:val="18"/>
                <w:lang w:val="en-GB"/>
              </w:rPr>
              <w:t>POLICY OBJECTIVE 6</w:t>
            </w:r>
          </w:p>
        </w:tc>
        <w:tc>
          <w:tcPr>
            <w:tcW w:w="3489" w:type="pct"/>
            <w:tcBorders>
              <w:top w:val="nil"/>
              <w:left w:val="nil"/>
              <w:bottom w:val="single" w:sz="4" w:space="0" w:color="auto"/>
              <w:right w:val="single" w:sz="4" w:space="0" w:color="auto"/>
            </w:tcBorders>
            <w:shd w:val="clear" w:color="auto" w:fill="auto"/>
            <w:vAlign w:val="center"/>
            <w:hideMark/>
          </w:tcPr>
          <w:p w:rsidR="004D290E" w:rsidRPr="009A6F69" w:rsidRDefault="004D290E" w:rsidP="00B125CE">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auto" w:fill="auto"/>
            <w:noWrap/>
            <w:vAlign w:val="bottom"/>
            <w:hideMark/>
          </w:tcPr>
          <w:p w:rsidR="004D290E" w:rsidRPr="009A6F69" w:rsidRDefault="004D290E" w:rsidP="00BD472A">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auto" w:fill="auto"/>
            <w:noWrap/>
            <w:vAlign w:val="center"/>
            <w:hideMark/>
          </w:tcPr>
          <w:p w:rsidR="004D290E" w:rsidRPr="009A6F69" w:rsidRDefault="004D290E" w:rsidP="00BD472A">
            <w:pPr>
              <w:spacing w:after="0" w:line="240" w:lineRule="auto"/>
              <w:rPr>
                <w:b/>
                <w:sz w:val="18"/>
                <w:szCs w:val="18"/>
                <w:lang w:val="en-GB"/>
              </w:rPr>
            </w:pP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Safe water</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125CE">
            <w:pPr>
              <w:spacing w:after="0" w:line="240" w:lineRule="auto"/>
              <w:rPr>
                <w:sz w:val="18"/>
                <w:szCs w:val="18"/>
                <w:lang w:val="en-GB"/>
              </w:rPr>
            </w:pPr>
            <w:r w:rsidRPr="009A6F69">
              <w:rPr>
                <w:sz w:val="18"/>
                <w:szCs w:val="18"/>
                <w:lang w:val="en-GB"/>
              </w:rPr>
              <w:t>Provision of safe water sources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Community sensitization  on safe water </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Water quality testing</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Water purification / treatment at point of use</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Water source protection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Sanitation and hygiene</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125CE">
            <w:pPr>
              <w:spacing w:after="0" w:line="240" w:lineRule="auto"/>
              <w:rPr>
                <w:sz w:val="18"/>
                <w:szCs w:val="18"/>
                <w:lang w:val="en-GB"/>
              </w:rPr>
            </w:pPr>
            <w:r w:rsidRPr="009A6F69">
              <w:rPr>
                <w:sz w:val="18"/>
                <w:szCs w:val="18"/>
                <w:lang w:val="en-GB"/>
              </w:rPr>
              <w:t>Monitoring human excreta disposal practices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Hand washing facilities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Hygiene promotion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Home inspections for sanitation adequacy</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Promotion of safe food handling</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Sanitation surveillance and audits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Nutrition services</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125CE">
            <w:pPr>
              <w:spacing w:after="0" w:line="240" w:lineRule="auto"/>
              <w:rPr>
                <w:sz w:val="18"/>
                <w:szCs w:val="18"/>
                <w:lang w:val="en-GB"/>
              </w:rPr>
            </w:pPr>
            <w:r w:rsidRPr="009A6F69">
              <w:rPr>
                <w:sz w:val="18"/>
                <w:szCs w:val="18"/>
                <w:lang w:val="en-GB"/>
              </w:rPr>
              <w:t xml:space="preserve">Nutrition education and </w:t>
            </w:r>
            <w:proofErr w:type="spellStart"/>
            <w:r w:rsidRPr="009A6F69">
              <w:rPr>
                <w:sz w:val="18"/>
                <w:szCs w:val="18"/>
                <w:lang w:val="en-GB"/>
              </w:rPr>
              <w:t>counseling</w:t>
            </w:r>
            <w:proofErr w:type="spellEnd"/>
            <w:r w:rsidRPr="009A6F69">
              <w:rPr>
                <w:sz w:val="18"/>
                <w:szCs w:val="18"/>
                <w:lang w:val="en-GB"/>
              </w:rPr>
              <w:t xml:space="preserve"> </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Community based growth monitoring and promotion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Micronutrient supplementation (</w:t>
            </w:r>
            <w:proofErr w:type="spellStart"/>
            <w:r w:rsidRPr="009A6F69">
              <w:rPr>
                <w:sz w:val="18"/>
                <w:szCs w:val="18"/>
                <w:lang w:val="en-GB"/>
              </w:rPr>
              <w:t>e.g</w:t>
            </w:r>
            <w:proofErr w:type="spellEnd"/>
            <w:r w:rsidRPr="009A6F69">
              <w:rPr>
                <w:sz w:val="18"/>
                <w:szCs w:val="18"/>
                <w:lang w:val="en-GB"/>
              </w:rPr>
              <w:t xml:space="preserve"> vitamin A, IFA)</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Management of acute malnutrition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education on appropriate infant and young child feeding</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Pollution control</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125CE">
            <w:pPr>
              <w:spacing w:after="0" w:line="240" w:lineRule="auto"/>
              <w:rPr>
                <w:sz w:val="18"/>
                <w:szCs w:val="18"/>
                <w:lang w:val="en-GB"/>
              </w:rPr>
            </w:pPr>
            <w:r w:rsidRPr="009A6F69">
              <w:rPr>
                <w:sz w:val="18"/>
                <w:szCs w:val="18"/>
                <w:lang w:val="en-GB"/>
              </w:rPr>
              <w:t>Indoor pollution management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Liquid, solid and gaseous waste management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Control of Water body, soil and air pollution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Housing</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125CE">
            <w:pPr>
              <w:spacing w:after="0" w:line="240" w:lineRule="auto"/>
              <w:rPr>
                <w:sz w:val="18"/>
                <w:szCs w:val="18"/>
                <w:lang w:val="en-GB"/>
              </w:rPr>
            </w:pPr>
            <w:r w:rsidRPr="009A6F69">
              <w:rPr>
                <w:sz w:val="18"/>
                <w:szCs w:val="18"/>
                <w:lang w:val="en-GB"/>
              </w:rPr>
              <w:t xml:space="preserve">Approval of building plans </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and environmental impact assessment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Advocacy for enforcement of standards on housing</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Physical planning and housing environment to promote healthy living including prevention of rickets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School health</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125CE">
            <w:pPr>
              <w:spacing w:after="0" w:line="240" w:lineRule="auto"/>
              <w:rPr>
                <w:sz w:val="18"/>
                <w:szCs w:val="18"/>
                <w:lang w:val="en-GB"/>
              </w:rPr>
            </w:pPr>
            <w:r w:rsidRPr="009A6F69">
              <w:rPr>
                <w:sz w:val="18"/>
                <w:szCs w:val="18"/>
                <w:lang w:val="en-GB"/>
              </w:rPr>
              <w:t>School feeding and nutrition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School Health promotion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School based disease prevention programme</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School water sanitation and hygiene</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 </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3</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Children with special needs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2</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Food fortification</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125CE">
            <w:pPr>
              <w:spacing w:after="0" w:line="240" w:lineRule="auto"/>
              <w:rPr>
                <w:sz w:val="18"/>
                <w:szCs w:val="18"/>
                <w:lang w:val="en-GB"/>
              </w:rPr>
            </w:pPr>
            <w:r w:rsidRPr="009A6F69">
              <w:rPr>
                <w:sz w:val="18"/>
                <w:szCs w:val="18"/>
                <w:lang w:val="en-GB"/>
              </w:rPr>
              <w:t>Salt fortification with Iodine</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Toothpaste fortification with fluoride</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Micronutrient fortification of food products (</w:t>
            </w:r>
            <w:r w:rsidRPr="009A6F69">
              <w:rPr>
                <w:i/>
                <w:iCs/>
                <w:sz w:val="18"/>
                <w:szCs w:val="18"/>
                <w:lang w:val="en-GB"/>
              </w:rPr>
              <w:t>flour, cooking oil, sugar, etc)</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Population management</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125CE">
            <w:pPr>
              <w:spacing w:after="0" w:line="240" w:lineRule="auto"/>
              <w:rPr>
                <w:sz w:val="18"/>
                <w:szCs w:val="18"/>
                <w:lang w:val="en-GB"/>
              </w:rPr>
            </w:pPr>
            <w:r w:rsidRPr="009A6F69">
              <w:rPr>
                <w:sz w:val="18"/>
                <w:szCs w:val="18"/>
                <w:lang w:val="en-GB"/>
              </w:rPr>
              <w:t>Information on child spacing benefits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Awareness creation on the impact of population growth </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 xml:space="preserve">Management of population movement particularly to informal settlements </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rsidR="004D290E" w:rsidRPr="009A6F69" w:rsidRDefault="004D290E" w:rsidP="00D1235B">
            <w:pPr>
              <w:spacing w:after="0" w:line="240" w:lineRule="auto"/>
              <w:rPr>
                <w:sz w:val="18"/>
                <w:szCs w:val="18"/>
                <w:lang w:val="en-GB"/>
              </w:rPr>
            </w:pPr>
            <w:r w:rsidRPr="009A6F69">
              <w:rPr>
                <w:sz w:val="18"/>
                <w:szCs w:val="18"/>
                <w:lang w:val="en-GB"/>
              </w:rPr>
              <w:t>Road infrastructure  and Transport</w:t>
            </w: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125CE">
            <w:pPr>
              <w:spacing w:after="0" w:line="240" w:lineRule="auto"/>
              <w:rPr>
                <w:sz w:val="18"/>
                <w:szCs w:val="18"/>
                <w:lang w:val="en-GB"/>
              </w:rPr>
            </w:pPr>
            <w:r w:rsidRPr="009A6F69">
              <w:rPr>
                <w:sz w:val="18"/>
                <w:szCs w:val="18"/>
                <w:lang w:val="en-GB"/>
              </w:rPr>
              <w:t>Improve road infrastructure to health facilities</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Road safety/Injury prevention</w:t>
            </w:r>
          </w:p>
        </w:tc>
        <w:tc>
          <w:tcPr>
            <w:tcW w:w="430"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r w:rsidR="004D290E" w:rsidRPr="009A6F69"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rsidR="004D290E" w:rsidRPr="009A6F69"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rsidR="004D290E" w:rsidRPr="009A6F69" w:rsidRDefault="004D290E" w:rsidP="00BD472A">
            <w:pPr>
              <w:spacing w:after="0" w:line="240" w:lineRule="auto"/>
              <w:rPr>
                <w:sz w:val="18"/>
                <w:szCs w:val="18"/>
                <w:lang w:val="en-GB"/>
              </w:rPr>
            </w:pPr>
            <w:r w:rsidRPr="009A6F69">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noWrap/>
            <w:vAlign w:val="center"/>
            <w:hideMark/>
          </w:tcPr>
          <w:p w:rsidR="004D290E" w:rsidRPr="009A6F69" w:rsidRDefault="004D290E" w:rsidP="00BD472A">
            <w:pPr>
              <w:spacing w:after="0" w:line="240" w:lineRule="auto"/>
              <w:rPr>
                <w:sz w:val="18"/>
                <w:szCs w:val="18"/>
                <w:lang w:val="en-GB"/>
              </w:rPr>
            </w:pPr>
            <w:r w:rsidRPr="009A6F69">
              <w:rPr>
                <w:sz w:val="18"/>
                <w:szCs w:val="18"/>
                <w:lang w:val="en-GB"/>
              </w:rPr>
              <w:t>1</w:t>
            </w:r>
          </w:p>
        </w:tc>
        <w:tc>
          <w:tcPr>
            <w:tcW w:w="334" w:type="pct"/>
            <w:tcBorders>
              <w:top w:val="nil"/>
              <w:left w:val="nil"/>
              <w:bottom w:val="single" w:sz="4" w:space="0" w:color="auto"/>
              <w:right w:val="single" w:sz="4" w:space="0" w:color="auto"/>
            </w:tcBorders>
            <w:shd w:val="clear" w:color="000000" w:fill="FFFFFF"/>
            <w:noWrap/>
            <w:vAlign w:val="center"/>
            <w:hideMark/>
          </w:tcPr>
          <w:p w:rsidR="004D290E" w:rsidRPr="009A6F69" w:rsidRDefault="004D290E" w:rsidP="00BD472A">
            <w:pPr>
              <w:spacing w:after="0" w:line="240" w:lineRule="auto"/>
              <w:rPr>
                <w:sz w:val="18"/>
                <w:szCs w:val="18"/>
                <w:lang w:val="en-GB"/>
              </w:rPr>
            </w:pPr>
            <w:r w:rsidRPr="009A6F69">
              <w:rPr>
                <w:sz w:val="18"/>
                <w:szCs w:val="18"/>
                <w:lang w:val="en-GB"/>
              </w:rPr>
              <w:t>All</w:t>
            </w:r>
          </w:p>
        </w:tc>
      </w:tr>
    </w:tbl>
    <w:p w:rsidR="004D290E" w:rsidRPr="009A6F69" w:rsidRDefault="004D290E">
      <w:pPr>
        <w:rPr>
          <w:lang w:val="en-GB"/>
        </w:rPr>
      </w:pPr>
    </w:p>
    <w:p w:rsidR="004D290E" w:rsidRPr="009A6F69" w:rsidRDefault="004D290E">
      <w:pPr>
        <w:rPr>
          <w:lang w:val="en-GB"/>
        </w:rPr>
      </w:pPr>
    </w:p>
    <w:p w:rsidR="00C709D6" w:rsidRPr="00C709D6" w:rsidRDefault="00C709D6" w:rsidP="00C709D6">
      <w:pPr>
        <w:pStyle w:val="Heading2"/>
        <w:rPr>
          <w:rFonts w:asciiTheme="minorHAnsi" w:eastAsiaTheme="minorEastAsia" w:hAnsiTheme="minorHAnsi" w:cstheme="minorBidi"/>
          <w:sz w:val="24"/>
          <w:szCs w:val="24"/>
          <w:lang w:val="en-GB"/>
        </w:rPr>
      </w:pPr>
      <w:bookmarkStart w:id="49" w:name="_Ref254255706"/>
      <w:bookmarkStart w:id="50" w:name="_Toc254256143"/>
      <w:r>
        <w:rPr>
          <w:lang w:val="en-GB"/>
        </w:rPr>
        <w:t>Appendix 4</w:t>
      </w:r>
      <w:bookmarkStart w:id="51" w:name="_Toc235049798"/>
      <w:bookmarkStart w:id="52" w:name="_Toc238240986"/>
      <w:r>
        <w:rPr>
          <w:lang w:val="en-GB"/>
        </w:rPr>
        <w:t>:</w:t>
      </w:r>
      <w:r w:rsidRPr="00C709D6">
        <w:rPr>
          <w:lang w:val="en-GB"/>
        </w:rPr>
        <w:t xml:space="preserve"> Commission for Revenue Allocation formula</w:t>
      </w:r>
      <w:r w:rsidRPr="00C709D6">
        <w:rPr>
          <w:vertAlign w:val="superscript"/>
          <w:lang w:val="en-GB"/>
        </w:rPr>
        <w:footnoteReference w:id="3"/>
      </w:r>
      <w:bookmarkEnd w:id="49"/>
      <w:bookmarkEnd w:id="50"/>
      <w:bookmarkEnd w:id="51"/>
      <w:bookmarkEnd w:id="52"/>
    </w:p>
    <w:p w:rsidR="00C709D6" w:rsidRPr="00C709D6" w:rsidRDefault="00C709D6" w:rsidP="00C709D6">
      <w:pPr>
        <w:rPr>
          <w:rFonts w:asciiTheme="majorHAnsi" w:eastAsiaTheme="majorEastAsia" w:hAnsiTheme="majorHAnsi" w:cstheme="majorBidi"/>
          <w:b/>
          <w:bCs/>
          <w:sz w:val="26"/>
          <w:szCs w:val="26"/>
          <w:lang w:val="en-GB"/>
        </w:rPr>
      </w:pPr>
    </w:p>
    <w:p w:rsidR="00C709D6" w:rsidRPr="00C709D6" w:rsidRDefault="00C709D6" w:rsidP="00C709D6">
      <w:pPr>
        <w:rPr>
          <w:lang w:val="en-GB"/>
        </w:rPr>
      </w:pPr>
      <w:proofErr w:type="spellStart"/>
      <w:proofErr w:type="gramStart"/>
      <w:r w:rsidRPr="00C709D6">
        <w:rPr>
          <w:lang w:val="en-GB"/>
        </w:rPr>
        <w:t>Ca</w:t>
      </w:r>
      <w:r w:rsidRPr="00C709D6">
        <w:rPr>
          <w:vertAlign w:val="subscript"/>
          <w:lang w:val="en-GB"/>
        </w:rPr>
        <w:t>i</w:t>
      </w:r>
      <w:proofErr w:type="spellEnd"/>
      <w:proofErr w:type="gramEnd"/>
      <w:r w:rsidRPr="00C709D6">
        <w:rPr>
          <w:lang w:val="en-GB"/>
        </w:rPr>
        <w:t xml:space="preserve"> = </w:t>
      </w:r>
      <w:proofErr w:type="spellStart"/>
      <w:r w:rsidRPr="00C709D6">
        <w:rPr>
          <w:lang w:val="en-GB"/>
        </w:rPr>
        <w:t>P</w:t>
      </w:r>
      <w:r w:rsidRPr="00C709D6">
        <w:rPr>
          <w:vertAlign w:val="subscript"/>
          <w:lang w:val="en-GB"/>
        </w:rPr>
        <w:t>i</w:t>
      </w:r>
      <w:r w:rsidRPr="00C709D6">
        <w:rPr>
          <w:lang w:val="en-GB"/>
        </w:rPr>
        <w:t>+PV</w:t>
      </w:r>
      <w:r w:rsidRPr="00C709D6">
        <w:rPr>
          <w:vertAlign w:val="subscript"/>
          <w:lang w:val="en-GB"/>
        </w:rPr>
        <w:t>i</w:t>
      </w:r>
      <w:r w:rsidRPr="00C709D6">
        <w:rPr>
          <w:lang w:val="en-GB"/>
        </w:rPr>
        <w:t>+A</w:t>
      </w:r>
      <w:r w:rsidRPr="00C709D6">
        <w:rPr>
          <w:vertAlign w:val="subscript"/>
          <w:lang w:val="en-GB"/>
        </w:rPr>
        <w:t>i</w:t>
      </w:r>
      <w:r w:rsidRPr="00C709D6">
        <w:rPr>
          <w:lang w:val="en-GB"/>
        </w:rPr>
        <w:t>+BS</w:t>
      </w:r>
      <w:r w:rsidRPr="00C709D6">
        <w:rPr>
          <w:vertAlign w:val="subscript"/>
          <w:lang w:val="en-GB"/>
        </w:rPr>
        <w:t>i</w:t>
      </w:r>
      <w:proofErr w:type="spellEnd"/>
      <w:r w:rsidRPr="00C709D6">
        <w:rPr>
          <w:lang w:val="en-GB"/>
        </w:rPr>
        <w:t xml:space="preserve"> + </w:t>
      </w:r>
      <w:proofErr w:type="spellStart"/>
      <w:r w:rsidRPr="00C709D6">
        <w:rPr>
          <w:lang w:val="en-GB"/>
        </w:rPr>
        <w:t>FR</w:t>
      </w:r>
      <w:r w:rsidRPr="00C709D6">
        <w:rPr>
          <w:vertAlign w:val="subscript"/>
          <w:lang w:val="en-GB"/>
        </w:rPr>
        <w:t>i</w:t>
      </w:r>
      <w:proofErr w:type="spellEnd"/>
    </w:p>
    <w:p w:rsidR="00C709D6" w:rsidRPr="00C709D6" w:rsidRDefault="00C709D6" w:rsidP="00C709D6">
      <w:pPr>
        <w:rPr>
          <w:lang w:val="en-GB"/>
        </w:rPr>
      </w:pPr>
      <w:r w:rsidRPr="00C709D6">
        <w:rPr>
          <w:lang w:val="en-GB"/>
        </w:rPr>
        <w:t>Where:</w:t>
      </w:r>
    </w:p>
    <w:p w:rsidR="00C709D6" w:rsidRPr="00C709D6" w:rsidRDefault="00C709D6" w:rsidP="00C709D6">
      <w:pPr>
        <w:rPr>
          <w:lang w:val="en-GB"/>
        </w:rPr>
      </w:pPr>
      <w:r w:rsidRPr="00C709D6">
        <w:rPr>
          <w:lang w:val="en-GB"/>
        </w:rPr>
        <w:t>Ca=Revenue allocated to county</w:t>
      </w:r>
    </w:p>
    <w:p w:rsidR="00C709D6" w:rsidRPr="00C709D6" w:rsidRDefault="00C709D6" w:rsidP="00C709D6">
      <w:pPr>
        <w:rPr>
          <w:lang w:val="en-GB"/>
        </w:rPr>
      </w:pPr>
      <w:proofErr w:type="spellStart"/>
      <w:r w:rsidRPr="00C709D6">
        <w:rPr>
          <w:lang w:val="en-GB"/>
        </w:rPr>
        <w:t>i</w:t>
      </w:r>
      <w:proofErr w:type="spellEnd"/>
      <w:r w:rsidRPr="00C709D6">
        <w:rPr>
          <w:lang w:val="en-GB"/>
        </w:rPr>
        <w:t xml:space="preserve"> =1,</w:t>
      </w:r>
      <w:proofErr w:type="gramStart"/>
      <w:r w:rsidRPr="00C709D6">
        <w:rPr>
          <w:lang w:val="en-GB"/>
        </w:rPr>
        <w:t>,2</w:t>
      </w:r>
      <w:proofErr w:type="gramEnd"/>
      <w:r w:rsidRPr="00C709D6">
        <w:rPr>
          <w:lang w:val="en-GB"/>
        </w:rPr>
        <w:t>………47.</w:t>
      </w:r>
    </w:p>
    <w:p w:rsidR="00C709D6" w:rsidRPr="00C709D6" w:rsidRDefault="00C709D6" w:rsidP="00C709D6">
      <w:pPr>
        <w:rPr>
          <w:lang w:val="en-GB"/>
        </w:rPr>
      </w:pPr>
      <w:r w:rsidRPr="00C709D6">
        <w:rPr>
          <w:lang w:val="en-GB"/>
        </w:rPr>
        <w:t>P</w:t>
      </w:r>
      <w:r w:rsidRPr="00C709D6">
        <w:rPr>
          <w:vertAlign w:val="subscript"/>
          <w:lang w:val="en-GB"/>
        </w:rPr>
        <w:t>i</w:t>
      </w:r>
      <w:r w:rsidRPr="00C709D6">
        <w:rPr>
          <w:lang w:val="en-GB"/>
        </w:rPr>
        <w:t xml:space="preserve"> =Revenue allocated to a county on the basis of population parameter.</w:t>
      </w:r>
    </w:p>
    <w:p w:rsidR="00C709D6" w:rsidRPr="00C709D6" w:rsidRDefault="00C709D6" w:rsidP="00C709D6">
      <w:pPr>
        <w:rPr>
          <w:lang w:val="en-GB"/>
        </w:rPr>
      </w:pPr>
      <w:proofErr w:type="spellStart"/>
      <w:r w:rsidRPr="00C709D6">
        <w:rPr>
          <w:lang w:val="en-GB"/>
        </w:rPr>
        <w:t>PV</w:t>
      </w:r>
      <w:r w:rsidRPr="00C709D6">
        <w:rPr>
          <w:vertAlign w:val="subscript"/>
          <w:lang w:val="en-GB"/>
        </w:rPr>
        <w:t>i</w:t>
      </w:r>
      <w:proofErr w:type="spellEnd"/>
      <w:r w:rsidRPr="00C709D6">
        <w:rPr>
          <w:lang w:val="en-GB"/>
        </w:rPr>
        <w:t xml:space="preserve"> = Revenue allocated to a county on the basis of poverty gap parameter.</w:t>
      </w:r>
    </w:p>
    <w:p w:rsidR="00C709D6" w:rsidRPr="00C709D6" w:rsidRDefault="00C709D6" w:rsidP="00C709D6">
      <w:pPr>
        <w:rPr>
          <w:lang w:val="en-GB"/>
        </w:rPr>
      </w:pPr>
      <w:r w:rsidRPr="00C709D6">
        <w:rPr>
          <w:lang w:val="en-GB"/>
        </w:rPr>
        <w:t>A</w:t>
      </w:r>
      <w:r w:rsidRPr="00C709D6">
        <w:rPr>
          <w:vertAlign w:val="subscript"/>
          <w:lang w:val="en-GB"/>
        </w:rPr>
        <w:t>i</w:t>
      </w:r>
      <w:r w:rsidRPr="00C709D6">
        <w:rPr>
          <w:lang w:val="en-GB"/>
        </w:rPr>
        <w:t>= Revenue allocated to a county on the basis of land area.</w:t>
      </w:r>
    </w:p>
    <w:p w:rsidR="00C709D6" w:rsidRPr="00C709D6" w:rsidRDefault="00C709D6" w:rsidP="00C709D6">
      <w:pPr>
        <w:rPr>
          <w:lang w:val="en-GB"/>
        </w:rPr>
      </w:pPr>
      <w:proofErr w:type="spellStart"/>
      <w:proofErr w:type="gramStart"/>
      <w:r w:rsidRPr="00C709D6">
        <w:rPr>
          <w:lang w:val="en-GB"/>
        </w:rPr>
        <w:t>BS</w:t>
      </w:r>
      <w:r w:rsidRPr="00C709D6">
        <w:rPr>
          <w:vertAlign w:val="subscript"/>
          <w:lang w:val="en-GB"/>
        </w:rPr>
        <w:t>i</w:t>
      </w:r>
      <w:proofErr w:type="spellEnd"/>
      <w:proofErr w:type="gramEnd"/>
      <w:r w:rsidRPr="00C709D6">
        <w:rPr>
          <w:lang w:val="en-GB"/>
        </w:rPr>
        <w:t>= Revenue allocated to a county on the basis of basic equal share parameter. This is share equally among the 47 counties.</w:t>
      </w:r>
    </w:p>
    <w:p w:rsidR="00C709D6" w:rsidRPr="00C709D6" w:rsidRDefault="00C709D6" w:rsidP="00C709D6">
      <w:pPr>
        <w:rPr>
          <w:lang w:val="en-GB"/>
        </w:rPr>
      </w:pPr>
      <w:proofErr w:type="spellStart"/>
      <w:r w:rsidRPr="00C709D6">
        <w:rPr>
          <w:lang w:val="en-GB"/>
        </w:rPr>
        <w:t>FR</w:t>
      </w:r>
      <w:r w:rsidRPr="00C709D6">
        <w:rPr>
          <w:vertAlign w:val="subscript"/>
          <w:lang w:val="en-GB"/>
        </w:rPr>
        <w:t>i</w:t>
      </w:r>
      <w:proofErr w:type="spellEnd"/>
      <w:r w:rsidRPr="00C709D6">
        <w:rPr>
          <w:lang w:val="en-GB"/>
        </w:rPr>
        <w:t xml:space="preserve">= Revenue allocated to a given county on the basis of fiscal responsibility. </w:t>
      </w:r>
      <w:proofErr w:type="gramStart"/>
      <w:r w:rsidRPr="00C709D6">
        <w:rPr>
          <w:lang w:val="en-GB"/>
        </w:rPr>
        <w:t>this</w:t>
      </w:r>
      <w:proofErr w:type="gramEnd"/>
      <w:r w:rsidRPr="00C709D6">
        <w:rPr>
          <w:lang w:val="en-GB"/>
        </w:rPr>
        <w:t xml:space="preserve"> is shared equally among the 47 counties</w:t>
      </w:r>
    </w:p>
    <w:p w:rsidR="00C709D6" w:rsidRDefault="00C709D6">
      <w:pPr>
        <w:spacing w:after="0" w:line="240" w:lineRule="auto"/>
        <w:rPr>
          <w:rFonts w:asciiTheme="majorHAnsi" w:eastAsiaTheme="majorEastAsia" w:hAnsiTheme="majorHAnsi" w:cstheme="majorBidi"/>
          <w:b/>
          <w:bCs/>
          <w:sz w:val="26"/>
          <w:szCs w:val="26"/>
          <w:lang w:val="en-GB"/>
        </w:rPr>
      </w:pPr>
      <w:r>
        <w:rPr>
          <w:rFonts w:asciiTheme="majorHAnsi" w:eastAsiaTheme="majorEastAsia" w:hAnsiTheme="majorHAnsi" w:cstheme="majorBidi"/>
          <w:b/>
          <w:bCs/>
          <w:sz w:val="26"/>
          <w:szCs w:val="26"/>
          <w:lang w:val="en-GB"/>
        </w:rPr>
        <w:br w:type="page"/>
      </w:r>
    </w:p>
    <w:p w:rsidR="00C709D6" w:rsidRPr="009A6F69" w:rsidRDefault="00C709D6">
      <w:pPr>
        <w:rPr>
          <w:rFonts w:asciiTheme="majorHAnsi" w:eastAsiaTheme="majorEastAsia" w:hAnsiTheme="majorHAnsi" w:cstheme="majorBidi"/>
          <w:b/>
          <w:bCs/>
          <w:sz w:val="26"/>
          <w:szCs w:val="26"/>
          <w:lang w:val="en-GB"/>
        </w:rPr>
      </w:pPr>
    </w:p>
    <w:p w:rsidR="0076101B" w:rsidRPr="009A6F69" w:rsidRDefault="00394FA7" w:rsidP="00A36E47">
      <w:pPr>
        <w:pStyle w:val="Heading2"/>
        <w:rPr>
          <w:lang w:val="en-GB"/>
        </w:rPr>
      </w:pPr>
      <w:bookmarkStart w:id="53" w:name="_Toc254256144"/>
      <w:r w:rsidRPr="009A6F69">
        <w:rPr>
          <w:lang w:val="en-GB"/>
        </w:rPr>
        <w:t>Work Plan</w:t>
      </w:r>
      <w:bookmarkEnd w:id="53"/>
    </w:p>
    <w:p w:rsidR="0076101B" w:rsidRPr="009A6F69" w:rsidRDefault="0076101B" w:rsidP="0076101B">
      <w:pPr>
        <w:rPr>
          <w:lang w:val="en-GB"/>
        </w:rPr>
      </w:pPr>
    </w:p>
    <w:tbl>
      <w:tblPr>
        <w:tblW w:w="5000" w:type="pct"/>
        <w:tblLook w:val="04A0"/>
      </w:tblPr>
      <w:tblGrid>
        <w:gridCol w:w="4495"/>
        <w:gridCol w:w="1408"/>
        <w:gridCol w:w="1114"/>
        <w:gridCol w:w="1839"/>
      </w:tblGrid>
      <w:tr w:rsidR="0076101B" w:rsidRPr="009A6F69" w:rsidTr="00044058">
        <w:trPr>
          <w:trHeight w:val="420"/>
        </w:trPr>
        <w:tc>
          <w:tcPr>
            <w:tcW w:w="256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b/>
                <w:bCs/>
                <w:color w:val="000000"/>
                <w:sz w:val="18"/>
                <w:szCs w:val="18"/>
                <w:lang w:val="en-GB"/>
              </w:rPr>
            </w:pPr>
            <w:r w:rsidRPr="009A6F69">
              <w:rPr>
                <w:rFonts w:eastAsia="Times New Roman" w:cs="Arial"/>
                <w:b/>
                <w:bCs/>
                <w:color w:val="000000"/>
                <w:sz w:val="18"/>
                <w:szCs w:val="18"/>
                <w:lang w:val="en-GB"/>
              </w:rPr>
              <w:t>Action</w:t>
            </w:r>
          </w:p>
        </w:tc>
        <w:tc>
          <w:tcPr>
            <w:tcW w:w="705" w:type="pct"/>
            <w:tcBorders>
              <w:top w:val="single" w:sz="4" w:space="0" w:color="auto"/>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b/>
                <w:bCs/>
                <w:color w:val="000000"/>
                <w:sz w:val="18"/>
                <w:szCs w:val="18"/>
                <w:lang w:val="en-GB"/>
              </w:rPr>
            </w:pPr>
            <w:r w:rsidRPr="009A6F69">
              <w:rPr>
                <w:rFonts w:eastAsia="Times New Roman" w:cs="Arial"/>
                <w:b/>
                <w:bCs/>
                <w:color w:val="000000"/>
                <w:sz w:val="18"/>
                <w:szCs w:val="18"/>
                <w:lang w:val="en-GB"/>
              </w:rPr>
              <w:t>Responsibility</w:t>
            </w:r>
          </w:p>
        </w:tc>
        <w:tc>
          <w:tcPr>
            <w:tcW w:w="659" w:type="pct"/>
            <w:tcBorders>
              <w:top w:val="single" w:sz="4" w:space="0" w:color="auto"/>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b/>
                <w:bCs/>
                <w:color w:val="000000"/>
                <w:sz w:val="18"/>
                <w:szCs w:val="18"/>
                <w:lang w:val="en-GB"/>
              </w:rPr>
            </w:pPr>
            <w:r w:rsidRPr="009A6F69">
              <w:rPr>
                <w:rFonts w:eastAsia="Times New Roman" w:cs="Arial"/>
                <w:b/>
                <w:bCs/>
                <w:color w:val="000000"/>
                <w:sz w:val="18"/>
                <w:szCs w:val="18"/>
                <w:lang w:val="en-GB"/>
              </w:rPr>
              <w:t>Recipient</w:t>
            </w:r>
          </w:p>
        </w:tc>
        <w:tc>
          <w:tcPr>
            <w:tcW w:w="1068" w:type="pct"/>
            <w:tcBorders>
              <w:top w:val="single" w:sz="4" w:space="0" w:color="auto"/>
              <w:left w:val="nil"/>
              <w:bottom w:val="single" w:sz="4" w:space="0" w:color="auto"/>
              <w:right w:val="single" w:sz="4" w:space="0" w:color="auto"/>
            </w:tcBorders>
            <w:shd w:val="clear" w:color="auto" w:fill="auto"/>
            <w:vAlign w:val="bottom"/>
            <w:hideMark/>
          </w:tcPr>
          <w:p w:rsidR="0076101B" w:rsidRPr="009A6F69" w:rsidRDefault="0076101B" w:rsidP="00BD472A">
            <w:pPr>
              <w:spacing w:after="0" w:line="240" w:lineRule="auto"/>
              <w:rPr>
                <w:rFonts w:eastAsia="Times New Roman" w:cs="Arial"/>
                <w:b/>
                <w:bCs/>
                <w:color w:val="000000"/>
                <w:sz w:val="18"/>
                <w:szCs w:val="18"/>
                <w:lang w:val="en-GB"/>
              </w:rPr>
            </w:pPr>
            <w:r w:rsidRPr="009A6F69">
              <w:rPr>
                <w:rFonts w:eastAsia="Times New Roman" w:cs="Arial"/>
                <w:b/>
                <w:bCs/>
                <w:color w:val="000000"/>
                <w:sz w:val="18"/>
                <w:szCs w:val="18"/>
                <w:lang w:val="en-GB"/>
              </w:rPr>
              <w:t>Deadline</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Literature review, methodology and draft tools</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880360"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19</w:t>
            </w:r>
            <w:r w:rsidRPr="00471F0F">
              <w:rPr>
                <w:rFonts w:eastAsia="Times New Roman" w:cs="Arial"/>
                <w:color w:val="000000"/>
                <w:sz w:val="18"/>
                <w:szCs w:val="18"/>
                <w:vertAlign w:val="superscript"/>
                <w:lang w:val="en-GB"/>
              </w:rPr>
              <w:t>th</w:t>
            </w:r>
            <w:r>
              <w:rPr>
                <w:rFonts w:eastAsia="Times New Roman" w:cs="Arial"/>
                <w:color w:val="000000"/>
                <w:sz w:val="18"/>
                <w:szCs w:val="18"/>
                <w:lang w:val="en-GB"/>
              </w:rPr>
              <w:t xml:space="preserve"> November</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Circulation of the above for comments</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471F0F"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19</w:t>
            </w:r>
            <w:r w:rsidRPr="00471F0F">
              <w:rPr>
                <w:rFonts w:eastAsia="Times New Roman" w:cs="Arial"/>
                <w:color w:val="000000"/>
                <w:sz w:val="18"/>
                <w:szCs w:val="18"/>
                <w:vertAlign w:val="superscript"/>
                <w:lang w:val="en-GB"/>
              </w:rPr>
              <w:t>th</w:t>
            </w:r>
            <w:r>
              <w:rPr>
                <w:rFonts w:eastAsia="Times New Roman" w:cs="Arial"/>
                <w:color w:val="000000"/>
                <w:sz w:val="18"/>
                <w:szCs w:val="18"/>
                <w:lang w:val="en-GB"/>
              </w:rPr>
              <w:t xml:space="preserve"> November</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Comments from TWG and P4H</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TWG and P4H</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Secretariat</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471F0F"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27</w:t>
            </w:r>
            <w:r w:rsidRPr="00471F0F">
              <w:rPr>
                <w:rFonts w:eastAsia="Times New Roman" w:cs="Arial"/>
                <w:color w:val="000000"/>
                <w:sz w:val="18"/>
                <w:szCs w:val="18"/>
                <w:vertAlign w:val="superscript"/>
                <w:lang w:val="en-GB"/>
              </w:rPr>
              <w:t>th</w:t>
            </w:r>
            <w:r>
              <w:rPr>
                <w:rFonts w:eastAsia="Times New Roman" w:cs="Arial"/>
                <w:color w:val="000000"/>
                <w:sz w:val="18"/>
                <w:szCs w:val="18"/>
                <w:lang w:val="en-GB"/>
              </w:rPr>
              <w:t xml:space="preserve"> November</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Meeting to agree and incorporate comments</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TWG</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471F0F"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28</w:t>
            </w:r>
            <w:r w:rsidRPr="00471F0F">
              <w:rPr>
                <w:rFonts w:eastAsia="Times New Roman" w:cs="Arial"/>
                <w:color w:val="000000"/>
                <w:sz w:val="18"/>
                <w:szCs w:val="18"/>
                <w:vertAlign w:val="superscript"/>
                <w:lang w:val="en-GB"/>
              </w:rPr>
              <w:t>th</w:t>
            </w:r>
            <w:r>
              <w:rPr>
                <w:rFonts w:eastAsia="Times New Roman" w:cs="Arial"/>
                <w:color w:val="000000"/>
                <w:sz w:val="18"/>
                <w:szCs w:val="18"/>
                <w:lang w:val="en-GB"/>
              </w:rPr>
              <w:t xml:space="preserve"> November</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Presentation of final Literature review and tools</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471F0F"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28</w:t>
            </w:r>
            <w:r w:rsidRPr="00471F0F">
              <w:rPr>
                <w:rFonts w:eastAsia="Times New Roman" w:cs="Arial"/>
                <w:color w:val="000000"/>
                <w:sz w:val="18"/>
                <w:szCs w:val="18"/>
                <w:vertAlign w:val="superscript"/>
                <w:lang w:val="en-GB"/>
              </w:rPr>
              <w:t>th</w:t>
            </w:r>
            <w:r>
              <w:rPr>
                <w:rFonts w:eastAsia="Times New Roman" w:cs="Arial"/>
                <w:color w:val="000000"/>
                <w:sz w:val="18"/>
                <w:szCs w:val="18"/>
                <w:lang w:val="en-GB"/>
              </w:rPr>
              <w:t xml:space="preserve"> November </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Key informants interviews</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900AB9"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2</w:t>
            </w:r>
            <w:r w:rsidRPr="00D10A89">
              <w:rPr>
                <w:rFonts w:eastAsia="Times New Roman" w:cs="Arial"/>
                <w:color w:val="000000"/>
                <w:sz w:val="18"/>
                <w:szCs w:val="18"/>
                <w:vertAlign w:val="superscript"/>
                <w:lang w:val="en-GB"/>
              </w:rPr>
              <w:t>nd</w:t>
            </w:r>
            <w:r>
              <w:rPr>
                <w:rFonts w:eastAsia="Times New Roman" w:cs="Arial"/>
                <w:color w:val="000000"/>
                <w:sz w:val="18"/>
                <w:szCs w:val="18"/>
                <w:lang w:val="en-GB"/>
              </w:rPr>
              <w:t xml:space="preserve"> Dec- 31</w:t>
            </w:r>
            <w:r w:rsidRPr="00D10A89">
              <w:rPr>
                <w:rFonts w:eastAsia="Times New Roman" w:cs="Arial"/>
                <w:color w:val="000000"/>
                <w:sz w:val="18"/>
                <w:szCs w:val="18"/>
                <w:vertAlign w:val="superscript"/>
                <w:lang w:val="en-GB"/>
              </w:rPr>
              <w:t>st</w:t>
            </w:r>
            <w:r>
              <w:rPr>
                <w:rFonts w:eastAsia="Times New Roman" w:cs="Arial"/>
                <w:color w:val="000000"/>
                <w:sz w:val="18"/>
                <w:szCs w:val="18"/>
                <w:lang w:val="en-GB"/>
              </w:rPr>
              <w:t xml:space="preserve"> Jan</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Drafting of first report</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900AB9"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By 17</w:t>
            </w:r>
            <w:r w:rsidRPr="00D10A89">
              <w:rPr>
                <w:rFonts w:eastAsia="Times New Roman" w:cs="Arial"/>
                <w:color w:val="000000"/>
                <w:sz w:val="18"/>
                <w:szCs w:val="18"/>
                <w:vertAlign w:val="superscript"/>
                <w:lang w:val="en-GB"/>
              </w:rPr>
              <w:t>th</w:t>
            </w:r>
            <w:r>
              <w:rPr>
                <w:rFonts w:eastAsia="Times New Roman" w:cs="Arial"/>
                <w:color w:val="000000"/>
                <w:sz w:val="18"/>
                <w:szCs w:val="18"/>
                <w:lang w:val="en-GB"/>
              </w:rPr>
              <w:t xml:space="preserve"> February</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Sharing of first draft report</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D10A89"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17</w:t>
            </w:r>
            <w:r w:rsidRPr="00D10A89">
              <w:rPr>
                <w:rFonts w:eastAsia="Times New Roman" w:cs="Arial"/>
                <w:color w:val="000000"/>
                <w:sz w:val="18"/>
                <w:szCs w:val="18"/>
                <w:vertAlign w:val="superscript"/>
                <w:lang w:val="en-GB"/>
              </w:rPr>
              <w:t>th</w:t>
            </w:r>
            <w:r>
              <w:rPr>
                <w:rFonts w:eastAsia="Times New Roman" w:cs="Arial"/>
                <w:color w:val="000000"/>
                <w:sz w:val="18"/>
                <w:szCs w:val="18"/>
                <w:lang w:val="en-GB"/>
              </w:rPr>
              <w:t xml:space="preserve"> February</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Circulation of the above for comments</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D10A89"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17</w:t>
            </w:r>
            <w:r w:rsidRPr="00D10A89">
              <w:rPr>
                <w:rFonts w:eastAsia="Times New Roman" w:cs="Arial"/>
                <w:color w:val="000000"/>
                <w:sz w:val="18"/>
                <w:szCs w:val="18"/>
                <w:vertAlign w:val="superscript"/>
                <w:lang w:val="en-GB"/>
              </w:rPr>
              <w:t>th</w:t>
            </w:r>
            <w:r>
              <w:rPr>
                <w:rFonts w:eastAsia="Times New Roman" w:cs="Arial"/>
                <w:color w:val="000000"/>
                <w:sz w:val="18"/>
                <w:szCs w:val="18"/>
                <w:lang w:val="en-GB"/>
              </w:rPr>
              <w:t xml:space="preserve"> February</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Compiling comments from TWG and P4H</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Secretariat</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D10A89"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25</w:t>
            </w:r>
            <w:r w:rsidRPr="00D10A89">
              <w:rPr>
                <w:rFonts w:eastAsia="Times New Roman" w:cs="Arial"/>
                <w:color w:val="000000"/>
                <w:sz w:val="18"/>
                <w:szCs w:val="18"/>
                <w:vertAlign w:val="superscript"/>
                <w:lang w:val="en-GB"/>
              </w:rPr>
              <w:t>th</w:t>
            </w:r>
            <w:r>
              <w:rPr>
                <w:rFonts w:eastAsia="Times New Roman" w:cs="Arial"/>
                <w:color w:val="000000"/>
                <w:sz w:val="18"/>
                <w:szCs w:val="18"/>
                <w:lang w:val="en-GB"/>
              </w:rPr>
              <w:t xml:space="preserve"> February </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Meeting to agree and incorporate comments</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D10A89"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28</w:t>
            </w:r>
            <w:r w:rsidRPr="00D10A89">
              <w:rPr>
                <w:rFonts w:eastAsia="Times New Roman" w:cs="Arial"/>
                <w:color w:val="000000"/>
                <w:sz w:val="18"/>
                <w:szCs w:val="18"/>
                <w:vertAlign w:val="superscript"/>
                <w:lang w:val="en-GB"/>
              </w:rPr>
              <w:t>th</w:t>
            </w:r>
            <w:r>
              <w:rPr>
                <w:rFonts w:eastAsia="Times New Roman" w:cs="Arial"/>
                <w:color w:val="000000"/>
                <w:sz w:val="18"/>
                <w:szCs w:val="18"/>
                <w:lang w:val="en-GB"/>
              </w:rPr>
              <w:t xml:space="preserve"> February </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 xml:space="preserve">Incorporate of agreed comments (2nd draft report) </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D10A89"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3</w:t>
            </w:r>
            <w:r w:rsidRPr="00A44BB7">
              <w:rPr>
                <w:rFonts w:eastAsia="Times New Roman" w:cs="Arial"/>
                <w:color w:val="000000"/>
                <w:sz w:val="18"/>
                <w:szCs w:val="18"/>
                <w:vertAlign w:val="superscript"/>
                <w:lang w:val="en-GB"/>
              </w:rPr>
              <w:t>rd</w:t>
            </w:r>
            <w:r>
              <w:rPr>
                <w:rFonts w:eastAsia="Times New Roman" w:cs="Arial"/>
                <w:color w:val="000000"/>
                <w:sz w:val="18"/>
                <w:szCs w:val="18"/>
                <w:lang w:val="en-GB"/>
              </w:rPr>
              <w:t xml:space="preserve"> March</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A44BB7">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 xml:space="preserve">Submission of </w:t>
            </w:r>
            <w:r w:rsidR="00A44BB7">
              <w:rPr>
                <w:rFonts w:eastAsia="Times New Roman" w:cs="Arial"/>
                <w:color w:val="000000"/>
                <w:sz w:val="18"/>
                <w:szCs w:val="18"/>
                <w:lang w:val="en-GB"/>
              </w:rPr>
              <w:t xml:space="preserve">final </w:t>
            </w:r>
            <w:r w:rsidRPr="009A6F69">
              <w:rPr>
                <w:rFonts w:eastAsia="Times New Roman" w:cs="Arial"/>
                <w:color w:val="000000"/>
                <w:sz w:val="18"/>
                <w:szCs w:val="18"/>
                <w:lang w:val="en-GB"/>
              </w:rPr>
              <w:t xml:space="preserve"> report</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A44BB7"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3</w:t>
            </w:r>
            <w:r w:rsidRPr="00A44BB7">
              <w:rPr>
                <w:rFonts w:eastAsia="Times New Roman" w:cs="Arial"/>
                <w:color w:val="000000"/>
                <w:sz w:val="18"/>
                <w:szCs w:val="18"/>
                <w:vertAlign w:val="superscript"/>
                <w:lang w:val="en-GB"/>
              </w:rPr>
              <w:t>rd</w:t>
            </w:r>
            <w:r>
              <w:rPr>
                <w:rFonts w:eastAsia="Times New Roman" w:cs="Arial"/>
                <w:color w:val="000000"/>
                <w:sz w:val="18"/>
                <w:szCs w:val="18"/>
                <w:lang w:val="en-GB"/>
              </w:rPr>
              <w:t xml:space="preserve"> March</w:t>
            </w:r>
          </w:p>
        </w:tc>
      </w:tr>
      <w:tr w:rsidR="00A44BB7"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tcPr>
          <w:p w:rsidR="00A44BB7" w:rsidRPr="009A6F69" w:rsidRDefault="00A44BB7" w:rsidP="00D1235B">
            <w:pPr>
              <w:spacing w:after="0" w:line="240" w:lineRule="auto"/>
              <w:rPr>
                <w:rFonts w:eastAsia="Times New Roman" w:cs="Arial"/>
                <w:color w:val="000000"/>
                <w:sz w:val="18"/>
                <w:szCs w:val="18"/>
                <w:lang w:val="en-GB"/>
              </w:rPr>
            </w:pPr>
            <w:r>
              <w:rPr>
                <w:rFonts w:eastAsia="Times New Roman" w:cs="Arial"/>
                <w:color w:val="000000"/>
                <w:sz w:val="18"/>
                <w:szCs w:val="18"/>
                <w:lang w:val="en-GB"/>
              </w:rPr>
              <w:t>Circulation of final report</w:t>
            </w:r>
          </w:p>
        </w:tc>
        <w:tc>
          <w:tcPr>
            <w:tcW w:w="705" w:type="pct"/>
            <w:tcBorders>
              <w:top w:val="nil"/>
              <w:left w:val="nil"/>
              <w:bottom w:val="single" w:sz="4" w:space="0" w:color="auto"/>
              <w:right w:val="single" w:sz="4" w:space="0" w:color="auto"/>
            </w:tcBorders>
            <w:shd w:val="clear" w:color="auto" w:fill="auto"/>
            <w:vAlign w:val="bottom"/>
          </w:tcPr>
          <w:p w:rsidR="00A44BB7" w:rsidRPr="009A6F69" w:rsidRDefault="00A44BB7" w:rsidP="00D1235B">
            <w:pPr>
              <w:spacing w:after="0" w:line="240" w:lineRule="auto"/>
              <w:rPr>
                <w:rFonts w:eastAsia="Times New Roman" w:cs="Arial"/>
                <w:color w:val="000000"/>
                <w:sz w:val="18"/>
                <w:szCs w:val="18"/>
                <w:lang w:val="en-GB"/>
              </w:rPr>
            </w:pPr>
            <w:r>
              <w:rPr>
                <w:rFonts w:eastAsia="Times New Roman" w:cs="Arial"/>
                <w:color w:val="000000"/>
                <w:sz w:val="18"/>
                <w:szCs w:val="18"/>
                <w:lang w:val="en-GB"/>
              </w:rPr>
              <w:t xml:space="preserve">Chair </w:t>
            </w:r>
          </w:p>
        </w:tc>
        <w:tc>
          <w:tcPr>
            <w:tcW w:w="659" w:type="pct"/>
            <w:tcBorders>
              <w:top w:val="nil"/>
              <w:left w:val="nil"/>
              <w:bottom w:val="single" w:sz="4" w:space="0" w:color="auto"/>
              <w:right w:val="single" w:sz="4" w:space="0" w:color="auto"/>
            </w:tcBorders>
            <w:shd w:val="clear" w:color="auto" w:fill="auto"/>
            <w:vAlign w:val="bottom"/>
          </w:tcPr>
          <w:p w:rsidR="00A44BB7" w:rsidRPr="009A6F69" w:rsidRDefault="00A44BB7" w:rsidP="00B125CE">
            <w:pPr>
              <w:spacing w:after="0" w:line="240" w:lineRule="auto"/>
              <w:rPr>
                <w:rFonts w:eastAsia="Times New Roman" w:cs="Arial"/>
                <w:color w:val="000000"/>
                <w:sz w:val="18"/>
                <w:szCs w:val="18"/>
                <w:lang w:val="en-GB"/>
              </w:rPr>
            </w:pPr>
            <w:r>
              <w:rPr>
                <w:rFonts w:eastAsia="Times New Roman" w:cs="Arial"/>
                <w:color w:val="000000"/>
                <w:sz w:val="18"/>
                <w:szCs w:val="18"/>
                <w:lang w:val="en-GB"/>
              </w:rPr>
              <w:t>TWG and P4H</w:t>
            </w:r>
          </w:p>
        </w:tc>
        <w:tc>
          <w:tcPr>
            <w:tcW w:w="1068" w:type="pct"/>
            <w:tcBorders>
              <w:top w:val="nil"/>
              <w:left w:val="nil"/>
              <w:bottom w:val="single" w:sz="4" w:space="0" w:color="auto"/>
              <w:right w:val="single" w:sz="4" w:space="0" w:color="auto"/>
            </w:tcBorders>
            <w:shd w:val="clear" w:color="auto" w:fill="auto"/>
            <w:vAlign w:val="bottom"/>
          </w:tcPr>
          <w:p w:rsidR="00A44BB7" w:rsidRPr="009A6F69" w:rsidRDefault="00A44BB7" w:rsidP="00BD472A">
            <w:pPr>
              <w:spacing w:after="0" w:line="240" w:lineRule="auto"/>
              <w:rPr>
                <w:rFonts w:eastAsia="Times New Roman" w:cs="Arial"/>
                <w:color w:val="000000"/>
                <w:sz w:val="18"/>
                <w:szCs w:val="18"/>
                <w:lang w:val="en-GB"/>
              </w:rPr>
            </w:pPr>
            <w:r>
              <w:rPr>
                <w:rFonts w:eastAsia="Times New Roman" w:cs="Arial"/>
                <w:color w:val="000000"/>
                <w:sz w:val="18"/>
                <w:szCs w:val="18"/>
                <w:lang w:val="en-GB"/>
              </w:rPr>
              <w:t>3</w:t>
            </w:r>
            <w:r w:rsidRPr="00A44BB7">
              <w:rPr>
                <w:rFonts w:eastAsia="Times New Roman" w:cs="Arial"/>
                <w:color w:val="000000"/>
                <w:sz w:val="18"/>
                <w:szCs w:val="18"/>
                <w:vertAlign w:val="superscript"/>
                <w:lang w:val="en-GB"/>
              </w:rPr>
              <w:t>rd</w:t>
            </w:r>
            <w:r>
              <w:rPr>
                <w:rFonts w:eastAsia="Times New Roman" w:cs="Arial"/>
                <w:color w:val="000000"/>
                <w:sz w:val="18"/>
                <w:szCs w:val="18"/>
                <w:lang w:val="en-GB"/>
              </w:rPr>
              <w:t xml:space="preserve"> March </w:t>
            </w:r>
          </w:p>
        </w:tc>
      </w:tr>
      <w:tr w:rsidR="0076101B" w:rsidRPr="009A6F69"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Stakeholder dissemination and discussions</w:t>
            </w:r>
          </w:p>
        </w:tc>
        <w:tc>
          <w:tcPr>
            <w:tcW w:w="705"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D1235B">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Chair and MOH</w:t>
            </w:r>
          </w:p>
        </w:tc>
        <w:tc>
          <w:tcPr>
            <w:tcW w:w="659"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125CE">
            <w:pPr>
              <w:spacing w:after="0" w:line="240" w:lineRule="auto"/>
              <w:rPr>
                <w:rFonts w:eastAsia="Times New Roman" w:cs="Arial"/>
                <w:color w:val="000000"/>
                <w:sz w:val="18"/>
                <w:szCs w:val="18"/>
                <w:lang w:val="en-GB"/>
              </w:rPr>
            </w:pPr>
            <w:r w:rsidRPr="009A6F69">
              <w:rPr>
                <w:rFonts w:eastAsia="Times New Roman" w:cs="Arial"/>
                <w:color w:val="000000"/>
                <w:sz w:val="18"/>
                <w:szCs w:val="18"/>
                <w:lang w:val="en-GB"/>
              </w:rPr>
              <w:t>Health Sector</w:t>
            </w:r>
          </w:p>
        </w:tc>
        <w:tc>
          <w:tcPr>
            <w:tcW w:w="1068" w:type="pct"/>
            <w:tcBorders>
              <w:top w:val="nil"/>
              <w:left w:val="nil"/>
              <w:bottom w:val="single" w:sz="4" w:space="0" w:color="auto"/>
              <w:right w:val="single" w:sz="4" w:space="0" w:color="auto"/>
            </w:tcBorders>
            <w:shd w:val="clear" w:color="auto" w:fill="auto"/>
            <w:vAlign w:val="bottom"/>
            <w:hideMark/>
          </w:tcPr>
          <w:p w:rsidR="0076101B" w:rsidRPr="009A6F69" w:rsidRDefault="0076101B" w:rsidP="00BD472A">
            <w:pPr>
              <w:spacing w:after="0" w:line="240" w:lineRule="auto"/>
              <w:rPr>
                <w:rFonts w:eastAsia="Times New Roman" w:cs="Arial"/>
                <w:color w:val="000000"/>
                <w:sz w:val="18"/>
                <w:szCs w:val="18"/>
                <w:lang w:val="en-GB"/>
              </w:rPr>
            </w:pPr>
          </w:p>
        </w:tc>
      </w:tr>
    </w:tbl>
    <w:p w:rsidR="0076101B" w:rsidRPr="009A6F69" w:rsidRDefault="0076101B" w:rsidP="0076101B">
      <w:pPr>
        <w:rPr>
          <w:lang w:val="en-GB"/>
        </w:rPr>
      </w:pPr>
    </w:p>
    <w:p w:rsidR="0076101B" w:rsidRPr="009A6F69" w:rsidRDefault="0076101B" w:rsidP="00C53E77">
      <w:pPr>
        <w:rPr>
          <w:lang w:val="en-GB"/>
        </w:rPr>
      </w:pPr>
    </w:p>
    <w:p w:rsidR="00616016" w:rsidRPr="009A6F69" w:rsidRDefault="00616016" w:rsidP="00C53E77">
      <w:pPr>
        <w:rPr>
          <w:lang w:val="en-GB"/>
        </w:rPr>
      </w:pPr>
    </w:p>
    <w:sectPr w:rsidR="00616016" w:rsidRPr="009A6F69" w:rsidSect="00CF1D7F">
      <w:footerReference w:type="even" r:id="rId11"/>
      <w:footerReference w:type="default" r:id="rId12"/>
      <w:footerReference w:type="first" r:id="rId13"/>
      <w:footnotePr>
        <w:numFmt w:val="chicago"/>
      </w:footnotePr>
      <w:pgSz w:w="12240" w:h="15840"/>
      <w:pgMar w:top="1440" w:right="1800" w:bottom="1440" w:left="180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6CFE" w:rsidRDefault="003A6CFE" w:rsidP="00CF1D7F">
      <w:r>
        <w:separator/>
      </w:r>
    </w:p>
  </w:endnote>
  <w:endnote w:type="continuationSeparator" w:id="0">
    <w:p w:rsidR="003A6CFE" w:rsidRDefault="003A6CFE" w:rsidP="00CF1D7F">
      <w:r>
        <w:continuationSeparator/>
      </w:r>
    </w:p>
  </w:endnote>
</w:endnotes>
</file>

<file path=word/fontTable.xml><?xml version="1.0" encoding="utf-8"?>
<w:fonts xmlns:r="http://schemas.openxmlformats.org/officeDocument/2006/relationships" xmlns:w="http://schemas.openxmlformats.org/wordprocessingml/2006/main">
  <w:font w:name="Monotype Corsiva">
    <w:panose1 w:val="03010101010201010101"/>
    <w:charset w:val="00"/>
    <w:family w:val="auto"/>
    <w:pitch w:val="variable"/>
    <w:sig w:usb0="00000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ＭＳ ゴシック">
    <w:charset w:val="4E"/>
    <w:family w:val="auto"/>
    <w:pitch w:val="variable"/>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1CD" w:rsidRDefault="001B3B9E" w:rsidP="009645BB">
    <w:pPr>
      <w:pStyle w:val="Footer"/>
      <w:framePr w:wrap="around" w:vAnchor="text" w:hAnchor="margin" w:xAlign="right" w:y="1"/>
      <w:rPr>
        <w:rStyle w:val="PageNumber"/>
      </w:rPr>
    </w:pPr>
    <w:r>
      <w:rPr>
        <w:rStyle w:val="PageNumber"/>
      </w:rPr>
      <w:fldChar w:fldCharType="begin"/>
    </w:r>
    <w:r w:rsidR="000221CD">
      <w:rPr>
        <w:rStyle w:val="PageNumber"/>
      </w:rPr>
      <w:instrText xml:space="preserve">PAGE  </w:instrText>
    </w:r>
    <w:r>
      <w:rPr>
        <w:rStyle w:val="PageNumber"/>
      </w:rPr>
      <w:fldChar w:fldCharType="end"/>
    </w:r>
  </w:p>
  <w:p w:rsidR="000221CD" w:rsidRDefault="000221CD" w:rsidP="00CF1D7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1CD" w:rsidRDefault="001B3B9E" w:rsidP="009645BB">
    <w:pPr>
      <w:pStyle w:val="Footer"/>
      <w:framePr w:wrap="around" w:vAnchor="text" w:hAnchor="margin" w:xAlign="right" w:y="1"/>
      <w:rPr>
        <w:rStyle w:val="PageNumber"/>
      </w:rPr>
    </w:pPr>
    <w:r>
      <w:rPr>
        <w:rStyle w:val="PageNumber"/>
      </w:rPr>
      <w:fldChar w:fldCharType="begin"/>
    </w:r>
    <w:r w:rsidR="000221CD">
      <w:rPr>
        <w:rStyle w:val="PageNumber"/>
      </w:rPr>
      <w:instrText xml:space="preserve">PAGE  </w:instrText>
    </w:r>
    <w:r>
      <w:rPr>
        <w:rStyle w:val="PageNumber"/>
      </w:rPr>
      <w:fldChar w:fldCharType="separate"/>
    </w:r>
    <w:r w:rsidR="005D5728">
      <w:rPr>
        <w:rStyle w:val="PageNumber"/>
        <w:noProof/>
      </w:rPr>
      <w:t>2</w:t>
    </w:r>
    <w:r>
      <w:rPr>
        <w:rStyle w:val="PageNumber"/>
      </w:rPr>
      <w:fldChar w:fldCharType="end"/>
    </w:r>
  </w:p>
  <w:p w:rsidR="000221CD" w:rsidRDefault="000221CD" w:rsidP="00CF1D7F">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1CD" w:rsidRPr="00B019AF" w:rsidRDefault="000221CD">
    <w:pPr>
      <w:pStyle w:val="Footer"/>
      <w:rPr>
        <w:b/>
        <w:color w:val="0D0D0D" w:themeColor="text1" w:themeTint="F2"/>
      </w:rPr>
    </w:pPr>
    <w:r w:rsidRPr="00B019AF">
      <w:rPr>
        <w:b/>
        <w:color w:val="0D0D0D" w:themeColor="text1" w:themeTint="F2"/>
      </w:rPr>
      <w:t xml:space="preserve">Dr. Richard Ayah </w:t>
    </w:r>
    <w:r>
      <w:rPr>
        <w:b/>
        <w:color w:val="0D0D0D" w:themeColor="text1" w:themeTint="F2"/>
      </w:rPr>
      <w:t>February 2014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6CFE" w:rsidRDefault="003A6CFE" w:rsidP="00CF1D7F">
      <w:r>
        <w:separator/>
      </w:r>
    </w:p>
  </w:footnote>
  <w:footnote w:type="continuationSeparator" w:id="0">
    <w:p w:rsidR="003A6CFE" w:rsidRDefault="003A6CFE" w:rsidP="00CF1D7F">
      <w:r>
        <w:continuationSeparator/>
      </w:r>
    </w:p>
  </w:footnote>
  <w:footnote w:id="1">
    <w:p w:rsidR="000221CD" w:rsidRPr="00DE1403" w:rsidRDefault="000221CD" w:rsidP="00AA432B">
      <w:pPr>
        <w:pStyle w:val="FootnoteText"/>
        <w:spacing w:before="0" w:after="0" w:line="240" w:lineRule="auto"/>
        <w:rPr>
          <w:rFonts w:asciiTheme="minorHAnsi" w:hAnsiTheme="minorHAnsi"/>
          <w:sz w:val="20"/>
          <w:lang w:val="en-US"/>
        </w:rPr>
      </w:pPr>
      <w:r w:rsidRPr="00DE1403">
        <w:rPr>
          <w:rStyle w:val="FootnoteReference"/>
          <w:rFonts w:asciiTheme="minorHAnsi" w:hAnsiTheme="minorHAnsi"/>
          <w:sz w:val="20"/>
        </w:rPr>
        <w:footnoteRef/>
      </w:r>
      <w:r w:rsidRPr="00DE1403">
        <w:rPr>
          <w:rFonts w:asciiTheme="minorHAnsi" w:hAnsiTheme="minorHAnsi"/>
          <w:sz w:val="20"/>
        </w:rPr>
        <w:t xml:space="preserve"> </w:t>
      </w:r>
      <w:r w:rsidRPr="00DE1403">
        <w:rPr>
          <w:rFonts w:asciiTheme="minorHAnsi" w:hAnsiTheme="minorHAnsi"/>
          <w:sz w:val="20"/>
          <w:lang w:val="en-US"/>
        </w:rPr>
        <w:t xml:space="preserve">Outpatient care defined by facility level. Therefore the package at level 2 would include those outpatient services that are recommended for a level 2 facility. </w:t>
      </w:r>
    </w:p>
    <w:p w:rsidR="000221CD" w:rsidRPr="00DE1403" w:rsidRDefault="000221CD" w:rsidP="00AA432B">
      <w:pPr>
        <w:pStyle w:val="FootnoteText"/>
        <w:spacing w:before="0" w:after="0" w:line="240" w:lineRule="auto"/>
        <w:rPr>
          <w:rFonts w:asciiTheme="minorHAnsi" w:hAnsiTheme="minorHAnsi"/>
          <w:sz w:val="20"/>
          <w:lang w:val="en-US"/>
        </w:rPr>
      </w:pPr>
    </w:p>
  </w:footnote>
  <w:footnote w:id="2">
    <w:p w:rsidR="000221CD" w:rsidRPr="00DE1403" w:rsidRDefault="000221CD" w:rsidP="00AA432B">
      <w:pPr>
        <w:pStyle w:val="FootnoteText"/>
        <w:spacing w:before="0" w:after="0" w:line="240" w:lineRule="auto"/>
        <w:rPr>
          <w:rFonts w:asciiTheme="minorHAnsi" w:hAnsiTheme="minorHAnsi"/>
          <w:sz w:val="20"/>
          <w:lang w:val="en-US"/>
        </w:rPr>
      </w:pPr>
      <w:r w:rsidRPr="00DE1403">
        <w:rPr>
          <w:rStyle w:val="FootnoteReference"/>
          <w:rFonts w:asciiTheme="minorHAnsi" w:hAnsiTheme="minorHAnsi"/>
          <w:sz w:val="20"/>
        </w:rPr>
        <w:footnoteRef/>
      </w:r>
      <w:r w:rsidRPr="00DE1403">
        <w:rPr>
          <w:rFonts w:asciiTheme="minorHAnsi" w:hAnsiTheme="minorHAnsi"/>
          <w:sz w:val="20"/>
        </w:rPr>
        <w:t xml:space="preserve"> </w:t>
      </w:r>
      <w:r w:rsidRPr="00DE1403">
        <w:rPr>
          <w:rFonts w:asciiTheme="minorHAnsi" w:hAnsiTheme="minorHAnsi"/>
          <w:sz w:val="20"/>
          <w:lang w:val="en-US"/>
        </w:rPr>
        <w:t xml:space="preserve">Inpatient care defined by facility level. Therefore the package at level 4 would include those inpatient services that are recommended for a level 4 facility. </w:t>
      </w:r>
    </w:p>
    <w:p w:rsidR="000221CD" w:rsidRPr="00AA432B" w:rsidRDefault="000221CD">
      <w:pPr>
        <w:pStyle w:val="FootnoteText"/>
        <w:rPr>
          <w:lang w:val="en-US"/>
        </w:rPr>
      </w:pPr>
    </w:p>
  </w:footnote>
  <w:footnote w:id="3">
    <w:p w:rsidR="000221CD" w:rsidRDefault="000221CD" w:rsidP="00C709D6">
      <w:pPr>
        <w:pStyle w:val="FootnoteText"/>
      </w:pPr>
      <w:r>
        <w:rPr>
          <w:rStyle w:val="FootnoteReference"/>
        </w:rPr>
        <w:footnoteRef/>
      </w:r>
      <w:r>
        <w:t xml:space="preserve"> </w:t>
      </w:r>
      <w:r w:rsidRPr="007950F2">
        <w:t>http://www.crakenya.org/information/revenue-allocation-formula/</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B9B6F702"/>
    <w:lvl w:ilvl="0">
      <w:start w:val="1"/>
      <w:numFmt w:val="bullet"/>
      <w:pStyle w:val="ListBullet5"/>
      <w:lvlText w:val="○"/>
      <w:lvlJc w:val="left"/>
      <w:pPr>
        <w:ind w:left="1800" w:hanging="360"/>
      </w:pPr>
      <w:rPr>
        <w:rFonts w:ascii="Monotype Corsiva" w:hAnsi="Monotype Corsiva" w:hint="default"/>
        <w:color w:val="9BBB59" w:themeColor="accent3"/>
      </w:rPr>
    </w:lvl>
  </w:abstractNum>
  <w:abstractNum w:abstractNumId="1">
    <w:nsid w:val="FFFFFF81"/>
    <w:multiLevelType w:val="singleLevel"/>
    <w:tmpl w:val="9A8A1DFA"/>
    <w:lvl w:ilvl="0">
      <w:start w:val="1"/>
      <w:numFmt w:val="bullet"/>
      <w:pStyle w:val="ListBullet4"/>
      <w:lvlText w:val=""/>
      <w:lvlJc w:val="left"/>
      <w:pPr>
        <w:ind w:left="1440" w:hanging="360"/>
      </w:pPr>
      <w:rPr>
        <w:rFonts w:ascii="Symbol" w:hAnsi="Symbol" w:hint="default"/>
        <w:color w:val="9BBB59" w:themeColor="accent3"/>
      </w:rPr>
    </w:lvl>
  </w:abstractNum>
  <w:abstractNum w:abstractNumId="2">
    <w:nsid w:val="FFFFFF82"/>
    <w:multiLevelType w:val="singleLevel"/>
    <w:tmpl w:val="AC6E7B80"/>
    <w:lvl w:ilvl="0">
      <w:start w:val="1"/>
      <w:numFmt w:val="bullet"/>
      <w:pStyle w:val="ListBullet3"/>
      <w:lvlText w:val=""/>
      <w:lvlJc w:val="left"/>
      <w:pPr>
        <w:ind w:left="1080" w:hanging="360"/>
      </w:pPr>
      <w:rPr>
        <w:rFonts w:ascii="Symbol" w:hAnsi="Symbol" w:hint="default"/>
        <w:color w:val="95B3D7" w:themeColor="accent1" w:themeTint="99"/>
      </w:rPr>
    </w:lvl>
  </w:abstractNum>
  <w:abstractNum w:abstractNumId="3">
    <w:nsid w:val="FFFFFF83"/>
    <w:multiLevelType w:val="singleLevel"/>
    <w:tmpl w:val="3EFA84BC"/>
    <w:lvl w:ilvl="0">
      <w:start w:val="1"/>
      <w:numFmt w:val="bullet"/>
      <w:pStyle w:val="ListBullet2"/>
      <w:lvlText w:val=""/>
      <w:lvlJc w:val="left"/>
      <w:pPr>
        <w:ind w:left="720" w:hanging="360"/>
      </w:pPr>
      <w:rPr>
        <w:rFonts w:ascii="Symbol" w:hAnsi="Symbol" w:hint="default"/>
        <w:color w:val="4F81BD" w:themeColor="accent1"/>
      </w:rPr>
    </w:lvl>
  </w:abstractNum>
  <w:abstractNum w:abstractNumId="4">
    <w:nsid w:val="FFFFFF89"/>
    <w:multiLevelType w:val="singleLevel"/>
    <w:tmpl w:val="7E249CE2"/>
    <w:lvl w:ilvl="0">
      <w:start w:val="1"/>
      <w:numFmt w:val="bullet"/>
      <w:pStyle w:val="ListBullet"/>
      <w:lvlText w:val=""/>
      <w:lvlJc w:val="left"/>
      <w:pPr>
        <w:ind w:left="360" w:hanging="360"/>
      </w:pPr>
      <w:rPr>
        <w:rFonts w:ascii="Symbol" w:hAnsi="Symbol" w:hint="default"/>
        <w:color w:val="365F91" w:themeColor="accent1" w:themeShade="BF"/>
      </w:rPr>
    </w:lvl>
  </w:abstractNum>
  <w:abstractNum w:abstractNumId="5">
    <w:nsid w:val="06372DEE"/>
    <w:multiLevelType w:val="hybridMultilevel"/>
    <w:tmpl w:val="985C6E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28723A2"/>
    <w:multiLevelType w:val="hybridMultilevel"/>
    <w:tmpl w:val="FD10E9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4612812"/>
    <w:multiLevelType w:val="hybridMultilevel"/>
    <w:tmpl w:val="F74EF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9C72FF"/>
    <w:multiLevelType w:val="hybridMultilevel"/>
    <w:tmpl w:val="8B220D1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6F85AC0"/>
    <w:multiLevelType w:val="hybridMultilevel"/>
    <w:tmpl w:val="6A384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D2B0725"/>
    <w:multiLevelType w:val="hybridMultilevel"/>
    <w:tmpl w:val="A072C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662D1775"/>
    <w:multiLevelType w:val="hybridMultilevel"/>
    <w:tmpl w:val="4E08E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6953031"/>
    <w:multiLevelType w:val="hybridMultilevel"/>
    <w:tmpl w:val="F026A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DBE39A8"/>
    <w:multiLevelType w:val="hybridMultilevel"/>
    <w:tmpl w:val="44666B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9"/>
  </w:num>
  <w:num w:numId="3">
    <w:abstractNumId w:val="5"/>
  </w:num>
  <w:num w:numId="4">
    <w:abstractNumId w:val="10"/>
  </w:num>
  <w:num w:numId="5">
    <w:abstractNumId w:val="13"/>
  </w:num>
  <w:num w:numId="6">
    <w:abstractNumId w:val="12"/>
  </w:num>
  <w:num w:numId="7">
    <w:abstractNumId w:val="4"/>
  </w:num>
  <w:num w:numId="8">
    <w:abstractNumId w:val="3"/>
  </w:num>
  <w:num w:numId="9">
    <w:abstractNumId w:val="2"/>
  </w:num>
  <w:num w:numId="10">
    <w:abstractNumId w:val="1"/>
  </w:num>
  <w:num w:numId="11">
    <w:abstractNumId w:val="0"/>
  </w:num>
  <w:num w:numId="12">
    <w:abstractNumId w:val="7"/>
  </w:num>
  <w:num w:numId="13">
    <w:abstractNumId w:val="11"/>
  </w:num>
  <w:num w:numId="14">
    <w:abstractNumId w:val="6"/>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defaultTabStop w:val="720"/>
  <w:characterSpacingControl w:val="doNotCompress"/>
  <w:hdrShapeDefaults>
    <o:shapedefaults v:ext="edit" spidmax="5122"/>
  </w:hdrShapeDefaults>
  <w:footnotePr>
    <w:numFmt w:val="chicago"/>
    <w:footnote w:id="-1"/>
    <w:footnote w:id="0"/>
  </w:footnotePr>
  <w:endnotePr>
    <w:endnote w:id="-1"/>
    <w:endnote w:id="0"/>
  </w:endnotePr>
  <w:compat>
    <w:useFELayout/>
  </w:compat>
  <w:rsids>
    <w:rsidRoot w:val="00C53E77"/>
    <w:rsid w:val="00001558"/>
    <w:rsid w:val="000055F5"/>
    <w:rsid w:val="00005981"/>
    <w:rsid w:val="00005CA5"/>
    <w:rsid w:val="0000633C"/>
    <w:rsid w:val="0000656A"/>
    <w:rsid w:val="000103ED"/>
    <w:rsid w:val="000126C5"/>
    <w:rsid w:val="00012A56"/>
    <w:rsid w:val="00013BA6"/>
    <w:rsid w:val="000142E7"/>
    <w:rsid w:val="00016482"/>
    <w:rsid w:val="000221CD"/>
    <w:rsid w:val="0002248D"/>
    <w:rsid w:val="00024B57"/>
    <w:rsid w:val="00030437"/>
    <w:rsid w:val="000313C0"/>
    <w:rsid w:val="000343A7"/>
    <w:rsid w:val="000347C0"/>
    <w:rsid w:val="00036717"/>
    <w:rsid w:val="000419EA"/>
    <w:rsid w:val="00042A32"/>
    <w:rsid w:val="000430D7"/>
    <w:rsid w:val="00043F3B"/>
    <w:rsid w:val="00044058"/>
    <w:rsid w:val="000457D5"/>
    <w:rsid w:val="00045EC2"/>
    <w:rsid w:val="0004777E"/>
    <w:rsid w:val="00051324"/>
    <w:rsid w:val="000517C5"/>
    <w:rsid w:val="00053FC0"/>
    <w:rsid w:val="000549F9"/>
    <w:rsid w:val="00054C8A"/>
    <w:rsid w:val="0005521E"/>
    <w:rsid w:val="00055D4F"/>
    <w:rsid w:val="00056C80"/>
    <w:rsid w:val="00057801"/>
    <w:rsid w:val="00061D8D"/>
    <w:rsid w:val="00063E80"/>
    <w:rsid w:val="00065CE7"/>
    <w:rsid w:val="00065E5A"/>
    <w:rsid w:val="000675E6"/>
    <w:rsid w:val="00067AA1"/>
    <w:rsid w:val="0007030C"/>
    <w:rsid w:val="00071291"/>
    <w:rsid w:val="00073D59"/>
    <w:rsid w:val="0007685D"/>
    <w:rsid w:val="00076F0D"/>
    <w:rsid w:val="00081034"/>
    <w:rsid w:val="00083B3D"/>
    <w:rsid w:val="000850B7"/>
    <w:rsid w:val="00087AB6"/>
    <w:rsid w:val="000918D2"/>
    <w:rsid w:val="00091D16"/>
    <w:rsid w:val="0009342E"/>
    <w:rsid w:val="00097C49"/>
    <w:rsid w:val="00097E62"/>
    <w:rsid w:val="000A19EE"/>
    <w:rsid w:val="000A2610"/>
    <w:rsid w:val="000A442E"/>
    <w:rsid w:val="000A4B27"/>
    <w:rsid w:val="000B3EBB"/>
    <w:rsid w:val="000B3F85"/>
    <w:rsid w:val="000B6740"/>
    <w:rsid w:val="000B697B"/>
    <w:rsid w:val="000C07CF"/>
    <w:rsid w:val="000C2741"/>
    <w:rsid w:val="000C3F37"/>
    <w:rsid w:val="000C5001"/>
    <w:rsid w:val="000D20B3"/>
    <w:rsid w:val="000D30D6"/>
    <w:rsid w:val="000D5626"/>
    <w:rsid w:val="000D5BCE"/>
    <w:rsid w:val="000D60A5"/>
    <w:rsid w:val="000D75EC"/>
    <w:rsid w:val="000E0BDB"/>
    <w:rsid w:val="000E2956"/>
    <w:rsid w:val="000E2D72"/>
    <w:rsid w:val="000E4833"/>
    <w:rsid w:val="000E4D00"/>
    <w:rsid w:val="000E785F"/>
    <w:rsid w:val="000F091E"/>
    <w:rsid w:val="000F1010"/>
    <w:rsid w:val="000F2487"/>
    <w:rsid w:val="000F2FA0"/>
    <w:rsid w:val="000F4142"/>
    <w:rsid w:val="000F7CCA"/>
    <w:rsid w:val="00101324"/>
    <w:rsid w:val="00106B03"/>
    <w:rsid w:val="00107159"/>
    <w:rsid w:val="001076B6"/>
    <w:rsid w:val="00110B2F"/>
    <w:rsid w:val="00111231"/>
    <w:rsid w:val="0011207E"/>
    <w:rsid w:val="001136C7"/>
    <w:rsid w:val="00116754"/>
    <w:rsid w:val="0011678F"/>
    <w:rsid w:val="00116F3B"/>
    <w:rsid w:val="001172C6"/>
    <w:rsid w:val="00121F14"/>
    <w:rsid w:val="00121F1B"/>
    <w:rsid w:val="00122EFC"/>
    <w:rsid w:val="00123ABD"/>
    <w:rsid w:val="00124D07"/>
    <w:rsid w:val="001267DA"/>
    <w:rsid w:val="0013076B"/>
    <w:rsid w:val="001325F1"/>
    <w:rsid w:val="0013717C"/>
    <w:rsid w:val="001406D5"/>
    <w:rsid w:val="00142935"/>
    <w:rsid w:val="001438E3"/>
    <w:rsid w:val="00145587"/>
    <w:rsid w:val="001458E8"/>
    <w:rsid w:val="001464F3"/>
    <w:rsid w:val="00146989"/>
    <w:rsid w:val="00146D64"/>
    <w:rsid w:val="001476B0"/>
    <w:rsid w:val="00147913"/>
    <w:rsid w:val="001524B2"/>
    <w:rsid w:val="00152988"/>
    <w:rsid w:val="001531F2"/>
    <w:rsid w:val="001542D1"/>
    <w:rsid w:val="001569FA"/>
    <w:rsid w:val="00156C90"/>
    <w:rsid w:val="001609CB"/>
    <w:rsid w:val="00160FB1"/>
    <w:rsid w:val="001610B7"/>
    <w:rsid w:val="00161806"/>
    <w:rsid w:val="00161F1B"/>
    <w:rsid w:val="00165D37"/>
    <w:rsid w:val="00165E13"/>
    <w:rsid w:val="00170369"/>
    <w:rsid w:val="00170F2B"/>
    <w:rsid w:val="001727EF"/>
    <w:rsid w:val="001730C6"/>
    <w:rsid w:val="0017330A"/>
    <w:rsid w:val="001747C3"/>
    <w:rsid w:val="001750FD"/>
    <w:rsid w:val="001751A0"/>
    <w:rsid w:val="00175377"/>
    <w:rsid w:val="00175CA3"/>
    <w:rsid w:val="001769A4"/>
    <w:rsid w:val="00181ECC"/>
    <w:rsid w:val="00182A98"/>
    <w:rsid w:val="0018425A"/>
    <w:rsid w:val="001843B7"/>
    <w:rsid w:val="001849AA"/>
    <w:rsid w:val="00187719"/>
    <w:rsid w:val="001921CE"/>
    <w:rsid w:val="00192B81"/>
    <w:rsid w:val="00196B82"/>
    <w:rsid w:val="00196F07"/>
    <w:rsid w:val="001973B8"/>
    <w:rsid w:val="001A001F"/>
    <w:rsid w:val="001A16D3"/>
    <w:rsid w:val="001A1731"/>
    <w:rsid w:val="001A19F2"/>
    <w:rsid w:val="001A49E1"/>
    <w:rsid w:val="001A5655"/>
    <w:rsid w:val="001A5984"/>
    <w:rsid w:val="001B120D"/>
    <w:rsid w:val="001B329F"/>
    <w:rsid w:val="001B3B9E"/>
    <w:rsid w:val="001B590D"/>
    <w:rsid w:val="001B5A07"/>
    <w:rsid w:val="001C399B"/>
    <w:rsid w:val="001C404E"/>
    <w:rsid w:val="001C5293"/>
    <w:rsid w:val="001D223F"/>
    <w:rsid w:val="001D4224"/>
    <w:rsid w:val="001D4938"/>
    <w:rsid w:val="001D4EB9"/>
    <w:rsid w:val="001D5CCD"/>
    <w:rsid w:val="001D62E2"/>
    <w:rsid w:val="001D696F"/>
    <w:rsid w:val="001D730E"/>
    <w:rsid w:val="001E668F"/>
    <w:rsid w:val="001E67D7"/>
    <w:rsid w:val="001F2090"/>
    <w:rsid w:val="001F627A"/>
    <w:rsid w:val="001F6998"/>
    <w:rsid w:val="00200DD8"/>
    <w:rsid w:val="00202C6E"/>
    <w:rsid w:val="002031E6"/>
    <w:rsid w:val="0020434A"/>
    <w:rsid w:val="00213ED5"/>
    <w:rsid w:val="00214852"/>
    <w:rsid w:val="002155B9"/>
    <w:rsid w:val="00216E41"/>
    <w:rsid w:val="00217639"/>
    <w:rsid w:val="0021781A"/>
    <w:rsid w:val="0022144F"/>
    <w:rsid w:val="002234C4"/>
    <w:rsid w:val="00223CDF"/>
    <w:rsid w:val="0022655A"/>
    <w:rsid w:val="00227CD3"/>
    <w:rsid w:val="00227CF5"/>
    <w:rsid w:val="00231C88"/>
    <w:rsid w:val="002323A2"/>
    <w:rsid w:val="002339EB"/>
    <w:rsid w:val="00236BE0"/>
    <w:rsid w:val="00237349"/>
    <w:rsid w:val="00241118"/>
    <w:rsid w:val="002418B0"/>
    <w:rsid w:val="0024268E"/>
    <w:rsid w:val="00242CD0"/>
    <w:rsid w:val="002505AF"/>
    <w:rsid w:val="0025244E"/>
    <w:rsid w:val="00254D8A"/>
    <w:rsid w:val="002560C7"/>
    <w:rsid w:val="00260E98"/>
    <w:rsid w:val="00261C17"/>
    <w:rsid w:val="00264E42"/>
    <w:rsid w:val="00267399"/>
    <w:rsid w:val="002673C6"/>
    <w:rsid w:val="0026794E"/>
    <w:rsid w:val="002744AE"/>
    <w:rsid w:val="00274704"/>
    <w:rsid w:val="0027507C"/>
    <w:rsid w:val="00275351"/>
    <w:rsid w:val="00275B80"/>
    <w:rsid w:val="002765E4"/>
    <w:rsid w:val="0028108D"/>
    <w:rsid w:val="00281561"/>
    <w:rsid w:val="0029105D"/>
    <w:rsid w:val="0029261E"/>
    <w:rsid w:val="0029286B"/>
    <w:rsid w:val="00292BFF"/>
    <w:rsid w:val="0029411A"/>
    <w:rsid w:val="00294776"/>
    <w:rsid w:val="00296833"/>
    <w:rsid w:val="00296B30"/>
    <w:rsid w:val="002A01BC"/>
    <w:rsid w:val="002A02F6"/>
    <w:rsid w:val="002A0BC3"/>
    <w:rsid w:val="002A3773"/>
    <w:rsid w:val="002A6A4E"/>
    <w:rsid w:val="002A71C6"/>
    <w:rsid w:val="002B08E6"/>
    <w:rsid w:val="002B3656"/>
    <w:rsid w:val="002B3825"/>
    <w:rsid w:val="002B3DF4"/>
    <w:rsid w:val="002B4B79"/>
    <w:rsid w:val="002B57C1"/>
    <w:rsid w:val="002B606D"/>
    <w:rsid w:val="002B66A9"/>
    <w:rsid w:val="002C01F9"/>
    <w:rsid w:val="002C0C5A"/>
    <w:rsid w:val="002C32FD"/>
    <w:rsid w:val="002C455A"/>
    <w:rsid w:val="002C4A13"/>
    <w:rsid w:val="002C6F47"/>
    <w:rsid w:val="002C754F"/>
    <w:rsid w:val="002D7376"/>
    <w:rsid w:val="002E163A"/>
    <w:rsid w:val="002E1D09"/>
    <w:rsid w:val="002E22FA"/>
    <w:rsid w:val="002E378A"/>
    <w:rsid w:val="002E41C9"/>
    <w:rsid w:val="002E53FB"/>
    <w:rsid w:val="002F1BA8"/>
    <w:rsid w:val="002F2C0B"/>
    <w:rsid w:val="002F2D3A"/>
    <w:rsid w:val="002F536D"/>
    <w:rsid w:val="002F720B"/>
    <w:rsid w:val="003036BA"/>
    <w:rsid w:val="00307E92"/>
    <w:rsid w:val="003133FB"/>
    <w:rsid w:val="00314485"/>
    <w:rsid w:val="00314977"/>
    <w:rsid w:val="003158F1"/>
    <w:rsid w:val="00320B5E"/>
    <w:rsid w:val="003241DD"/>
    <w:rsid w:val="0032437D"/>
    <w:rsid w:val="003271DE"/>
    <w:rsid w:val="00327A83"/>
    <w:rsid w:val="00331732"/>
    <w:rsid w:val="00331F80"/>
    <w:rsid w:val="00332CC1"/>
    <w:rsid w:val="00335E83"/>
    <w:rsid w:val="00337847"/>
    <w:rsid w:val="00337D03"/>
    <w:rsid w:val="00340346"/>
    <w:rsid w:val="00340FCE"/>
    <w:rsid w:val="00341DC8"/>
    <w:rsid w:val="00343ACD"/>
    <w:rsid w:val="00344138"/>
    <w:rsid w:val="00345160"/>
    <w:rsid w:val="003452E4"/>
    <w:rsid w:val="00346E94"/>
    <w:rsid w:val="00352E0A"/>
    <w:rsid w:val="003533F2"/>
    <w:rsid w:val="00354EA5"/>
    <w:rsid w:val="00355086"/>
    <w:rsid w:val="00357BC9"/>
    <w:rsid w:val="00370660"/>
    <w:rsid w:val="0037080C"/>
    <w:rsid w:val="003712E9"/>
    <w:rsid w:val="003722AD"/>
    <w:rsid w:val="00380E43"/>
    <w:rsid w:val="0038451C"/>
    <w:rsid w:val="00384F9C"/>
    <w:rsid w:val="003865E0"/>
    <w:rsid w:val="003911D6"/>
    <w:rsid w:val="003914F2"/>
    <w:rsid w:val="00391F29"/>
    <w:rsid w:val="003920D9"/>
    <w:rsid w:val="00394FA7"/>
    <w:rsid w:val="00395BE4"/>
    <w:rsid w:val="003964DF"/>
    <w:rsid w:val="0039757B"/>
    <w:rsid w:val="00397E25"/>
    <w:rsid w:val="003A2E07"/>
    <w:rsid w:val="003A3093"/>
    <w:rsid w:val="003A3328"/>
    <w:rsid w:val="003A5CD1"/>
    <w:rsid w:val="003A6CFE"/>
    <w:rsid w:val="003B392A"/>
    <w:rsid w:val="003B3C30"/>
    <w:rsid w:val="003B4DE2"/>
    <w:rsid w:val="003B75D9"/>
    <w:rsid w:val="003C35E2"/>
    <w:rsid w:val="003C5AFF"/>
    <w:rsid w:val="003C64F9"/>
    <w:rsid w:val="003C793E"/>
    <w:rsid w:val="003D1444"/>
    <w:rsid w:val="003D219E"/>
    <w:rsid w:val="003D2A35"/>
    <w:rsid w:val="003D31C0"/>
    <w:rsid w:val="003D3EAB"/>
    <w:rsid w:val="003D647F"/>
    <w:rsid w:val="003E2F13"/>
    <w:rsid w:val="003E42F7"/>
    <w:rsid w:val="003E5093"/>
    <w:rsid w:val="003E54E4"/>
    <w:rsid w:val="003E6E17"/>
    <w:rsid w:val="003E7B10"/>
    <w:rsid w:val="003F28D8"/>
    <w:rsid w:val="003F33F3"/>
    <w:rsid w:val="003F5C1D"/>
    <w:rsid w:val="003F6200"/>
    <w:rsid w:val="003F69A3"/>
    <w:rsid w:val="004004A9"/>
    <w:rsid w:val="00401925"/>
    <w:rsid w:val="00402562"/>
    <w:rsid w:val="00405FDF"/>
    <w:rsid w:val="00406FC7"/>
    <w:rsid w:val="00411C7D"/>
    <w:rsid w:val="0041528A"/>
    <w:rsid w:val="004172A0"/>
    <w:rsid w:val="00417C6F"/>
    <w:rsid w:val="004215BA"/>
    <w:rsid w:val="00422125"/>
    <w:rsid w:val="00424192"/>
    <w:rsid w:val="00424AF9"/>
    <w:rsid w:val="00424C30"/>
    <w:rsid w:val="00426AE3"/>
    <w:rsid w:val="004314B0"/>
    <w:rsid w:val="00431E6F"/>
    <w:rsid w:val="00433096"/>
    <w:rsid w:val="0043400E"/>
    <w:rsid w:val="004343E0"/>
    <w:rsid w:val="0043486B"/>
    <w:rsid w:val="00434FF2"/>
    <w:rsid w:val="0043643F"/>
    <w:rsid w:val="00437358"/>
    <w:rsid w:val="00437B15"/>
    <w:rsid w:val="00440449"/>
    <w:rsid w:val="00442024"/>
    <w:rsid w:val="00442872"/>
    <w:rsid w:val="00445ABB"/>
    <w:rsid w:val="00446545"/>
    <w:rsid w:val="00450414"/>
    <w:rsid w:val="00450D79"/>
    <w:rsid w:val="00451409"/>
    <w:rsid w:val="00451F5D"/>
    <w:rsid w:val="00452043"/>
    <w:rsid w:val="00452254"/>
    <w:rsid w:val="00452869"/>
    <w:rsid w:val="00453AAF"/>
    <w:rsid w:val="00456D1C"/>
    <w:rsid w:val="004601B9"/>
    <w:rsid w:val="00460C8D"/>
    <w:rsid w:val="004611BB"/>
    <w:rsid w:val="004613DD"/>
    <w:rsid w:val="0046231A"/>
    <w:rsid w:val="00462F7D"/>
    <w:rsid w:val="00463E15"/>
    <w:rsid w:val="00463E55"/>
    <w:rsid w:val="00464954"/>
    <w:rsid w:val="00466A5B"/>
    <w:rsid w:val="00466E84"/>
    <w:rsid w:val="00470793"/>
    <w:rsid w:val="004708B6"/>
    <w:rsid w:val="00471F0F"/>
    <w:rsid w:val="00473EA8"/>
    <w:rsid w:val="0047453F"/>
    <w:rsid w:val="00475C95"/>
    <w:rsid w:val="00475D85"/>
    <w:rsid w:val="00480BB6"/>
    <w:rsid w:val="00483D22"/>
    <w:rsid w:val="00484F80"/>
    <w:rsid w:val="0048697B"/>
    <w:rsid w:val="0048778F"/>
    <w:rsid w:val="00490355"/>
    <w:rsid w:val="0049188B"/>
    <w:rsid w:val="004960B3"/>
    <w:rsid w:val="00497083"/>
    <w:rsid w:val="00497B40"/>
    <w:rsid w:val="004A054F"/>
    <w:rsid w:val="004A2D2D"/>
    <w:rsid w:val="004A63D4"/>
    <w:rsid w:val="004B169C"/>
    <w:rsid w:val="004B299A"/>
    <w:rsid w:val="004B2F13"/>
    <w:rsid w:val="004B36E0"/>
    <w:rsid w:val="004B42B8"/>
    <w:rsid w:val="004B44C1"/>
    <w:rsid w:val="004B4B93"/>
    <w:rsid w:val="004C028E"/>
    <w:rsid w:val="004C145B"/>
    <w:rsid w:val="004C1B39"/>
    <w:rsid w:val="004C3F4F"/>
    <w:rsid w:val="004C4715"/>
    <w:rsid w:val="004C4846"/>
    <w:rsid w:val="004C5098"/>
    <w:rsid w:val="004C5163"/>
    <w:rsid w:val="004C5990"/>
    <w:rsid w:val="004C6CF3"/>
    <w:rsid w:val="004D024F"/>
    <w:rsid w:val="004D21CF"/>
    <w:rsid w:val="004D290E"/>
    <w:rsid w:val="004D3E0D"/>
    <w:rsid w:val="004D590A"/>
    <w:rsid w:val="004D65D2"/>
    <w:rsid w:val="004D7F79"/>
    <w:rsid w:val="004E251F"/>
    <w:rsid w:val="004E29A7"/>
    <w:rsid w:val="004F0648"/>
    <w:rsid w:val="004F1B13"/>
    <w:rsid w:val="004F2D1F"/>
    <w:rsid w:val="004F3654"/>
    <w:rsid w:val="004F4010"/>
    <w:rsid w:val="004F412A"/>
    <w:rsid w:val="00501B04"/>
    <w:rsid w:val="00503435"/>
    <w:rsid w:val="00503931"/>
    <w:rsid w:val="00505493"/>
    <w:rsid w:val="00507581"/>
    <w:rsid w:val="005119C4"/>
    <w:rsid w:val="00512100"/>
    <w:rsid w:val="005126EB"/>
    <w:rsid w:val="00512868"/>
    <w:rsid w:val="00512DB3"/>
    <w:rsid w:val="0051409C"/>
    <w:rsid w:val="005179E7"/>
    <w:rsid w:val="0052171A"/>
    <w:rsid w:val="00522292"/>
    <w:rsid w:val="00532437"/>
    <w:rsid w:val="00532DF8"/>
    <w:rsid w:val="00532F2C"/>
    <w:rsid w:val="0053431C"/>
    <w:rsid w:val="00537675"/>
    <w:rsid w:val="00541D9C"/>
    <w:rsid w:val="00542084"/>
    <w:rsid w:val="005427FD"/>
    <w:rsid w:val="00542AA0"/>
    <w:rsid w:val="0054501E"/>
    <w:rsid w:val="0054643A"/>
    <w:rsid w:val="0054788F"/>
    <w:rsid w:val="00547D1E"/>
    <w:rsid w:val="00551B7F"/>
    <w:rsid w:val="00553EBB"/>
    <w:rsid w:val="005552C9"/>
    <w:rsid w:val="005612E1"/>
    <w:rsid w:val="00564A16"/>
    <w:rsid w:val="00570FA5"/>
    <w:rsid w:val="0057206C"/>
    <w:rsid w:val="005726BE"/>
    <w:rsid w:val="005728A3"/>
    <w:rsid w:val="0057307E"/>
    <w:rsid w:val="00573C47"/>
    <w:rsid w:val="0057413C"/>
    <w:rsid w:val="00574E44"/>
    <w:rsid w:val="00574FD6"/>
    <w:rsid w:val="00575CFC"/>
    <w:rsid w:val="0058035A"/>
    <w:rsid w:val="00583162"/>
    <w:rsid w:val="00583DBA"/>
    <w:rsid w:val="005848B0"/>
    <w:rsid w:val="00587452"/>
    <w:rsid w:val="00592BAA"/>
    <w:rsid w:val="00592CCC"/>
    <w:rsid w:val="005934FA"/>
    <w:rsid w:val="0059538C"/>
    <w:rsid w:val="005A0662"/>
    <w:rsid w:val="005A6279"/>
    <w:rsid w:val="005A6956"/>
    <w:rsid w:val="005A72E7"/>
    <w:rsid w:val="005B03E1"/>
    <w:rsid w:val="005B0B15"/>
    <w:rsid w:val="005B11C9"/>
    <w:rsid w:val="005B1ADE"/>
    <w:rsid w:val="005B1E6C"/>
    <w:rsid w:val="005B279A"/>
    <w:rsid w:val="005B2AA4"/>
    <w:rsid w:val="005B6DB4"/>
    <w:rsid w:val="005B78A8"/>
    <w:rsid w:val="005C209F"/>
    <w:rsid w:val="005C32B2"/>
    <w:rsid w:val="005D0630"/>
    <w:rsid w:val="005D0A80"/>
    <w:rsid w:val="005D1216"/>
    <w:rsid w:val="005D1856"/>
    <w:rsid w:val="005D24E0"/>
    <w:rsid w:val="005D33A5"/>
    <w:rsid w:val="005D5728"/>
    <w:rsid w:val="005D7D83"/>
    <w:rsid w:val="005E38C1"/>
    <w:rsid w:val="005E4021"/>
    <w:rsid w:val="005E68D0"/>
    <w:rsid w:val="005F0915"/>
    <w:rsid w:val="005F345A"/>
    <w:rsid w:val="005F3E7A"/>
    <w:rsid w:val="005F452A"/>
    <w:rsid w:val="0060194F"/>
    <w:rsid w:val="00603991"/>
    <w:rsid w:val="0061012D"/>
    <w:rsid w:val="00612E4B"/>
    <w:rsid w:val="00612EF0"/>
    <w:rsid w:val="006133C8"/>
    <w:rsid w:val="006135B5"/>
    <w:rsid w:val="00616016"/>
    <w:rsid w:val="00616EC1"/>
    <w:rsid w:val="00620041"/>
    <w:rsid w:val="00620518"/>
    <w:rsid w:val="006238C4"/>
    <w:rsid w:val="00624768"/>
    <w:rsid w:val="00624B83"/>
    <w:rsid w:val="00624C08"/>
    <w:rsid w:val="00624D39"/>
    <w:rsid w:val="00625C55"/>
    <w:rsid w:val="0062687A"/>
    <w:rsid w:val="00631376"/>
    <w:rsid w:val="00635460"/>
    <w:rsid w:val="006357E1"/>
    <w:rsid w:val="00635A0D"/>
    <w:rsid w:val="006373FB"/>
    <w:rsid w:val="00643120"/>
    <w:rsid w:val="00643EC6"/>
    <w:rsid w:val="0064588B"/>
    <w:rsid w:val="0064796D"/>
    <w:rsid w:val="00651751"/>
    <w:rsid w:val="006522C2"/>
    <w:rsid w:val="0065650F"/>
    <w:rsid w:val="0065739F"/>
    <w:rsid w:val="00660EB2"/>
    <w:rsid w:val="006620BE"/>
    <w:rsid w:val="0066282D"/>
    <w:rsid w:val="00665B97"/>
    <w:rsid w:val="00665C45"/>
    <w:rsid w:val="006720C3"/>
    <w:rsid w:val="00673A65"/>
    <w:rsid w:val="006765B8"/>
    <w:rsid w:val="00676A1D"/>
    <w:rsid w:val="00680D7B"/>
    <w:rsid w:val="006826DF"/>
    <w:rsid w:val="00683107"/>
    <w:rsid w:val="006831FB"/>
    <w:rsid w:val="00683B04"/>
    <w:rsid w:val="00690470"/>
    <w:rsid w:val="00693CEC"/>
    <w:rsid w:val="00696309"/>
    <w:rsid w:val="00696CA7"/>
    <w:rsid w:val="00697A63"/>
    <w:rsid w:val="006A1CD9"/>
    <w:rsid w:val="006A249D"/>
    <w:rsid w:val="006A35A7"/>
    <w:rsid w:val="006A3681"/>
    <w:rsid w:val="006A3917"/>
    <w:rsid w:val="006A499A"/>
    <w:rsid w:val="006A52E0"/>
    <w:rsid w:val="006A569A"/>
    <w:rsid w:val="006A7403"/>
    <w:rsid w:val="006A7698"/>
    <w:rsid w:val="006B2C35"/>
    <w:rsid w:val="006B2EA5"/>
    <w:rsid w:val="006B3BB3"/>
    <w:rsid w:val="006B4255"/>
    <w:rsid w:val="006B469A"/>
    <w:rsid w:val="006B5F55"/>
    <w:rsid w:val="006B6ED4"/>
    <w:rsid w:val="006C05A1"/>
    <w:rsid w:val="006C2966"/>
    <w:rsid w:val="006C52F7"/>
    <w:rsid w:val="006C5EE6"/>
    <w:rsid w:val="006C76DB"/>
    <w:rsid w:val="006D5767"/>
    <w:rsid w:val="006D6D55"/>
    <w:rsid w:val="006E2AAC"/>
    <w:rsid w:val="006E45BA"/>
    <w:rsid w:val="006E657E"/>
    <w:rsid w:val="006E7D84"/>
    <w:rsid w:val="006F0B16"/>
    <w:rsid w:val="006F14FB"/>
    <w:rsid w:val="006F40B9"/>
    <w:rsid w:val="006F4DD6"/>
    <w:rsid w:val="006F5E40"/>
    <w:rsid w:val="007010F5"/>
    <w:rsid w:val="00704BF9"/>
    <w:rsid w:val="00704D9B"/>
    <w:rsid w:val="00706FE8"/>
    <w:rsid w:val="00712734"/>
    <w:rsid w:val="0071394E"/>
    <w:rsid w:val="00714283"/>
    <w:rsid w:val="00714D22"/>
    <w:rsid w:val="00715678"/>
    <w:rsid w:val="0072012B"/>
    <w:rsid w:val="0072020D"/>
    <w:rsid w:val="00720B17"/>
    <w:rsid w:val="007230AD"/>
    <w:rsid w:val="00723186"/>
    <w:rsid w:val="007231E6"/>
    <w:rsid w:val="0072332A"/>
    <w:rsid w:val="007234D5"/>
    <w:rsid w:val="007248B6"/>
    <w:rsid w:val="00724F49"/>
    <w:rsid w:val="00726115"/>
    <w:rsid w:val="00730464"/>
    <w:rsid w:val="00731706"/>
    <w:rsid w:val="0073371E"/>
    <w:rsid w:val="00735308"/>
    <w:rsid w:val="00735C5A"/>
    <w:rsid w:val="0074355C"/>
    <w:rsid w:val="00744427"/>
    <w:rsid w:val="00745D85"/>
    <w:rsid w:val="00747268"/>
    <w:rsid w:val="0075132D"/>
    <w:rsid w:val="00751639"/>
    <w:rsid w:val="00751D5F"/>
    <w:rsid w:val="00752BA3"/>
    <w:rsid w:val="00752D04"/>
    <w:rsid w:val="00752F95"/>
    <w:rsid w:val="00752F9B"/>
    <w:rsid w:val="00760025"/>
    <w:rsid w:val="007603C4"/>
    <w:rsid w:val="0076101B"/>
    <w:rsid w:val="0076201B"/>
    <w:rsid w:val="007712EA"/>
    <w:rsid w:val="0077163F"/>
    <w:rsid w:val="00772DBB"/>
    <w:rsid w:val="00772FE2"/>
    <w:rsid w:val="00774644"/>
    <w:rsid w:val="00775A7C"/>
    <w:rsid w:val="00777751"/>
    <w:rsid w:val="0077781E"/>
    <w:rsid w:val="00780E99"/>
    <w:rsid w:val="0078119C"/>
    <w:rsid w:val="007829F0"/>
    <w:rsid w:val="007842BA"/>
    <w:rsid w:val="007868DD"/>
    <w:rsid w:val="00786FB5"/>
    <w:rsid w:val="00792A76"/>
    <w:rsid w:val="00792F33"/>
    <w:rsid w:val="0079423E"/>
    <w:rsid w:val="00794388"/>
    <w:rsid w:val="00797643"/>
    <w:rsid w:val="007A0694"/>
    <w:rsid w:val="007A08D5"/>
    <w:rsid w:val="007A1097"/>
    <w:rsid w:val="007A186E"/>
    <w:rsid w:val="007A251D"/>
    <w:rsid w:val="007A3867"/>
    <w:rsid w:val="007A5704"/>
    <w:rsid w:val="007A6236"/>
    <w:rsid w:val="007A7C98"/>
    <w:rsid w:val="007A7E7E"/>
    <w:rsid w:val="007B1404"/>
    <w:rsid w:val="007B2B88"/>
    <w:rsid w:val="007B5CCC"/>
    <w:rsid w:val="007B66BD"/>
    <w:rsid w:val="007B6E82"/>
    <w:rsid w:val="007B77A1"/>
    <w:rsid w:val="007C3FA2"/>
    <w:rsid w:val="007C63BA"/>
    <w:rsid w:val="007C7150"/>
    <w:rsid w:val="007C72C0"/>
    <w:rsid w:val="007D3B7F"/>
    <w:rsid w:val="007E3CAC"/>
    <w:rsid w:val="007E6159"/>
    <w:rsid w:val="007E74E8"/>
    <w:rsid w:val="007F0FCE"/>
    <w:rsid w:val="007F199B"/>
    <w:rsid w:val="007F1F34"/>
    <w:rsid w:val="007F2D84"/>
    <w:rsid w:val="007F30B8"/>
    <w:rsid w:val="007F35F4"/>
    <w:rsid w:val="007F52EF"/>
    <w:rsid w:val="00802CFE"/>
    <w:rsid w:val="00803833"/>
    <w:rsid w:val="0080570D"/>
    <w:rsid w:val="00805F62"/>
    <w:rsid w:val="00810070"/>
    <w:rsid w:val="008100EF"/>
    <w:rsid w:val="00811B7F"/>
    <w:rsid w:val="00812AAE"/>
    <w:rsid w:val="00812BE6"/>
    <w:rsid w:val="0081549F"/>
    <w:rsid w:val="008161B8"/>
    <w:rsid w:val="00816AF2"/>
    <w:rsid w:val="00820952"/>
    <w:rsid w:val="00823F03"/>
    <w:rsid w:val="0082463B"/>
    <w:rsid w:val="0083005F"/>
    <w:rsid w:val="00831700"/>
    <w:rsid w:val="008322E3"/>
    <w:rsid w:val="00832D4C"/>
    <w:rsid w:val="0083506B"/>
    <w:rsid w:val="00840A88"/>
    <w:rsid w:val="008416F2"/>
    <w:rsid w:val="00842B1D"/>
    <w:rsid w:val="008447BD"/>
    <w:rsid w:val="0084540E"/>
    <w:rsid w:val="00846910"/>
    <w:rsid w:val="00846AD2"/>
    <w:rsid w:val="0085488D"/>
    <w:rsid w:val="00854AB8"/>
    <w:rsid w:val="008553FC"/>
    <w:rsid w:val="008570CA"/>
    <w:rsid w:val="008603B4"/>
    <w:rsid w:val="00864284"/>
    <w:rsid w:val="0086613F"/>
    <w:rsid w:val="00866B60"/>
    <w:rsid w:val="00867EDD"/>
    <w:rsid w:val="00870D3E"/>
    <w:rsid w:val="00871450"/>
    <w:rsid w:val="00874211"/>
    <w:rsid w:val="00874368"/>
    <w:rsid w:val="00874664"/>
    <w:rsid w:val="00875029"/>
    <w:rsid w:val="0087516E"/>
    <w:rsid w:val="00877156"/>
    <w:rsid w:val="00880360"/>
    <w:rsid w:val="00880AEC"/>
    <w:rsid w:val="0088388A"/>
    <w:rsid w:val="00884D39"/>
    <w:rsid w:val="0088503E"/>
    <w:rsid w:val="00886FBE"/>
    <w:rsid w:val="008871FA"/>
    <w:rsid w:val="00887EA3"/>
    <w:rsid w:val="00890DDE"/>
    <w:rsid w:val="008941A0"/>
    <w:rsid w:val="00894B1C"/>
    <w:rsid w:val="00895165"/>
    <w:rsid w:val="00895633"/>
    <w:rsid w:val="00896116"/>
    <w:rsid w:val="008977DA"/>
    <w:rsid w:val="008A04B8"/>
    <w:rsid w:val="008A1105"/>
    <w:rsid w:val="008A20C9"/>
    <w:rsid w:val="008A26E6"/>
    <w:rsid w:val="008A2A33"/>
    <w:rsid w:val="008A34D7"/>
    <w:rsid w:val="008A63C6"/>
    <w:rsid w:val="008A6513"/>
    <w:rsid w:val="008A68B1"/>
    <w:rsid w:val="008A7D01"/>
    <w:rsid w:val="008B1A78"/>
    <w:rsid w:val="008B28FD"/>
    <w:rsid w:val="008B423B"/>
    <w:rsid w:val="008C1D75"/>
    <w:rsid w:val="008C575E"/>
    <w:rsid w:val="008C6C7D"/>
    <w:rsid w:val="008C7351"/>
    <w:rsid w:val="008C74C0"/>
    <w:rsid w:val="008D25CC"/>
    <w:rsid w:val="008D2995"/>
    <w:rsid w:val="008D334B"/>
    <w:rsid w:val="008D3680"/>
    <w:rsid w:val="008D67B4"/>
    <w:rsid w:val="008D7693"/>
    <w:rsid w:val="008E2B7F"/>
    <w:rsid w:val="008E4B84"/>
    <w:rsid w:val="008E57F2"/>
    <w:rsid w:val="008F2018"/>
    <w:rsid w:val="008F2B74"/>
    <w:rsid w:val="008F3D56"/>
    <w:rsid w:val="008F4604"/>
    <w:rsid w:val="008F468A"/>
    <w:rsid w:val="008F4B99"/>
    <w:rsid w:val="008F4D57"/>
    <w:rsid w:val="008F687D"/>
    <w:rsid w:val="00900AB9"/>
    <w:rsid w:val="00900D66"/>
    <w:rsid w:val="0090229B"/>
    <w:rsid w:val="0090235C"/>
    <w:rsid w:val="009037F6"/>
    <w:rsid w:val="00904829"/>
    <w:rsid w:val="00905834"/>
    <w:rsid w:val="00905D69"/>
    <w:rsid w:val="00914441"/>
    <w:rsid w:val="00914E11"/>
    <w:rsid w:val="00917AF0"/>
    <w:rsid w:val="00920E8A"/>
    <w:rsid w:val="00922995"/>
    <w:rsid w:val="00925683"/>
    <w:rsid w:val="00926FDD"/>
    <w:rsid w:val="0092736F"/>
    <w:rsid w:val="00927A6A"/>
    <w:rsid w:val="00932F4A"/>
    <w:rsid w:val="00934E0D"/>
    <w:rsid w:val="00935588"/>
    <w:rsid w:val="00936BD3"/>
    <w:rsid w:val="00946DC9"/>
    <w:rsid w:val="00950E92"/>
    <w:rsid w:val="00952638"/>
    <w:rsid w:val="00960EC1"/>
    <w:rsid w:val="0096274A"/>
    <w:rsid w:val="0096392C"/>
    <w:rsid w:val="00963B6D"/>
    <w:rsid w:val="009645BB"/>
    <w:rsid w:val="0096541D"/>
    <w:rsid w:val="00965D22"/>
    <w:rsid w:val="00966BE1"/>
    <w:rsid w:val="00973722"/>
    <w:rsid w:val="00974B5D"/>
    <w:rsid w:val="0097555A"/>
    <w:rsid w:val="00977F25"/>
    <w:rsid w:val="00977F9C"/>
    <w:rsid w:val="009809E2"/>
    <w:rsid w:val="00980B63"/>
    <w:rsid w:val="00983EB8"/>
    <w:rsid w:val="0098559E"/>
    <w:rsid w:val="00986AE6"/>
    <w:rsid w:val="00992297"/>
    <w:rsid w:val="00993914"/>
    <w:rsid w:val="00993A2A"/>
    <w:rsid w:val="00993C31"/>
    <w:rsid w:val="00994544"/>
    <w:rsid w:val="00994776"/>
    <w:rsid w:val="00996741"/>
    <w:rsid w:val="00996B74"/>
    <w:rsid w:val="009A2EBE"/>
    <w:rsid w:val="009A36D6"/>
    <w:rsid w:val="009A379C"/>
    <w:rsid w:val="009A6CD4"/>
    <w:rsid w:val="009A6F69"/>
    <w:rsid w:val="009B0634"/>
    <w:rsid w:val="009B0D7B"/>
    <w:rsid w:val="009B1A21"/>
    <w:rsid w:val="009B2FBE"/>
    <w:rsid w:val="009B7B8A"/>
    <w:rsid w:val="009C004C"/>
    <w:rsid w:val="009C139C"/>
    <w:rsid w:val="009C27B2"/>
    <w:rsid w:val="009C2A5F"/>
    <w:rsid w:val="009C7103"/>
    <w:rsid w:val="009C7613"/>
    <w:rsid w:val="009C782D"/>
    <w:rsid w:val="009D3767"/>
    <w:rsid w:val="009E3730"/>
    <w:rsid w:val="009E65F2"/>
    <w:rsid w:val="009F46A9"/>
    <w:rsid w:val="009F4F4F"/>
    <w:rsid w:val="00A02343"/>
    <w:rsid w:val="00A02A7E"/>
    <w:rsid w:val="00A05403"/>
    <w:rsid w:val="00A063BF"/>
    <w:rsid w:val="00A0647E"/>
    <w:rsid w:val="00A076EE"/>
    <w:rsid w:val="00A10F8B"/>
    <w:rsid w:val="00A12EA3"/>
    <w:rsid w:val="00A14B2E"/>
    <w:rsid w:val="00A14C79"/>
    <w:rsid w:val="00A16F7A"/>
    <w:rsid w:val="00A1775F"/>
    <w:rsid w:val="00A2018D"/>
    <w:rsid w:val="00A2024A"/>
    <w:rsid w:val="00A20942"/>
    <w:rsid w:val="00A20AC3"/>
    <w:rsid w:val="00A212D7"/>
    <w:rsid w:val="00A21B54"/>
    <w:rsid w:val="00A237C2"/>
    <w:rsid w:val="00A24E5A"/>
    <w:rsid w:val="00A259A2"/>
    <w:rsid w:val="00A2723C"/>
    <w:rsid w:val="00A27786"/>
    <w:rsid w:val="00A30F92"/>
    <w:rsid w:val="00A31967"/>
    <w:rsid w:val="00A364E7"/>
    <w:rsid w:val="00A36C7B"/>
    <w:rsid w:val="00A36E47"/>
    <w:rsid w:val="00A40EBC"/>
    <w:rsid w:val="00A41DA1"/>
    <w:rsid w:val="00A42076"/>
    <w:rsid w:val="00A44BB7"/>
    <w:rsid w:val="00A50643"/>
    <w:rsid w:val="00A523D3"/>
    <w:rsid w:val="00A55861"/>
    <w:rsid w:val="00A55DF4"/>
    <w:rsid w:val="00A57E88"/>
    <w:rsid w:val="00A60C49"/>
    <w:rsid w:val="00A65084"/>
    <w:rsid w:val="00A650BA"/>
    <w:rsid w:val="00A65712"/>
    <w:rsid w:val="00A67B4C"/>
    <w:rsid w:val="00A71557"/>
    <w:rsid w:val="00A719C5"/>
    <w:rsid w:val="00A758D7"/>
    <w:rsid w:val="00A766EC"/>
    <w:rsid w:val="00A767BD"/>
    <w:rsid w:val="00A76FDA"/>
    <w:rsid w:val="00A800AD"/>
    <w:rsid w:val="00A80C11"/>
    <w:rsid w:val="00A83292"/>
    <w:rsid w:val="00A84458"/>
    <w:rsid w:val="00A850CB"/>
    <w:rsid w:val="00A85DC9"/>
    <w:rsid w:val="00A8698C"/>
    <w:rsid w:val="00A87302"/>
    <w:rsid w:val="00A908C6"/>
    <w:rsid w:val="00A92D63"/>
    <w:rsid w:val="00A945E2"/>
    <w:rsid w:val="00A971E1"/>
    <w:rsid w:val="00A973C5"/>
    <w:rsid w:val="00A977C1"/>
    <w:rsid w:val="00AA16F5"/>
    <w:rsid w:val="00AA19B3"/>
    <w:rsid w:val="00AA1D75"/>
    <w:rsid w:val="00AA27E1"/>
    <w:rsid w:val="00AA432B"/>
    <w:rsid w:val="00AA7034"/>
    <w:rsid w:val="00AA79CF"/>
    <w:rsid w:val="00AB16DA"/>
    <w:rsid w:val="00AB604F"/>
    <w:rsid w:val="00AB7D5F"/>
    <w:rsid w:val="00AC1AC6"/>
    <w:rsid w:val="00AC24D5"/>
    <w:rsid w:val="00AC27A6"/>
    <w:rsid w:val="00AC6FEF"/>
    <w:rsid w:val="00AD04ED"/>
    <w:rsid w:val="00AD6F17"/>
    <w:rsid w:val="00AD7631"/>
    <w:rsid w:val="00AE0674"/>
    <w:rsid w:val="00AE1F78"/>
    <w:rsid w:val="00AE25B3"/>
    <w:rsid w:val="00AE28D3"/>
    <w:rsid w:val="00AE3FD5"/>
    <w:rsid w:val="00AE4C60"/>
    <w:rsid w:val="00AE5DF9"/>
    <w:rsid w:val="00AF1E8B"/>
    <w:rsid w:val="00AF29E5"/>
    <w:rsid w:val="00AF29F8"/>
    <w:rsid w:val="00AF426A"/>
    <w:rsid w:val="00AF4D10"/>
    <w:rsid w:val="00AF4D54"/>
    <w:rsid w:val="00AF6B53"/>
    <w:rsid w:val="00B00D11"/>
    <w:rsid w:val="00B019AF"/>
    <w:rsid w:val="00B0227A"/>
    <w:rsid w:val="00B0311C"/>
    <w:rsid w:val="00B03ABF"/>
    <w:rsid w:val="00B060F0"/>
    <w:rsid w:val="00B066F0"/>
    <w:rsid w:val="00B10119"/>
    <w:rsid w:val="00B10840"/>
    <w:rsid w:val="00B12055"/>
    <w:rsid w:val="00B125CE"/>
    <w:rsid w:val="00B12E07"/>
    <w:rsid w:val="00B13AF5"/>
    <w:rsid w:val="00B1594A"/>
    <w:rsid w:val="00B16DDB"/>
    <w:rsid w:val="00B20A05"/>
    <w:rsid w:val="00B21751"/>
    <w:rsid w:val="00B236F6"/>
    <w:rsid w:val="00B26915"/>
    <w:rsid w:val="00B300BF"/>
    <w:rsid w:val="00B3148C"/>
    <w:rsid w:val="00B32BE8"/>
    <w:rsid w:val="00B337C4"/>
    <w:rsid w:val="00B354BE"/>
    <w:rsid w:val="00B35723"/>
    <w:rsid w:val="00B375C6"/>
    <w:rsid w:val="00B42399"/>
    <w:rsid w:val="00B423F8"/>
    <w:rsid w:val="00B434F1"/>
    <w:rsid w:val="00B43F04"/>
    <w:rsid w:val="00B4437C"/>
    <w:rsid w:val="00B45994"/>
    <w:rsid w:val="00B46DB3"/>
    <w:rsid w:val="00B47256"/>
    <w:rsid w:val="00B5172B"/>
    <w:rsid w:val="00B55127"/>
    <w:rsid w:val="00B56D60"/>
    <w:rsid w:val="00B576E2"/>
    <w:rsid w:val="00B60A21"/>
    <w:rsid w:val="00B60F81"/>
    <w:rsid w:val="00B61DDD"/>
    <w:rsid w:val="00B65652"/>
    <w:rsid w:val="00B6582A"/>
    <w:rsid w:val="00B72BA0"/>
    <w:rsid w:val="00B7428A"/>
    <w:rsid w:val="00B74E5C"/>
    <w:rsid w:val="00B75BEE"/>
    <w:rsid w:val="00B76CAD"/>
    <w:rsid w:val="00B802B9"/>
    <w:rsid w:val="00B80550"/>
    <w:rsid w:val="00B843F7"/>
    <w:rsid w:val="00B86190"/>
    <w:rsid w:val="00B87C11"/>
    <w:rsid w:val="00B906F0"/>
    <w:rsid w:val="00B91342"/>
    <w:rsid w:val="00B9178E"/>
    <w:rsid w:val="00B94D7C"/>
    <w:rsid w:val="00B94E76"/>
    <w:rsid w:val="00B95492"/>
    <w:rsid w:val="00B974E4"/>
    <w:rsid w:val="00BA0DF9"/>
    <w:rsid w:val="00BA3BCB"/>
    <w:rsid w:val="00BA4368"/>
    <w:rsid w:val="00BA6C74"/>
    <w:rsid w:val="00BA7C09"/>
    <w:rsid w:val="00BB0CCE"/>
    <w:rsid w:val="00BB3A17"/>
    <w:rsid w:val="00BB5C22"/>
    <w:rsid w:val="00BB63D8"/>
    <w:rsid w:val="00BC16F8"/>
    <w:rsid w:val="00BC39A5"/>
    <w:rsid w:val="00BC4980"/>
    <w:rsid w:val="00BD32B4"/>
    <w:rsid w:val="00BD472A"/>
    <w:rsid w:val="00BD6A22"/>
    <w:rsid w:val="00BE01C2"/>
    <w:rsid w:val="00BE0823"/>
    <w:rsid w:val="00BE0E60"/>
    <w:rsid w:val="00BE18C7"/>
    <w:rsid w:val="00BE29BF"/>
    <w:rsid w:val="00BE339E"/>
    <w:rsid w:val="00BE7EAF"/>
    <w:rsid w:val="00BF4162"/>
    <w:rsid w:val="00C01DF1"/>
    <w:rsid w:val="00C02946"/>
    <w:rsid w:val="00C038EA"/>
    <w:rsid w:val="00C04A0D"/>
    <w:rsid w:val="00C05C21"/>
    <w:rsid w:val="00C07114"/>
    <w:rsid w:val="00C11CAD"/>
    <w:rsid w:val="00C12894"/>
    <w:rsid w:val="00C15E7B"/>
    <w:rsid w:val="00C16386"/>
    <w:rsid w:val="00C1696B"/>
    <w:rsid w:val="00C174ED"/>
    <w:rsid w:val="00C17E8A"/>
    <w:rsid w:val="00C2096E"/>
    <w:rsid w:val="00C21092"/>
    <w:rsid w:val="00C2666D"/>
    <w:rsid w:val="00C310B6"/>
    <w:rsid w:val="00C31D6C"/>
    <w:rsid w:val="00C339A0"/>
    <w:rsid w:val="00C341AA"/>
    <w:rsid w:val="00C346D1"/>
    <w:rsid w:val="00C347AB"/>
    <w:rsid w:val="00C358C9"/>
    <w:rsid w:val="00C36975"/>
    <w:rsid w:val="00C36E8B"/>
    <w:rsid w:val="00C376C6"/>
    <w:rsid w:val="00C377CA"/>
    <w:rsid w:val="00C51E86"/>
    <w:rsid w:val="00C52660"/>
    <w:rsid w:val="00C53E77"/>
    <w:rsid w:val="00C54865"/>
    <w:rsid w:val="00C56362"/>
    <w:rsid w:val="00C5690A"/>
    <w:rsid w:val="00C5753B"/>
    <w:rsid w:val="00C6007D"/>
    <w:rsid w:val="00C60495"/>
    <w:rsid w:val="00C61885"/>
    <w:rsid w:val="00C625A2"/>
    <w:rsid w:val="00C63750"/>
    <w:rsid w:val="00C63BB9"/>
    <w:rsid w:val="00C65033"/>
    <w:rsid w:val="00C65ABF"/>
    <w:rsid w:val="00C67AD6"/>
    <w:rsid w:val="00C709D6"/>
    <w:rsid w:val="00C711CE"/>
    <w:rsid w:val="00C73ECC"/>
    <w:rsid w:val="00C74BC3"/>
    <w:rsid w:val="00C7595A"/>
    <w:rsid w:val="00C76751"/>
    <w:rsid w:val="00C76A4B"/>
    <w:rsid w:val="00C83548"/>
    <w:rsid w:val="00C864F6"/>
    <w:rsid w:val="00C86AB2"/>
    <w:rsid w:val="00C8743F"/>
    <w:rsid w:val="00C9011D"/>
    <w:rsid w:val="00C9325F"/>
    <w:rsid w:val="00C963FF"/>
    <w:rsid w:val="00C97281"/>
    <w:rsid w:val="00CA313E"/>
    <w:rsid w:val="00CA43B0"/>
    <w:rsid w:val="00CA5CD6"/>
    <w:rsid w:val="00CA5D22"/>
    <w:rsid w:val="00CA6ABB"/>
    <w:rsid w:val="00CA6D58"/>
    <w:rsid w:val="00CB004F"/>
    <w:rsid w:val="00CB397B"/>
    <w:rsid w:val="00CB501A"/>
    <w:rsid w:val="00CB5BED"/>
    <w:rsid w:val="00CB6009"/>
    <w:rsid w:val="00CB6BDB"/>
    <w:rsid w:val="00CB7293"/>
    <w:rsid w:val="00CC0CA8"/>
    <w:rsid w:val="00CC123A"/>
    <w:rsid w:val="00CC19D3"/>
    <w:rsid w:val="00CC792B"/>
    <w:rsid w:val="00CD33E4"/>
    <w:rsid w:val="00CE177F"/>
    <w:rsid w:val="00CE2599"/>
    <w:rsid w:val="00CE3777"/>
    <w:rsid w:val="00CE49B1"/>
    <w:rsid w:val="00CE49B4"/>
    <w:rsid w:val="00CE520E"/>
    <w:rsid w:val="00CE61BE"/>
    <w:rsid w:val="00CE6F82"/>
    <w:rsid w:val="00CF1491"/>
    <w:rsid w:val="00CF1D7F"/>
    <w:rsid w:val="00CF699A"/>
    <w:rsid w:val="00D013B4"/>
    <w:rsid w:val="00D0682A"/>
    <w:rsid w:val="00D108BF"/>
    <w:rsid w:val="00D10A89"/>
    <w:rsid w:val="00D10F8B"/>
    <w:rsid w:val="00D112A4"/>
    <w:rsid w:val="00D11FD1"/>
    <w:rsid w:val="00D1235B"/>
    <w:rsid w:val="00D1431F"/>
    <w:rsid w:val="00D16E9F"/>
    <w:rsid w:val="00D1719F"/>
    <w:rsid w:val="00D24331"/>
    <w:rsid w:val="00D2628A"/>
    <w:rsid w:val="00D27661"/>
    <w:rsid w:val="00D30AE8"/>
    <w:rsid w:val="00D31436"/>
    <w:rsid w:val="00D3274F"/>
    <w:rsid w:val="00D327CF"/>
    <w:rsid w:val="00D3292D"/>
    <w:rsid w:val="00D33486"/>
    <w:rsid w:val="00D345BF"/>
    <w:rsid w:val="00D371C6"/>
    <w:rsid w:val="00D41B69"/>
    <w:rsid w:val="00D42C4D"/>
    <w:rsid w:val="00D45F0E"/>
    <w:rsid w:val="00D52881"/>
    <w:rsid w:val="00D52F8D"/>
    <w:rsid w:val="00D54BEE"/>
    <w:rsid w:val="00D54D38"/>
    <w:rsid w:val="00D578AE"/>
    <w:rsid w:val="00D61AF7"/>
    <w:rsid w:val="00D6291E"/>
    <w:rsid w:val="00D64F23"/>
    <w:rsid w:val="00D660DC"/>
    <w:rsid w:val="00D668E4"/>
    <w:rsid w:val="00D66B5D"/>
    <w:rsid w:val="00D66F95"/>
    <w:rsid w:val="00D73B55"/>
    <w:rsid w:val="00D73D38"/>
    <w:rsid w:val="00D7461C"/>
    <w:rsid w:val="00D75688"/>
    <w:rsid w:val="00D76F6F"/>
    <w:rsid w:val="00D77F7C"/>
    <w:rsid w:val="00D81B97"/>
    <w:rsid w:val="00D82575"/>
    <w:rsid w:val="00D83144"/>
    <w:rsid w:val="00D832F7"/>
    <w:rsid w:val="00D85B60"/>
    <w:rsid w:val="00D90333"/>
    <w:rsid w:val="00D91CAC"/>
    <w:rsid w:val="00D92DBC"/>
    <w:rsid w:val="00D9317D"/>
    <w:rsid w:val="00D95392"/>
    <w:rsid w:val="00D96976"/>
    <w:rsid w:val="00D97B0E"/>
    <w:rsid w:val="00DA0CD0"/>
    <w:rsid w:val="00DA1A91"/>
    <w:rsid w:val="00DA3F12"/>
    <w:rsid w:val="00DA4883"/>
    <w:rsid w:val="00DC0249"/>
    <w:rsid w:val="00DC6238"/>
    <w:rsid w:val="00DC7307"/>
    <w:rsid w:val="00DD0DF6"/>
    <w:rsid w:val="00DD18B0"/>
    <w:rsid w:val="00DD2A06"/>
    <w:rsid w:val="00DD5175"/>
    <w:rsid w:val="00DE1403"/>
    <w:rsid w:val="00DE142D"/>
    <w:rsid w:val="00DE2BD8"/>
    <w:rsid w:val="00DE411D"/>
    <w:rsid w:val="00DE516E"/>
    <w:rsid w:val="00DE665D"/>
    <w:rsid w:val="00DE6E0B"/>
    <w:rsid w:val="00DF08CA"/>
    <w:rsid w:val="00DF1E10"/>
    <w:rsid w:val="00DF4F81"/>
    <w:rsid w:val="00DF5B07"/>
    <w:rsid w:val="00DF5D56"/>
    <w:rsid w:val="00DF7755"/>
    <w:rsid w:val="00E01DDD"/>
    <w:rsid w:val="00E04B17"/>
    <w:rsid w:val="00E04EB3"/>
    <w:rsid w:val="00E07A78"/>
    <w:rsid w:val="00E10C8D"/>
    <w:rsid w:val="00E12654"/>
    <w:rsid w:val="00E13E77"/>
    <w:rsid w:val="00E16414"/>
    <w:rsid w:val="00E20D25"/>
    <w:rsid w:val="00E22281"/>
    <w:rsid w:val="00E22742"/>
    <w:rsid w:val="00E245B2"/>
    <w:rsid w:val="00E33AB9"/>
    <w:rsid w:val="00E34253"/>
    <w:rsid w:val="00E4058A"/>
    <w:rsid w:val="00E4615A"/>
    <w:rsid w:val="00E46D22"/>
    <w:rsid w:val="00E47C55"/>
    <w:rsid w:val="00E535E6"/>
    <w:rsid w:val="00E53CBC"/>
    <w:rsid w:val="00E54273"/>
    <w:rsid w:val="00E5462F"/>
    <w:rsid w:val="00E55AC5"/>
    <w:rsid w:val="00E60072"/>
    <w:rsid w:val="00E6026D"/>
    <w:rsid w:val="00E6201B"/>
    <w:rsid w:val="00E646DF"/>
    <w:rsid w:val="00E66FA9"/>
    <w:rsid w:val="00E67AD1"/>
    <w:rsid w:val="00E70249"/>
    <w:rsid w:val="00E70886"/>
    <w:rsid w:val="00E71D8C"/>
    <w:rsid w:val="00E7362B"/>
    <w:rsid w:val="00E7629B"/>
    <w:rsid w:val="00E771E1"/>
    <w:rsid w:val="00E80A86"/>
    <w:rsid w:val="00E80EBC"/>
    <w:rsid w:val="00E8349C"/>
    <w:rsid w:val="00E8397B"/>
    <w:rsid w:val="00E85861"/>
    <w:rsid w:val="00E87BDE"/>
    <w:rsid w:val="00E904E6"/>
    <w:rsid w:val="00E93CAB"/>
    <w:rsid w:val="00E93F29"/>
    <w:rsid w:val="00E9610F"/>
    <w:rsid w:val="00E97503"/>
    <w:rsid w:val="00EA49E4"/>
    <w:rsid w:val="00EA6102"/>
    <w:rsid w:val="00EA74AC"/>
    <w:rsid w:val="00EB0F37"/>
    <w:rsid w:val="00EB2B55"/>
    <w:rsid w:val="00EB2E36"/>
    <w:rsid w:val="00EB33E8"/>
    <w:rsid w:val="00EB43F3"/>
    <w:rsid w:val="00EB540A"/>
    <w:rsid w:val="00EB5AB0"/>
    <w:rsid w:val="00EC06E1"/>
    <w:rsid w:val="00EC3C8F"/>
    <w:rsid w:val="00EC55F9"/>
    <w:rsid w:val="00ED202F"/>
    <w:rsid w:val="00ED4244"/>
    <w:rsid w:val="00ED4DF9"/>
    <w:rsid w:val="00ED5A37"/>
    <w:rsid w:val="00ED5A76"/>
    <w:rsid w:val="00EE23A6"/>
    <w:rsid w:val="00EE62F2"/>
    <w:rsid w:val="00EE66CC"/>
    <w:rsid w:val="00EF0090"/>
    <w:rsid w:val="00EF3EAB"/>
    <w:rsid w:val="00EF42A7"/>
    <w:rsid w:val="00EF6610"/>
    <w:rsid w:val="00EF6AD2"/>
    <w:rsid w:val="00F01569"/>
    <w:rsid w:val="00F01DB3"/>
    <w:rsid w:val="00F02888"/>
    <w:rsid w:val="00F040F8"/>
    <w:rsid w:val="00F0544C"/>
    <w:rsid w:val="00F064CC"/>
    <w:rsid w:val="00F06506"/>
    <w:rsid w:val="00F06B4B"/>
    <w:rsid w:val="00F133E5"/>
    <w:rsid w:val="00F20785"/>
    <w:rsid w:val="00F20F47"/>
    <w:rsid w:val="00F2330E"/>
    <w:rsid w:val="00F239C8"/>
    <w:rsid w:val="00F245D6"/>
    <w:rsid w:val="00F34174"/>
    <w:rsid w:val="00F40123"/>
    <w:rsid w:val="00F43CBC"/>
    <w:rsid w:val="00F449C2"/>
    <w:rsid w:val="00F4565D"/>
    <w:rsid w:val="00F4567F"/>
    <w:rsid w:val="00F51E87"/>
    <w:rsid w:val="00F52649"/>
    <w:rsid w:val="00F5333D"/>
    <w:rsid w:val="00F53674"/>
    <w:rsid w:val="00F542B9"/>
    <w:rsid w:val="00F60E76"/>
    <w:rsid w:val="00F6173A"/>
    <w:rsid w:val="00F626D3"/>
    <w:rsid w:val="00F63287"/>
    <w:rsid w:val="00F63562"/>
    <w:rsid w:val="00F659F2"/>
    <w:rsid w:val="00F66A64"/>
    <w:rsid w:val="00F67745"/>
    <w:rsid w:val="00F7285C"/>
    <w:rsid w:val="00F73C8E"/>
    <w:rsid w:val="00F76CD8"/>
    <w:rsid w:val="00F76CDB"/>
    <w:rsid w:val="00F807C5"/>
    <w:rsid w:val="00F83207"/>
    <w:rsid w:val="00F868BE"/>
    <w:rsid w:val="00F914D1"/>
    <w:rsid w:val="00FA11A1"/>
    <w:rsid w:val="00FA2105"/>
    <w:rsid w:val="00FA416D"/>
    <w:rsid w:val="00FA799F"/>
    <w:rsid w:val="00FB026A"/>
    <w:rsid w:val="00FB27C4"/>
    <w:rsid w:val="00FB40B8"/>
    <w:rsid w:val="00FB42A2"/>
    <w:rsid w:val="00FB4C3F"/>
    <w:rsid w:val="00FB50C0"/>
    <w:rsid w:val="00FB7909"/>
    <w:rsid w:val="00FC09E8"/>
    <w:rsid w:val="00FC0BA4"/>
    <w:rsid w:val="00FC2B9B"/>
    <w:rsid w:val="00FC4061"/>
    <w:rsid w:val="00FC40CD"/>
    <w:rsid w:val="00FD5001"/>
    <w:rsid w:val="00FD6B5C"/>
    <w:rsid w:val="00FD758B"/>
    <w:rsid w:val="00FD7E90"/>
    <w:rsid w:val="00FE01E8"/>
    <w:rsid w:val="00FE0FF6"/>
    <w:rsid w:val="00FE2C60"/>
    <w:rsid w:val="00FE4E0F"/>
    <w:rsid w:val="00FE58ED"/>
    <w:rsid w:val="00FE6038"/>
    <w:rsid w:val="00FE6D8D"/>
    <w:rsid w:val="00FE7368"/>
    <w:rsid w:val="00FE7376"/>
    <w:rsid w:val="00FE7592"/>
    <w:rsid w:val="00FF1546"/>
    <w:rsid w:val="00FF1AAF"/>
    <w:rsid w:val="00FF28FE"/>
    <w:rsid w:val="00FF6921"/>
    <w:rsid w:val="00FF77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4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654"/>
    <w:pPr>
      <w:spacing w:after="120" w:line="360" w:lineRule="auto"/>
    </w:pPr>
  </w:style>
  <w:style w:type="paragraph" w:styleId="Heading1">
    <w:name w:val="heading 1"/>
    <w:basedOn w:val="Normal"/>
    <w:next w:val="Normal"/>
    <w:link w:val="Heading1Char"/>
    <w:uiPriority w:val="9"/>
    <w:qFormat/>
    <w:rsid w:val="00A364E7"/>
    <w:pPr>
      <w:keepNext/>
      <w:keepLines/>
      <w:spacing w:before="12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A36E47"/>
    <w:pPr>
      <w:keepNext/>
      <w:keepLines/>
      <w:spacing w:after="4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94388"/>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4D290E"/>
    <w:pPr>
      <w:spacing w:before="240" w:line="276" w:lineRule="auto"/>
      <w:outlineLvl w:val="3"/>
    </w:pPr>
    <w:rPr>
      <w:rFonts w:asciiTheme="majorHAnsi" w:eastAsiaTheme="minorHAnsi" w:hAnsiTheme="majorHAnsi" w:cs="Times New Roman"/>
      <w:b/>
      <w:color w:val="76923C" w:themeColor="accent3" w:themeShade="BF"/>
      <w:spacing w:val="20"/>
      <w:szCs w:val="22"/>
    </w:rPr>
  </w:style>
  <w:style w:type="paragraph" w:styleId="Heading5">
    <w:name w:val="heading 5"/>
    <w:basedOn w:val="Normal"/>
    <w:next w:val="Normal"/>
    <w:link w:val="Heading5Char"/>
    <w:uiPriority w:val="9"/>
    <w:unhideWhenUsed/>
    <w:qFormat/>
    <w:rsid w:val="004D290E"/>
    <w:pPr>
      <w:spacing w:before="200" w:line="276" w:lineRule="auto"/>
      <w:outlineLvl w:val="4"/>
    </w:pPr>
    <w:rPr>
      <w:rFonts w:asciiTheme="majorHAnsi" w:eastAsiaTheme="minorHAnsi" w:hAnsiTheme="majorHAnsi" w:cs="Times New Roman"/>
      <w:b/>
      <w:i/>
      <w:color w:val="76923C" w:themeColor="accent3" w:themeShade="BF"/>
      <w:spacing w:val="20"/>
      <w:szCs w:val="26"/>
    </w:rPr>
  </w:style>
  <w:style w:type="paragraph" w:styleId="Heading6">
    <w:name w:val="heading 6"/>
    <w:basedOn w:val="Normal"/>
    <w:next w:val="Normal"/>
    <w:link w:val="Heading6Char"/>
    <w:uiPriority w:val="9"/>
    <w:unhideWhenUsed/>
    <w:qFormat/>
    <w:rsid w:val="004D290E"/>
    <w:pPr>
      <w:spacing w:before="200" w:line="276" w:lineRule="auto"/>
      <w:outlineLvl w:val="5"/>
    </w:pPr>
    <w:rPr>
      <w:rFonts w:asciiTheme="majorHAnsi" w:eastAsiaTheme="minorHAnsi" w:hAnsiTheme="majorHAnsi" w:cs="Times New Roman"/>
      <w:color w:val="4F6228" w:themeColor="accent3" w:themeShade="80"/>
      <w:spacing w:val="10"/>
      <w:szCs w:val="20"/>
    </w:rPr>
  </w:style>
  <w:style w:type="paragraph" w:styleId="Heading7">
    <w:name w:val="heading 7"/>
    <w:basedOn w:val="Normal"/>
    <w:next w:val="Normal"/>
    <w:link w:val="Heading7Char"/>
    <w:uiPriority w:val="9"/>
    <w:unhideWhenUsed/>
    <w:qFormat/>
    <w:rsid w:val="004D290E"/>
    <w:pPr>
      <w:spacing w:before="200" w:line="276" w:lineRule="auto"/>
      <w:outlineLvl w:val="6"/>
    </w:pPr>
    <w:rPr>
      <w:rFonts w:asciiTheme="majorHAnsi" w:eastAsiaTheme="minorHAnsi" w:hAnsiTheme="majorHAnsi" w:cs="Times New Roman"/>
      <w:i/>
      <w:color w:val="4F6228" w:themeColor="accent3" w:themeShade="80"/>
      <w:spacing w:val="10"/>
      <w:szCs w:val="20"/>
    </w:rPr>
  </w:style>
  <w:style w:type="paragraph" w:styleId="Heading8">
    <w:name w:val="heading 8"/>
    <w:basedOn w:val="Normal"/>
    <w:next w:val="Normal"/>
    <w:link w:val="Heading8Char"/>
    <w:uiPriority w:val="9"/>
    <w:unhideWhenUsed/>
    <w:qFormat/>
    <w:rsid w:val="004D290E"/>
    <w:pPr>
      <w:spacing w:before="200" w:line="276" w:lineRule="auto"/>
      <w:outlineLvl w:val="7"/>
    </w:pPr>
    <w:rPr>
      <w:rFonts w:asciiTheme="majorHAnsi" w:eastAsiaTheme="minorHAnsi" w:hAnsiTheme="majorHAnsi" w:cs="Times New Roman"/>
      <w:color w:val="4F81BD" w:themeColor="accent1"/>
      <w:spacing w:val="10"/>
      <w:szCs w:val="20"/>
    </w:rPr>
  </w:style>
  <w:style w:type="paragraph" w:styleId="Heading9">
    <w:name w:val="heading 9"/>
    <w:basedOn w:val="Normal"/>
    <w:next w:val="Normal"/>
    <w:link w:val="Heading9Char"/>
    <w:uiPriority w:val="9"/>
    <w:unhideWhenUsed/>
    <w:qFormat/>
    <w:rsid w:val="004D290E"/>
    <w:pPr>
      <w:spacing w:before="200" w:line="276" w:lineRule="auto"/>
      <w:outlineLvl w:val="8"/>
    </w:pPr>
    <w:rPr>
      <w:rFonts w:asciiTheme="majorHAnsi" w:eastAsiaTheme="minorHAnsi" w:hAnsiTheme="majorHAnsi" w:cs="Times New Roman"/>
      <w:i/>
      <w:color w:val="4F81BD" w:themeColor="accent1"/>
      <w:spacing w:val="1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4E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A36E4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794388"/>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4D290E"/>
    <w:rPr>
      <w:rFonts w:asciiTheme="majorHAnsi" w:eastAsiaTheme="minorHAnsi" w:hAnsiTheme="majorHAnsi" w:cs="Times New Roman"/>
      <w:b/>
      <w:color w:val="76923C" w:themeColor="accent3" w:themeShade="BF"/>
      <w:spacing w:val="20"/>
      <w:szCs w:val="22"/>
    </w:rPr>
  </w:style>
  <w:style w:type="character" w:customStyle="1" w:styleId="Heading5Char">
    <w:name w:val="Heading 5 Char"/>
    <w:basedOn w:val="DefaultParagraphFont"/>
    <w:link w:val="Heading5"/>
    <w:uiPriority w:val="9"/>
    <w:rsid w:val="004D290E"/>
    <w:rPr>
      <w:rFonts w:asciiTheme="majorHAnsi" w:eastAsiaTheme="minorHAnsi" w:hAnsiTheme="majorHAnsi" w:cs="Times New Roman"/>
      <w:b/>
      <w:i/>
      <w:color w:val="76923C" w:themeColor="accent3" w:themeShade="BF"/>
      <w:spacing w:val="20"/>
      <w:szCs w:val="26"/>
    </w:rPr>
  </w:style>
  <w:style w:type="character" w:customStyle="1" w:styleId="Heading6Char">
    <w:name w:val="Heading 6 Char"/>
    <w:basedOn w:val="DefaultParagraphFont"/>
    <w:link w:val="Heading6"/>
    <w:uiPriority w:val="9"/>
    <w:rsid w:val="004D290E"/>
    <w:rPr>
      <w:rFonts w:asciiTheme="majorHAnsi" w:eastAsiaTheme="minorHAnsi" w:hAnsiTheme="majorHAnsi" w:cs="Times New Roman"/>
      <w:color w:val="4F6228" w:themeColor="accent3" w:themeShade="80"/>
      <w:spacing w:val="10"/>
      <w:szCs w:val="20"/>
    </w:rPr>
  </w:style>
  <w:style w:type="character" w:customStyle="1" w:styleId="Heading7Char">
    <w:name w:val="Heading 7 Char"/>
    <w:basedOn w:val="DefaultParagraphFont"/>
    <w:link w:val="Heading7"/>
    <w:uiPriority w:val="9"/>
    <w:rsid w:val="004D290E"/>
    <w:rPr>
      <w:rFonts w:asciiTheme="majorHAnsi" w:eastAsiaTheme="minorHAnsi" w:hAnsiTheme="majorHAnsi" w:cs="Times New Roman"/>
      <w:i/>
      <w:color w:val="4F6228" w:themeColor="accent3" w:themeShade="80"/>
      <w:spacing w:val="10"/>
      <w:szCs w:val="20"/>
    </w:rPr>
  </w:style>
  <w:style w:type="character" w:customStyle="1" w:styleId="Heading8Char">
    <w:name w:val="Heading 8 Char"/>
    <w:basedOn w:val="DefaultParagraphFont"/>
    <w:link w:val="Heading8"/>
    <w:uiPriority w:val="9"/>
    <w:rsid w:val="004D290E"/>
    <w:rPr>
      <w:rFonts w:asciiTheme="majorHAnsi" w:eastAsiaTheme="minorHAnsi" w:hAnsiTheme="majorHAnsi" w:cs="Times New Roman"/>
      <w:color w:val="4F81BD" w:themeColor="accent1"/>
      <w:spacing w:val="10"/>
      <w:szCs w:val="20"/>
    </w:rPr>
  </w:style>
  <w:style w:type="character" w:customStyle="1" w:styleId="Heading9Char">
    <w:name w:val="Heading 9 Char"/>
    <w:basedOn w:val="DefaultParagraphFont"/>
    <w:link w:val="Heading9"/>
    <w:uiPriority w:val="9"/>
    <w:rsid w:val="004D290E"/>
    <w:rPr>
      <w:rFonts w:asciiTheme="majorHAnsi" w:eastAsiaTheme="minorHAnsi" w:hAnsiTheme="majorHAnsi" w:cs="Times New Roman"/>
      <w:i/>
      <w:color w:val="4F81BD" w:themeColor="accent1"/>
      <w:spacing w:val="10"/>
      <w:szCs w:val="20"/>
    </w:rPr>
  </w:style>
  <w:style w:type="paragraph" w:styleId="Title">
    <w:name w:val="Title"/>
    <w:basedOn w:val="Normal"/>
    <w:next w:val="Normal"/>
    <w:link w:val="TitleChar"/>
    <w:qFormat/>
    <w:rsid w:val="000E2D72"/>
    <w:pPr>
      <w:pBdr>
        <w:bottom w:val="single" w:sz="8" w:space="4" w:color="4F81BD" w:themeColor="accent1"/>
      </w:pBdr>
      <w:contextualSpacing/>
      <w:jc w:val="center"/>
    </w:pPr>
    <w:rPr>
      <w:rFonts w:asciiTheme="majorHAnsi" w:eastAsiaTheme="majorEastAsia" w:hAnsiTheme="majorHAnsi" w:cstheme="majorBidi"/>
      <w:spacing w:val="5"/>
      <w:kern w:val="28"/>
      <w:sz w:val="36"/>
      <w:szCs w:val="36"/>
    </w:rPr>
  </w:style>
  <w:style w:type="character" w:customStyle="1" w:styleId="TitleChar">
    <w:name w:val="Title Char"/>
    <w:basedOn w:val="DefaultParagraphFont"/>
    <w:link w:val="Title"/>
    <w:uiPriority w:val="10"/>
    <w:rsid w:val="000E2D72"/>
    <w:rPr>
      <w:rFonts w:asciiTheme="majorHAnsi" w:eastAsiaTheme="majorEastAsia" w:hAnsiTheme="majorHAnsi" w:cstheme="majorBidi"/>
      <w:spacing w:val="5"/>
      <w:kern w:val="28"/>
      <w:sz w:val="36"/>
      <w:szCs w:val="36"/>
    </w:rPr>
  </w:style>
  <w:style w:type="paragraph" w:styleId="ListParagraph">
    <w:name w:val="List Paragraph"/>
    <w:basedOn w:val="Normal"/>
    <w:link w:val="ListParagraphChar"/>
    <w:uiPriority w:val="34"/>
    <w:qFormat/>
    <w:rsid w:val="001A19F2"/>
    <w:pPr>
      <w:ind w:left="720"/>
      <w:contextualSpacing/>
    </w:pPr>
  </w:style>
  <w:style w:type="character" w:customStyle="1" w:styleId="ListParagraphChar">
    <w:name w:val="List Paragraph Char"/>
    <w:link w:val="ListParagraph"/>
    <w:uiPriority w:val="34"/>
    <w:locked/>
    <w:rsid w:val="000C2741"/>
  </w:style>
  <w:style w:type="table" w:styleId="TableGrid">
    <w:name w:val="Table Grid"/>
    <w:basedOn w:val="TableNormal"/>
    <w:uiPriority w:val="59"/>
    <w:rsid w:val="008961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CF1D7F"/>
    <w:pPr>
      <w:tabs>
        <w:tab w:val="center" w:pos="4320"/>
        <w:tab w:val="right" w:pos="8640"/>
      </w:tabs>
    </w:pPr>
  </w:style>
  <w:style w:type="character" w:customStyle="1" w:styleId="FooterChar">
    <w:name w:val="Footer Char"/>
    <w:basedOn w:val="DefaultParagraphFont"/>
    <w:link w:val="Footer"/>
    <w:uiPriority w:val="99"/>
    <w:rsid w:val="00CF1D7F"/>
  </w:style>
  <w:style w:type="character" w:styleId="PageNumber">
    <w:name w:val="page number"/>
    <w:basedOn w:val="DefaultParagraphFont"/>
    <w:uiPriority w:val="99"/>
    <w:semiHidden/>
    <w:unhideWhenUsed/>
    <w:rsid w:val="00CF1D7F"/>
  </w:style>
  <w:style w:type="paragraph" w:styleId="TOC1">
    <w:name w:val="toc 1"/>
    <w:basedOn w:val="Normal"/>
    <w:next w:val="Normal"/>
    <w:autoRedefine/>
    <w:uiPriority w:val="39"/>
    <w:unhideWhenUsed/>
    <w:qFormat/>
    <w:rsid w:val="002505AF"/>
    <w:pPr>
      <w:spacing w:before="120"/>
    </w:pPr>
    <w:rPr>
      <w:b/>
      <w:caps/>
      <w:sz w:val="22"/>
      <w:szCs w:val="22"/>
    </w:rPr>
  </w:style>
  <w:style w:type="paragraph" w:styleId="TOC2">
    <w:name w:val="toc 2"/>
    <w:basedOn w:val="Normal"/>
    <w:next w:val="Normal"/>
    <w:autoRedefine/>
    <w:uiPriority w:val="39"/>
    <w:unhideWhenUsed/>
    <w:qFormat/>
    <w:rsid w:val="002505AF"/>
    <w:pPr>
      <w:ind w:left="240"/>
    </w:pPr>
    <w:rPr>
      <w:smallCaps/>
      <w:sz w:val="22"/>
      <w:szCs w:val="22"/>
    </w:rPr>
  </w:style>
  <w:style w:type="paragraph" w:styleId="TOC3">
    <w:name w:val="toc 3"/>
    <w:basedOn w:val="Normal"/>
    <w:next w:val="Normal"/>
    <w:autoRedefine/>
    <w:uiPriority w:val="39"/>
    <w:unhideWhenUsed/>
    <w:qFormat/>
    <w:rsid w:val="002505AF"/>
    <w:pPr>
      <w:ind w:left="480"/>
    </w:pPr>
    <w:rPr>
      <w:i/>
      <w:sz w:val="22"/>
      <w:szCs w:val="22"/>
    </w:rPr>
  </w:style>
  <w:style w:type="paragraph" w:styleId="TOC4">
    <w:name w:val="toc 4"/>
    <w:basedOn w:val="Normal"/>
    <w:next w:val="Normal"/>
    <w:autoRedefine/>
    <w:uiPriority w:val="39"/>
    <w:unhideWhenUsed/>
    <w:qFormat/>
    <w:rsid w:val="002505AF"/>
    <w:pPr>
      <w:ind w:left="720"/>
    </w:pPr>
    <w:rPr>
      <w:sz w:val="18"/>
      <w:szCs w:val="18"/>
    </w:rPr>
  </w:style>
  <w:style w:type="paragraph" w:styleId="TOC5">
    <w:name w:val="toc 5"/>
    <w:basedOn w:val="Normal"/>
    <w:next w:val="Normal"/>
    <w:autoRedefine/>
    <w:uiPriority w:val="39"/>
    <w:unhideWhenUsed/>
    <w:qFormat/>
    <w:rsid w:val="002505AF"/>
    <w:pPr>
      <w:ind w:left="960"/>
    </w:pPr>
    <w:rPr>
      <w:sz w:val="18"/>
      <w:szCs w:val="18"/>
    </w:rPr>
  </w:style>
  <w:style w:type="paragraph" w:styleId="TOC6">
    <w:name w:val="toc 6"/>
    <w:basedOn w:val="Normal"/>
    <w:next w:val="Normal"/>
    <w:autoRedefine/>
    <w:uiPriority w:val="39"/>
    <w:unhideWhenUsed/>
    <w:qFormat/>
    <w:rsid w:val="002505AF"/>
    <w:pPr>
      <w:ind w:left="1200"/>
    </w:pPr>
    <w:rPr>
      <w:sz w:val="18"/>
      <w:szCs w:val="18"/>
    </w:rPr>
  </w:style>
  <w:style w:type="paragraph" w:styleId="TOC7">
    <w:name w:val="toc 7"/>
    <w:basedOn w:val="Normal"/>
    <w:next w:val="Normal"/>
    <w:autoRedefine/>
    <w:uiPriority w:val="39"/>
    <w:unhideWhenUsed/>
    <w:qFormat/>
    <w:rsid w:val="002505AF"/>
    <w:pPr>
      <w:ind w:left="1440"/>
    </w:pPr>
    <w:rPr>
      <w:sz w:val="18"/>
      <w:szCs w:val="18"/>
    </w:rPr>
  </w:style>
  <w:style w:type="paragraph" w:styleId="TOC8">
    <w:name w:val="toc 8"/>
    <w:basedOn w:val="Normal"/>
    <w:next w:val="Normal"/>
    <w:autoRedefine/>
    <w:uiPriority w:val="39"/>
    <w:unhideWhenUsed/>
    <w:qFormat/>
    <w:rsid w:val="002505AF"/>
    <w:pPr>
      <w:ind w:left="1680"/>
    </w:pPr>
    <w:rPr>
      <w:sz w:val="18"/>
      <w:szCs w:val="18"/>
    </w:rPr>
  </w:style>
  <w:style w:type="paragraph" w:styleId="TOC9">
    <w:name w:val="toc 9"/>
    <w:basedOn w:val="Normal"/>
    <w:next w:val="Normal"/>
    <w:autoRedefine/>
    <w:uiPriority w:val="39"/>
    <w:unhideWhenUsed/>
    <w:qFormat/>
    <w:rsid w:val="002505AF"/>
    <w:pPr>
      <w:ind w:left="1920"/>
    </w:pPr>
    <w:rPr>
      <w:sz w:val="18"/>
      <w:szCs w:val="18"/>
    </w:rPr>
  </w:style>
  <w:style w:type="paragraph" w:styleId="BalloonText">
    <w:name w:val="Balloon Text"/>
    <w:basedOn w:val="Normal"/>
    <w:link w:val="BalloonTextChar"/>
    <w:uiPriority w:val="99"/>
    <w:semiHidden/>
    <w:unhideWhenUsed/>
    <w:rsid w:val="0079764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7643"/>
    <w:rPr>
      <w:rFonts w:ascii="Lucida Grande" w:hAnsi="Lucida Grande" w:cs="Lucida Grande"/>
      <w:sz w:val="18"/>
      <w:szCs w:val="18"/>
    </w:rPr>
  </w:style>
  <w:style w:type="paragraph" w:styleId="Caption">
    <w:name w:val="caption"/>
    <w:basedOn w:val="Normal"/>
    <w:next w:val="Normal"/>
    <w:link w:val="CaptionChar"/>
    <w:uiPriority w:val="35"/>
    <w:unhideWhenUsed/>
    <w:qFormat/>
    <w:rsid w:val="00F914D1"/>
    <w:pPr>
      <w:spacing w:line="240" w:lineRule="auto"/>
    </w:pPr>
    <w:rPr>
      <w:rFonts w:ascii="Times New Roman" w:hAnsi="Times New Roman" w:cs="Times New Roman"/>
      <w:b/>
      <w:sz w:val="20"/>
      <w:lang w:val="en-GB"/>
    </w:rPr>
  </w:style>
  <w:style w:type="character" w:customStyle="1" w:styleId="CaptionChar">
    <w:name w:val="Caption Char"/>
    <w:link w:val="Caption"/>
    <w:uiPriority w:val="35"/>
    <w:rsid w:val="00F914D1"/>
    <w:rPr>
      <w:rFonts w:ascii="Times New Roman" w:hAnsi="Times New Roman" w:cs="Times New Roman"/>
      <w:b/>
      <w:sz w:val="20"/>
      <w:lang w:val="en-GB"/>
    </w:rPr>
  </w:style>
  <w:style w:type="character" w:styleId="FootnoteReference">
    <w:name w:val="footnote reference"/>
    <w:uiPriority w:val="99"/>
    <w:rsid w:val="00C63750"/>
    <w:rPr>
      <w:rFonts w:ascii="Arial" w:hAnsi="Arial"/>
      <w:sz w:val="19"/>
      <w:vertAlign w:val="superscript"/>
    </w:rPr>
  </w:style>
  <w:style w:type="paragraph" w:styleId="FootnoteText">
    <w:name w:val="footnote text"/>
    <w:basedOn w:val="Normal"/>
    <w:link w:val="FootnoteTextChar"/>
    <w:uiPriority w:val="99"/>
    <w:rsid w:val="00C63750"/>
    <w:pPr>
      <w:spacing w:before="60" w:after="240" w:line="280" w:lineRule="exact"/>
    </w:pPr>
    <w:rPr>
      <w:rFonts w:ascii="Arial" w:eastAsia="Times" w:hAnsi="Arial" w:cs="Times New Roman"/>
      <w:color w:val="000000"/>
      <w:sz w:val="16"/>
      <w:szCs w:val="20"/>
      <w:lang w:val="en-GB"/>
    </w:rPr>
  </w:style>
  <w:style w:type="character" w:customStyle="1" w:styleId="FootnoteTextChar">
    <w:name w:val="Footnote Text Char"/>
    <w:basedOn w:val="DefaultParagraphFont"/>
    <w:link w:val="FootnoteText"/>
    <w:uiPriority w:val="99"/>
    <w:rsid w:val="00C63750"/>
    <w:rPr>
      <w:rFonts w:ascii="Arial" w:eastAsia="Times" w:hAnsi="Arial" w:cs="Times New Roman"/>
      <w:color w:val="000000"/>
      <w:sz w:val="16"/>
      <w:szCs w:val="20"/>
      <w:lang w:val="en-GB"/>
    </w:rPr>
  </w:style>
  <w:style w:type="paragraph" w:styleId="NormalWeb">
    <w:name w:val="Normal (Web)"/>
    <w:basedOn w:val="Normal"/>
    <w:uiPriority w:val="99"/>
    <w:unhideWhenUsed/>
    <w:rsid w:val="0007030C"/>
    <w:pPr>
      <w:spacing w:before="100" w:beforeAutospacing="1" w:after="100" w:afterAutospacing="1"/>
    </w:pPr>
    <w:rPr>
      <w:rFonts w:ascii="Times" w:hAnsi="Times" w:cs="Times New Roman"/>
      <w:sz w:val="20"/>
      <w:szCs w:val="20"/>
    </w:rPr>
  </w:style>
  <w:style w:type="paragraph" w:styleId="Subtitle">
    <w:name w:val="Subtitle"/>
    <w:basedOn w:val="Normal"/>
    <w:link w:val="SubtitleChar"/>
    <w:uiPriority w:val="11"/>
    <w:qFormat/>
    <w:rsid w:val="004D290E"/>
    <w:pPr>
      <w:spacing w:after="480"/>
      <w:jc w:val="center"/>
    </w:pPr>
    <w:rPr>
      <w:rFonts w:asciiTheme="majorHAnsi" w:eastAsiaTheme="minorHAnsi" w:hAnsiTheme="majorHAnsi" w:cstheme="minorHAnsi"/>
      <w:color w:val="000000"/>
      <w:sz w:val="28"/>
    </w:rPr>
  </w:style>
  <w:style w:type="character" w:customStyle="1" w:styleId="SubtitleChar">
    <w:name w:val="Subtitle Char"/>
    <w:basedOn w:val="DefaultParagraphFont"/>
    <w:link w:val="Subtitle"/>
    <w:uiPriority w:val="11"/>
    <w:rsid w:val="004D290E"/>
    <w:rPr>
      <w:rFonts w:asciiTheme="majorHAnsi" w:eastAsiaTheme="minorHAnsi" w:hAnsiTheme="majorHAnsi" w:cstheme="minorHAnsi"/>
      <w:color w:val="000000"/>
      <w:sz w:val="28"/>
    </w:rPr>
  </w:style>
  <w:style w:type="paragraph" w:styleId="BlockText">
    <w:name w:val="Block Text"/>
    <w:aliases w:val="Block Quote"/>
    <w:uiPriority w:val="40"/>
    <w:rsid w:val="004D290E"/>
    <w:pPr>
      <w:pBdr>
        <w:top w:val="single" w:sz="2" w:space="10" w:color="95B3D7" w:themeColor="accent1" w:themeTint="99"/>
        <w:bottom w:val="single" w:sz="24" w:space="10" w:color="95B3D7" w:themeColor="accent1" w:themeTint="99"/>
      </w:pBdr>
      <w:spacing w:after="280"/>
      <w:ind w:left="1440" w:right="1440"/>
      <w:jc w:val="both"/>
    </w:pPr>
    <w:rPr>
      <w:rFonts w:eastAsia="Times New Roman" w:cs="Times New Roman"/>
      <w:color w:val="808080" w:themeColor="background1" w:themeShade="80"/>
      <w:sz w:val="28"/>
      <w:szCs w:val="28"/>
      <w:lang w:eastAsia="ko-KR" w:bidi="hi-IN"/>
    </w:rPr>
  </w:style>
  <w:style w:type="character" w:styleId="BookTitle">
    <w:name w:val="Book Title"/>
    <w:basedOn w:val="DefaultParagraphFont"/>
    <w:uiPriority w:val="33"/>
    <w:qFormat/>
    <w:rsid w:val="004D290E"/>
    <w:rPr>
      <w:rFonts w:asciiTheme="majorHAnsi" w:hAnsiTheme="majorHAnsi" w:cs="Times New Roman"/>
      <w:i/>
      <w:color w:val="F79646" w:themeColor="accent6"/>
      <w:sz w:val="20"/>
      <w:szCs w:val="20"/>
    </w:rPr>
  </w:style>
  <w:style w:type="character" w:styleId="Emphasis">
    <w:name w:val="Emphasis"/>
    <w:uiPriority w:val="20"/>
    <w:qFormat/>
    <w:rsid w:val="004D290E"/>
    <w:rPr>
      <w:b/>
      <w:i/>
      <w:color w:val="404040" w:themeColor="text1" w:themeTint="BF"/>
      <w:spacing w:val="2"/>
      <w:w w:val="100"/>
    </w:rPr>
  </w:style>
  <w:style w:type="paragraph" w:styleId="Header">
    <w:name w:val="header"/>
    <w:basedOn w:val="Normal"/>
    <w:link w:val="HeaderChar"/>
    <w:uiPriority w:val="99"/>
    <w:unhideWhenUsed/>
    <w:rsid w:val="004D290E"/>
    <w:pPr>
      <w:tabs>
        <w:tab w:val="center" w:pos="4320"/>
        <w:tab w:val="right" w:pos="8640"/>
      </w:tabs>
      <w:spacing w:line="276" w:lineRule="auto"/>
    </w:pPr>
    <w:rPr>
      <w:rFonts w:ascii="Times New Roman" w:eastAsiaTheme="minorHAnsi" w:hAnsi="Times New Roman" w:cs="Times New Roman"/>
      <w:color w:val="000000" w:themeColor="text1"/>
      <w:szCs w:val="20"/>
    </w:rPr>
  </w:style>
  <w:style w:type="character" w:customStyle="1" w:styleId="HeaderChar">
    <w:name w:val="Header Char"/>
    <w:basedOn w:val="DefaultParagraphFont"/>
    <w:link w:val="Header"/>
    <w:uiPriority w:val="99"/>
    <w:rsid w:val="004D290E"/>
    <w:rPr>
      <w:rFonts w:ascii="Times New Roman" w:eastAsiaTheme="minorHAnsi" w:hAnsi="Times New Roman" w:cs="Times New Roman"/>
      <w:color w:val="000000" w:themeColor="text1"/>
      <w:szCs w:val="20"/>
    </w:rPr>
  </w:style>
  <w:style w:type="character" w:styleId="IntenseEmphasis">
    <w:name w:val="Intense Emphasis"/>
    <w:basedOn w:val="DefaultParagraphFont"/>
    <w:uiPriority w:val="21"/>
    <w:qFormat/>
    <w:rsid w:val="004D290E"/>
    <w:rPr>
      <w:rFonts w:asciiTheme="minorHAnsi" w:hAnsiTheme="minorHAnsi" w:cs="Times New Roman"/>
      <w:b/>
      <w:i/>
      <w:smallCaps/>
      <w:color w:val="C0504D" w:themeColor="accent2"/>
      <w:spacing w:val="2"/>
      <w:w w:val="100"/>
      <w:sz w:val="20"/>
      <w:szCs w:val="20"/>
    </w:rPr>
  </w:style>
  <w:style w:type="paragraph" w:styleId="IntenseQuote">
    <w:name w:val="Intense Quote"/>
    <w:basedOn w:val="Normal"/>
    <w:link w:val="IntenseQuoteChar"/>
    <w:qFormat/>
    <w:rsid w:val="004D290E"/>
    <w:pPr>
      <w:pBdr>
        <w:top w:val="single" w:sz="36" w:space="10" w:color="95B3D7" w:themeColor="accent1" w:themeTint="99"/>
        <w:left w:val="single" w:sz="24" w:space="10" w:color="4F81BD" w:themeColor="accent1"/>
        <w:bottom w:val="single" w:sz="36" w:space="10" w:color="9BBB59" w:themeColor="accent3"/>
        <w:right w:val="single" w:sz="24" w:space="10" w:color="4F81BD" w:themeColor="accent1"/>
      </w:pBdr>
      <w:shd w:val="clear" w:color="auto" w:fill="4F81BD" w:themeFill="accent1"/>
      <w:spacing w:line="276" w:lineRule="auto"/>
      <w:ind w:left="1440" w:right="1440"/>
      <w:jc w:val="center"/>
    </w:pPr>
    <w:rPr>
      <w:rFonts w:asciiTheme="majorHAnsi" w:eastAsiaTheme="minorHAnsi" w:hAnsiTheme="majorHAnsi" w:cs="Times New Roman"/>
      <w:i/>
      <w:color w:val="FFFFFF" w:themeColor="background1"/>
      <w:sz w:val="32"/>
      <w:szCs w:val="20"/>
    </w:rPr>
  </w:style>
  <w:style w:type="character" w:customStyle="1" w:styleId="IntenseQuoteChar">
    <w:name w:val="Intense Quote Char"/>
    <w:basedOn w:val="DefaultParagraphFont"/>
    <w:link w:val="IntenseQuote"/>
    <w:rsid w:val="004D290E"/>
    <w:rPr>
      <w:rFonts w:asciiTheme="majorHAnsi" w:eastAsiaTheme="minorHAnsi" w:hAnsiTheme="majorHAnsi" w:cs="Times New Roman"/>
      <w:i/>
      <w:color w:val="FFFFFF" w:themeColor="background1"/>
      <w:sz w:val="32"/>
      <w:szCs w:val="20"/>
      <w:shd w:val="clear" w:color="auto" w:fill="4F81BD" w:themeFill="accent1"/>
    </w:rPr>
  </w:style>
  <w:style w:type="character" w:styleId="IntenseReference">
    <w:name w:val="Intense Reference"/>
    <w:basedOn w:val="DefaultParagraphFont"/>
    <w:uiPriority w:val="32"/>
    <w:qFormat/>
    <w:rsid w:val="004D290E"/>
    <w:rPr>
      <w:rFonts w:cs="Times New Roman"/>
      <w:b/>
      <w:color w:val="4F81BD" w:themeColor="accent1"/>
      <w:sz w:val="22"/>
      <w:szCs w:val="20"/>
      <w:u w:val="single"/>
    </w:rPr>
  </w:style>
  <w:style w:type="paragraph" w:styleId="ListBullet">
    <w:name w:val="List Bullet"/>
    <w:basedOn w:val="Normal"/>
    <w:uiPriority w:val="36"/>
    <w:unhideWhenUsed/>
    <w:qFormat/>
    <w:rsid w:val="004D290E"/>
    <w:pPr>
      <w:numPr>
        <w:numId w:val="7"/>
      </w:numPr>
      <w:spacing w:line="276" w:lineRule="auto"/>
      <w:contextualSpacing/>
    </w:pPr>
    <w:rPr>
      <w:rFonts w:ascii="Times New Roman" w:eastAsiaTheme="minorHAnsi" w:hAnsi="Times New Roman" w:cs="Times New Roman"/>
      <w:color w:val="000000" w:themeColor="text1"/>
      <w:szCs w:val="20"/>
    </w:rPr>
  </w:style>
  <w:style w:type="paragraph" w:styleId="ListBullet2">
    <w:name w:val="List Bullet 2"/>
    <w:basedOn w:val="Normal"/>
    <w:uiPriority w:val="36"/>
    <w:unhideWhenUsed/>
    <w:qFormat/>
    <w:rsid w:val="004D290E"/>
    <w:pPr>
      <w:numPr>
        <w:numId w:val="8"/>
      </w:numPr>
      <w:spacing w:line="276" w:lineRule="auto"/>
    </w:pPr>
    <w:rPr>
      <w:rFonts w:ascii="Times New Roman" w:eastAsiaTheme="minorHAnsi" w:hAnsi="Times New Roman" w:cs="Times New Roman"/>
      <w:color w:val="000000" w:themeColor="text1"/>
      <w:szCs w:val="20"/>
    </w:rPr>
  </w:style>
  <w:style w:type="paragraph" w:styleId="ListBullet3">
    <w:name w:val="List Bullet 3"/>
    <w:basedOn w:val="Normal"/>
    <w:uiPriority w:val="36"/>
    <w:unhideWhenUsed/>
    <w:qFormat/>
    <w:rsid w:val="004D290E"/>
    <w:pPr>
      <w:numPr>
        <w:numId w:val="9"/>
      </w:numPr>
      <w:spacing w:line="276" w:lineRule="auto"/>
    </w:pPr>
    <w:rPr>
      <w:rFonts w:ascii="Times New Roman" w:eastAsiaTheme="minorHAnsi" w:hAnsi="Times New Roman" w:cs="Times New Roman"/>
      <w:color w:val="000000" w:themeColor="text1"/>
      <w:szCs w:val="20"/>
    </w:rPr>
  </w:style>
  <w:style w:type="paragraph" w:styleId="ListBullet4">
    <w:name w:val="List Bullet 4"/>
    <w:basedOn w:val="Normal"/>
    <w:uiPriority w:val="36"/>
    <w:unhideWhenUsed/>
    <w:qFormat/>
    <w:rsid w:val="004D290E"/>
    <w:pPr>
      <w:numPr>
        <w:numId w:val="10"/>
      </w:numPr>
      <w:spacing w:line="276" w:lineRule="auto"/>
    </w:pPr>
    <w:rPr>
      <w:rFonts w:ascii="Times New Roman" w:eastAsiaTheme="minorHAnsi" w:hAnsi="Times New Roman" w:cs="Times New Roman"/>
      <w:color w:val="000000" w:themeColor="text1"/>
      <w:szCs w:val="20"/>
    </w:rPr>
  </w:style>
  <w:style w:type="paragraph" w:styleId="ListBullet5">
    <w:name w:val="List Bullet 5"/>
    <w:basedOn w:val="Normal"/>
    <w:uiPriority w:val="36"/>
    <w:unhideWhenUsed/>
    <w:qFormat/>
    <w:rsid w:val="004D290E"/>
    <w:pPr>
      <w:numPr>
        <w:numId w:val="11"/>
      </w:numPr>
      <w:spacing w:line="276" w:lineRule="auto"/>
    </w:pPr>
    <w:rPr>
      <w:rFonts w:ascii="Times New Roman" w:eastAsiaTheme="minorHAnsi" w:hAnsi="Times New Roman" w:cs="Times New Roman"/>
      <w:color w:val="000000" w:themeColor="text1"/>
      <w:szCs w:val="20"/>
    </w:rPr>
  </w:style>
  <w:style w:type="paragraph" w:styleId="NoSpacing">
    <w:name w:val="No Spacing"/>
    <w:basedOn w:val="Normal"/>
    <w:link w:val="NoSpacingChar"/>
    <w:uiPriority w:val="1"/>
    <w:qFormat/>
    <w:rsid w:val="004D290E"/>
    <w:rPr>
      <w:rFonts w:ascii="Times New Roman" w:eastAsiaTheme="minorHAnsi" w:hAnsi="Times New Roman" w:cs="Times New Roman"/>
      <w:color w:val="000000" w:themeColor="text1"/>
      <w:szCs w:val="20"/>
    </w:rPr>
  </w:style>
  <w:style w:type="character" w:customStyle="1" w:styleId="NoSpacingChar">
    <w:name w:val="No Spacing Char"/>
    <w:basedOn w:val="DefaultParagraphFont"/>
    <w:link w:val="NoSpacing"/>
    <w:uiPriority w:val="1"/>
    <w:rsid w:val="004D290E"/>
    <w:rPr>
      <w:rFonts w:ascii="Times New Roman" w:eastAsiaTheme="minorHAnsi" w:hAnsi="Times New Roman" w:cs="Times New Roman"/>
      <w:color w:val="000000" w:themeColor="text1"/>
      <w:szCs w:val="20"/>
    </w:rPr>
  </w:style>
  <w:style w:type="paragraph" w:styleId="Quote">
    <w:name w:val="Quote"/>
    <w:basedOn w:val="Normal"/>
    <w:link w:val="QuoteChar"/>
    <w:uiPriority w:val="29"/>
    <w:qFormat/>
    <w:rsid w:val="004D290E"/>
    <w:pPr>
      <w:spacing w:line="276" w:lineRule="auto"/>
    </w:pPr>
    <w:rPr>
      <w:rFonts w:ascii="Times New Roman" w:eastAsiaTheme="minorHAnsi" w:hAnsi="Times New Roman" w:cs="Times New Roman"/>
      <w:i/>
      <w:color w:val="808080" w:themeColor="background1" w:themeShade="80"/>
      <w:szCs w:val="20"/>
    </w:rPr>
  </w:style>
  <w:style w:type="character" w:customStyle="1" w:styleId="QuoteChar">
    <w:name w:val="Quote Char"/>
    <w:basedOn w:val="DefaultParagraphFont"/>
    <w:link w:val="Quote"/>
    <w:uiPriority w:val="29"/>
    <w:rsid w:val="004D290E"/>
    <w:rPr>
      <w:rFonts w:ascii="Times New Roman" w:eastAsiaTheme="minorHAnsi" w:hAnsi="Times New Roman" w:cs="Times New Roman"/>
      <w:i/>
      <w:color w:val="808080" w:themeColor="background1" w:themeShade="80"/>
      <w:szCs w:val="20"/>
    </w:rPr>
  </w:style>
  <w:style w:type="character" w:styleId="Strong">
    <w:name w:val="Strong"/>
    <w:uiPriority w:val="22"/>
    <w:qFormat/>
    <w:rsid w:val="004D290E"/>
    <w:rPr>
      <w:rFonts w:asciiTheme="minorHAnsi" w:hAnsiTheme="minorHAnsi"/>
      <w:b/>
      <w:color w:val="C0504D" w:themeColor="accent2"/>
    </w:rPr>
  </w:style>
  <w:style w:type="character" w:styleId="SubtleEmphasis">
    <w:name w:val="Subtle Emphasis"/>
    <w:basedOn w:val="DefaultParagraphFont"/>
    <w:uiPriority w:val="19"/>
    <w:qFormat/>
    <w:rsid w:val="004D290E"/>
    <w:rPr>
      <w:rFonts w:asciiTheme="minorHAnsi" w:hAnsiTheme="minorHAnsi" w:cs="Times New Roman"/>
      <w:i/>
      <w:color w:val="737373" w:themeColor="text1" w:themeTint="8C"/>
      <w:spacing w:val="2"/>
      <w:w w:val="100"/>
      <w:kern w:val="0"/>
      <w:sz w:val="22"/>
      <w:szCs w:val="24"/>
    </w:rPr>
  </w:style>
  <w:style w:type="character" w:styleId="SubtleReference">
    <w:name w:val="Subtle Reference"/>
    <w:basedOn w:val="DefaultParagraphFont"/>
    <w:uiPriority w:val="31"/>
    <w:qFormat/>
    <w:rsid w:val="004D290E"/>
    <w:rPr>
      <w:rFonts w:cs="Times New Roman"/>
      <w:color w:val="737373" w:themeColor="text1" w:themeTint="8C"/>
      <w:sz w:val="22"/>
      <w:szCs w:val="20"/>
      <w:u w:val="single"/>
    </w:rPr>
  </w:style>
  <w:style w:type="character" w:customStyle="1" w:styleId="BodyText2Char">
    <w:name w:val="Body Text 2 Char"/>
    <w:basedOn w:val="DefaultParagraphFont"/>
    <w:link w:val="BodyText2"/>
    <w:semiHidden/>
    <w:rsid w:val="004D290E"/>
    <w:rPr>
      <w:rFonts w:ascii="Times New Roman" w:eastAsia="SimSun" w:hAnsi="Times New Roman" w:cs="Times New Roman"/>
      <w:noProof/>
      <w:sz w:val="20"/>
      <w:szCs w:val="20"/>
      <w:lang w:val="en-GB" w:eastAsia="zh-CN"/>
    </w:rPr>
  </w:style>
  <w:style w:type="paragraph" w:styleId="BodyText2">
    <w:name w:val="Body Text 2"/>
    <w:basedOn w:val="Normal"/>
    <w:link w:val="BodyText2Char"/>
    <w:semiHidden/>
    <w:rsid w:val="004D290E"/>
    <w:pPr>
      <w:spacing w:line="480" w:lineRule="auto"/>
    </w:pPr>
    <w:rPr>
      <w:rFonts w:ascii="Times New Roman" w:eastAsia="SimSun" w:hAnsi="Times New Roman" w:cs="Times New Roman"/>
      <w:noProof/>
      <w:sz w:val="20"/>
      <w:szCs w:val="20"/>
      <w:lang w:val="en-GB" w:eastAsia="zh-CN"/>
    </w:rPr>
  </w:style>
  <w:style w:type="paragraph" w:customStyle="1" w:styleId="ColorfulList-Accent11">
    <w:name w:val="Colorful List - Accent 11"/>
    <w:basedOn w:val="Normal"/>
    <w:uiPriority w:val="34"/>
    <w:qFormat/>
    <w:rsid w:val="004D290E"/>
    <w:pPr>
      <w:spacing w:after="200" w:line="276" w:lineRule="auto"/>
      <w:ind w:left="720"/>
      <w:contextualSpacing/>
    </w:pPr>
    <w:rPr>
      <w:rFonts w:ascii="Times New Roman" w:eastAsia="Cambria" w:hAnsi="Times New Roman" w:cs="Times New Roman"/>
      <w:szCs w:val="22"/>
    </w:rPr>
  </w:style>
  <w:style w:type="character" w:styleId="Hyperlink">
    <w:name w:val="Hyperlink"/>
    <w:uiPriority w:val="99"/>
    <w:unhideWhenUsed/>
    <w:rsid w:val="004D290E"/>
    <w:rPr>
      <w:color w:val="0000FF"/>
      <w:u w:val="single"/>
    </w:rPr>
  </w:style>
  <w:style w:type="character" w:customStyle="1" w:styleId="apple-converted-space">
    <w:name w:val="apple-converted-space"/>
    <w:basedOn w:val="DefaultParagraphFont"/>
    <w:rsid w:val="004D290E"/>
  </w:style>
  <w:style w:type="character" w:customStyle="1" w:styleId="ssens">
    <w:name w:val="ssens"/>
    <w:rsid w:val="004D290E"/>
  </w:style>
  <w:style w:type="character" w:customStyle="1" w:styleId="st">
    <w:name w:val="st"/>
    <w:rsid w:val="004D290E"/>
  </w:style>
  <w:style w:type="paragraph" w:customStyle="1" w:styleId="no">
    <w:name w:val="no"/>
    <w:basedOn w:val="Heading2"/>
    <w:rsid w:val="004D290E"/>
    <w:pPr>
      <w:keepLines w:val="0"/>
      <w:spacing w:before="240" w:after="120"/>
    </w:pPr>
    <w:rPr>
      <w:rFonts w:ascii="Times New Roman" w:eastAsia="MS Gothic" w:hAnsi="Times New Roman" w:cs="Times New Roman"/>
      <w:iCs/>
      <w:lang w:val="en-GB"/>
    </w:rPr>
  </w:style>
  <w:style w:type="paragraph" w:customStyle="1" w:styleId="norm">
    <w:name w:val="norm"/>
    <w:basedOn w:val="Heading1"/>
    <w:rsid w:val="004D290E"/>
    <w:pPr>
      <w:keepNext w:val="0"/>
      <w:keepLines w:val="0"/>
    </w:pPr>
    <w:rPr>
      <w:rFonts w:ascii="Times New Roman" w:eastAsia="MS Mincho" w:hAnsi="Times New Roman" w:cs="Times New Roman"/>
      <w:bCs w:val="0"/>
      <w:szCs w:val="24"/>
      <w:lang w:val="en-GB"/>
    </w:rPr>
  </w:style>
  <w:style w:type="paragraph" w:styleId="TableofFigures">
    <w:name w:val="table of figures"/>
    <w:basedOn w:val="Normal"/>
    <w:next w:val="Normal"/>
    <w:uiPriority w:val="99"/>
    <w:unhideWhenUsed/>
    <w:rsid w:val="004D290E"/>
    <w:pPr>
      <w:ind w:left="480" w:hanging="480"/>
    </w:pPr>
    <w:rPr>
      <w:rFonts w:ascii="Times New Roman" w:eastAsia="MS Mincho" w:hAnsi="Times New Roman" w:cs="Times New Roman"/>
    </w:rPr>
  </w:style>
  <w:style w:type="character" w:customStyle="1" w:styleId="BodyTextChar">
    <w:name w:val="Body Text Char"/>
    <w:basedOn w:val="DefaultParagraphFont"/>
    <w:link w:val="BodyText"/>
    <w:uiPriority w:val="99"/>
    <w:semiHidden/>
    <w:rsid w:val="004D290E"/>
    <w:rPr>
      <w:rFonts w:ascii="Times New Roman" w:eastAsiaTheme="minorHAnsi" w:hAnsi="Times New Roman" w:cs="Times New Roman"/>
      <w:color w:val="000000" w:themeColor="text1"/>
      <w:szCs w:val="20"/>
    </w:rPr>
  </w:style>
  <w:style w:type="paragraph" w:styleId="BodyText">
    <w:name w:val="Body Text"/>
    <w:basedOn w:val="Normal"/>
    <w:link w:val="BodyTextChar"/>
    <w:uiPriority w:val="99"/>
    <w:semiHidden/>
    <w:unhideWhenUsed/>
    <w:rsid w:val="004D290E"/>
    <w:pPr>
      <w:spacing w:line="276" w:lineRule="auto"/>
    </w:pPr>
    <w:rPr>
      <w:rFonts w:ascii="Times New Roman" w:eastAsiaTheme="minorHAnsi" w:hAnsi="Times New Roman" w:cs="Times New Roman"/>
      <w:color w:val="000000" w:themeColor="text1"/>
      <w:szCs w:val="20"/>
    </w:rPr>
  </w:style>
  <w:style w:type="table" w:styleId="LightShading-Accent1">
    <w:name w:val="Light Shading Accent 1"/>
    <w:basedOn w:val="TableNormal"/>
    <w:uiPriority w:val="60"/>
    <w:rsid w:val="002F2D3A"/>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FB27C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semiHidden/>
    <w:unhideWhenUsed/>
    <w:rsid w:val="00E54273"/>
    <w:rPr>
      <w:sz w:val="18"/>
      <w:szCs w:val="18"/>
    </w:rPr>
  </w:style>
  <w:style w:type="paragraph" w:styleId="CommentText">
    <w:name w:val="annotation text"/>
    <w:basedOn w:val="Normal"/>
    <w:link w:val="CommentTextChar"/>
    <w:uiPriority w:val="99"/>
    <w:semiHidden/>
    <w:unhideWhenUsed/>
    <w:rsid w:val="00E54273"/>
  </w:style>
  <w:style w:type="character" w:customStyle="1" w:styleId="CommentTextChar">
    <w:name w:val="Comment Text Char"/>
    <w:basedOn w:val="DefaultParagraphFont"/>
    <w:link w:val="CommentText"/>
    <w:uiPriority w:val="99"/>
    <w:semiHidden/>
    <w:rsid w:val="00E54273"/>
  </w:style>
  <w:style w:type="paragraph" w:styleId="CommentSubject">
    <w:name w:val="annotation subject"/>
    <w:basedOn w:val="CommentText"/>
    <w:next w:val="CommentText"/>
    <w:link w:val="CommentSubjectChar"/>
    <w:uiPriority w:val="99"/>
    <w:semiHidden/>
    <w:unhideWhenUsed/>
    <w:rsid w:val="00E54273"/>
    <w:rPr>
      <w:b/>
      <w:bCs/>
      <w:sz w:val="20"/>
      <w:szCs w:val="20"/>
    </w:rPr>
  </w:style>
  <w:style w:type="character" w:customStyle="1" w:styleId="CommentSubjectChar">
    <w:name w:val="Comment Subject Char"/>
    <w:basedOn w:val="CommentTextChar"/>
    <w:link w:val="CommentSubject"/>
    <w:uiPriority w:val="99"/>
    <w:semiHidden/>
    <w:rsid w:val="00E54273"/>
    <w:rPr>
      <w:b/>
      <w:bCs/>
      <w:sz w:val="20"/>
      <w:szCs w:val="20"/>
    </w:rPr>
  </w:style>
  <w:style w:type="paragraph" w:styleId="Revision">
    <w:name w:val="Revision"/>
    <w:hidden/>
    <w:uiPriority w:val="99"/>
    <w:semiHidden/>
    <w:rsid w:val="00AF4D10"/>
  </w:style>
  <w:style w:type="paragraph" w:styleId="DocumentMap">
    <w:name w:val="Document Map"/>
    <w:basedOn w:val="Normal"/>
    <w:link w:val="DocumentMapChar"/>
    <w:uiPriority w:val="99"/>
    <w:semiHidden/>
    <w:unhideWhenUsed/>
    <w:rsid w:val="002F720B"/>
    <w:rPr>
      <w:rFonts w:ascii="Lucida Grande" w:hAnsi="Lucida Grande" w:cs="Lucida Grande"/>
    </w:rPr>
  </w:style>
  <w:style w:type="character" w:customStyle="1" w:styleId="DocumentMapChar">
    <w:name w:val="Document Map Char"/>
    <w:basedOn w:val="DefaultParagraphFont"/>
    <w:link w:val="DocumentMap"/>
    <w:uiPriority w:val="99"/>
    <w:semiHidden/>
    <w:rsid w:val="002F720B"/>
    <w:rPr>
      <w:rFonts w:ascii="Lucida Grande" w:hAnsi="Lucida Grande" w:cs="Lucida Grande"/>
    </w:rPr>
  </w:style>
  <w:style w:type="table" w:styleId="MediumList1-Accent5">
    <w:name w:val="Medium List 1 Accent 5"/>
    <w:basedOn w:val="TableNormal"/>
    <w:uiPriority w:val="65"/>
    <w:rsid w:val="004343E0"/>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1">
    <w:name w:val="Medium List 1 Accent 1"/>
    <w:basedOn w:val="TableNormal"/>
    <w:uiPriority w:val="65"/>
    <w:rsid w:val="00182A98"/>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4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654"/>
    <w:pPr>
      <w:spacing w:after="120" w:line="360" w:lineRule="auto"/>
    </w:pPr>
  </w:style>
  <w:style w:type="paragraph" w:styleId="Heading1">
    <w:name w:val="heading 1"/>
    <w:basedOn w:val="Normal"/>
    <w:next w:val="Normal"/>
    <w:link w:val="Heading1Char"/>
    <w:uiPriority w:val="9"/>
    <w:qFormat/>
    <w:rsid w:val="00A364E7"/>
    <w:pPr>
      <w:keepNext/>
      <w:keepLines/>
      <w:spacing w:before="12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A36E47"/>
    <w:pPr>
      <w:keepNext/>
      <w:keepLines/>
      <w:spacing w:after="4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94388"/>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4D290E"/>
    <w:pPr>
      <w:spacing w:before="240" w:line="276" w:lineRule="auto"/>
      <w:outlineLvl w:val="3"/>
    </w:pPr>
    <w:rPr>
      <w:rFonts w:asciiTheme="majorHAnsi" w:eastAsiaTheme="minorHAnsi" w:hAnsiTheme="majorHAnsi" w:cs="Times New Roman"/>
      <w:b/>
      <w:color w:val="76923C" w:themeColor="accent3" w:themeShade="BF"/>
      <w:spacing w:val="20"/>
      <w:szCs w:val="22"/>
    </w:rPr>
  </w:style>
  <w:style w:type="paragraph" w:styleId="Heading5">
    <w:name w:val="heading 5"/>
    <w:basedOn w:val="Normal"/>
    <w:next w:val="Normal"/>
    <w:link w:val="Heading5Char"/>
    <w:uiPriority w:val="9"/>
    <w:unhideWhenUsed/>
    <w:qFormat/>
    <w:rsid w:val="004D290E"/>
    <w:pPr>
      <w:spacing w:before="200" w:line="276" w:lineRule="auto"/>
      <w:outlineLvl w:val="4"/>
    </w:pPr>
    <w:rPr>
      <w:rFonts w:asciiTheme="majorHAnsi" w:eastAsiaTheme="minorHAnsi" w:hAnsiTheme="majorHAnsi" w:cs="Times New Roman"/>
      <w:b/>
      <w:i/>
      <w:color w:val="76923C" w:themeColor="accent3" w:themeShade="BF"/>
      <w:spacing w:val="20"/>
      <w:szCs w:val="26"/>
    </w:rPr>
  </w:style>
  <w:style w:type="paragraph" w:styleId="Heading6">
    <w:name w:val="heading 6"/>
    <w:basedOn w:val="Normal"/>
    <w:next w:val="Normal"/>
    <w:link w:val="Heading6Char"/>
    <w:uiPriority w:val="9"/>
    <w:unhideWhenUsed/>
    <w:qFormat/>
    <w:rsid w:val="004D290E"/>
    <w:pPr>
      <w:spacing w:before="200" w:line="276" w:lineRule="auto"/>
      <w:outlineLvl w:val="5"/>
    </w:pPr>
    <w:rPr>
      <w:rFonts w:asciiTheme="majorHAnsi" w:eastAsiaTheme="minorHAnsi" w:hAnsiTheme="majorHAnsi" w:cs="Times New Roman"/>
      <w:color w:val="4F6228" w:themeColor="accent3" w:themeShade="80"/>
      <w:spacing w:val="10"/>
      <w:szCs w:val="20"/>
    </w:rPr>
  </w:style>
  <w:style w:type="paragraph" w:styleId="Heading7">
    <w:name w:val="heading 7"/>
    <w:basedOn w:val="Normal"/>
    <w:next w:val="Normal"/>
    <w:link w:val="Heading7Char"/>
    <w:uiPriority w:val="9"/>
    <w:unhideWhenUsed/>
    <w:qFormat/>
    <w:rsid w:val="004D290E"/>
    <w:pPr>
      <w:spacing w:before="200" w:line="276" w:lineRule="auto"/>
      <w:outlineLvl w:val="6"/>
    </w:pPr>
    <w:rPr>
      <w:rFonts w:asciiTheme="majorHAnsi" w:eastAsiaTheme="minorHAnsi" w:hAnsiTheme="majorHAnsi" w:cs="Times New Roman"/>
      <w:i/>
      <w:color w:val="4F6228" w:themeColor="accent3" w:themeShade="80"/>
      <w:spacing w:val="10"/>
      <w:szCs w:val="20"/>
    </w:rPr>
  </w:style>
  <w:style w:type="paragraph" w:styleId="Heading8">
    <w:name w:val="heading 8"/>
    <w:basedOn w:val="Normal"/>
    <w:next w:val="Normal"/>
    <w:link w:val="Heading8Char"/>
    <w:uiPriority w:val="9"/>
    <w:unhideWhenUsed/>
    <w:qFormat/>
    <w:rsid w:val="004D290E"/>
    <w:pPr>
      <w:spacing w:before="200" w:line="276" w:lineRule="auto"/>
      <w:outlineLvl w:val="7"/>
    </w:pPr>
    <w:rPr>
      <w:rFonts w:asciiTheme="majorHAnsi" w:eastAsiaTheme="minorHAnsi" w:hAnsiTheme="majorHAnsi" w:cs="Times New Roman"/>
      <w:color w:val="4F81BD" w:themeColor="accent1"/>
      <w:spacing w:val="10"/>
      <w:szCs w:val="20"/>
    </w:rPr>
  </w:style>
  <w:style w:type="paragraph" w:styleId="Heading9">
    <w:name w:val="heading 9"/>
    <w:basedOn w:val="Normal"/>
    <w:next w:val="Normal"/>
    <w:link w:val="Heading9Char"/>
    <w:uiPriority w:val="9"/>
    <w:unhideWhenUsed/>
    <w:qFormat/>
    <w:rsid w:val="004D290E"/>
    <w:pPr>
      <w:spacing w:before="200" w:line="276" w:lineRule="auto"/>
      <w:outlineLvl w:val="8"/>
    </w:pPr>
    <w:rPr>
      <w:rFonts w:asciiTheme="majorHAnsi" w:eastAsiaTheme="minorHAnsi" w:hAnsiTheme="majorHAnsi" w:cs="Times New Roman"/>
      <w:i/>
      <w:color w:val="4F81BD" w:themeColor="accent1"/>
      <w:spacing w:val="1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4E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A36E4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794388"/>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4D290E"/>
    <w:rPr>
      <w:rFonts w:asciiTheme="majorHAnsi" w:eastAsiaTheme="minorHAnsi" w:hAnsiTheme="majorHAnsi" w:cs="Times New Roman"/>
      <w:b/>
      <w:color w:val="76923C" w:themeColor="accent3" w:themeShade="BF"/>
      <w:spacing w:val="20"/>
      <w:szCs w:val="22"/>
    </w:rPr>
  </w:style>
  <w:style w:type="character" w:customStyle="1" w:styleId="Heading5Char">
    <w:name w:val="Heading 5 Char"/>
    <w:basedOn w:val="DefaultParagraphFont"/>
    <w:link w:val="Heading5"/>
    <w:uiPriority w:val="9"/>
    <w:rsid w:val="004D290E"/>
    <w:rPr>
      <w:rFonts w:asciiTheme="majorHAnsi" w:eastAsiaTheme="minorHAnsi" w:hAnsiTheme="majorHAnsi" w:cs="Times New Roman"/>
      <w:b/>
      <w:i/>
      <w:color w:val="76923C" w:themeColor="accent3" w:themeShade="BF"/>
      <w:spacing w:val="20"/>
      <w:szCs w:val="26"/>
    </w:rPr>
  </w:style>
  <w:style w:type="character" w:customStyle="1" w:styleId="Heading6Char">
    <w:name w:val="Heading 6 Char"/>
    <w:basedOn w:val="DefaultParagraphFont"/>
    <w:link w:val="Heading6"/>
    <w:uiPriority w:val="9"/>
    <w:rsid w:val="004D290E"/>
    <w:rPr>
      <w:rFonts w:asciiTheme="majorHAnsi" w:eastAsiaTheme="minorHAnsi" w:hAnsiTheme="majorHAnsi" w:cs="Times New Roman"/>
      <w:color w:val="4F6228" w:themeColor="accent3" w:themeShade="80"/>
      <w:spacing w:val="10"/>
      <w:szCs w:val="20"/>
    </w:rPr>
  </w:style>
  <w:style w:type="character" w:customStyle="1" w:styleId="Heading7Char">
    <w:name w:val="Heading 7 Char"/>
    <w:basedOn w:val="DefaultParagraphFont"/>
    <w:link w:val="Heading7"/>
    <w:uiPriority w:val="9"/>
    <w:rsid w:val="004D290E"/>
    <w:rPr>
      <w:rFonts w:asciiTheme="majorHAnsi" w:eastAsiaTheme="minorHAnsi" w:hAnsiTheme="majorHAnsi" w:cs="Times New Roman"/>
      <w:i/>
      <w:color w:val="4F6228" w:themeColor="accent3" w:themeShade="80"/>
      <w:spacing w:val="10"/>
      <w:szCs w:val="20"/>
    </w:rPr>
  </w:style>
  <w:style w:type="character" w:customStyle="1" w:styleId="Heading8Char">
    <w:name w:val="Heading 8 Char"/>
    <w:basedOn w:val="DefaultParagraphFont"/>
    <w:link w:val="Heading8"/>
    <w:uiPriority w:val="9"/>
    <w:rsid w:val="004D290E"/>
    <w:rPr>
      <w:rFonts w:asciiTheme="majorHAnsi" w:eastAsiaTheme="minorHAnsi" w:hAnsiTheme="majorHAnsi" w:cs="Times New Roman"/>
      <w:color w:val="4F81BD" w:themeColor="accent1"/>
      <w:spacing w:val="10"/>
      <w:szCs w:val="20"/>
    </w:rPr>
  </w:style>
  <w:style w:type="character" w:customStyle="1" w:styleId="Heading9Char">
    <w:name w:val="Heading 9 Char"/>
    <w:basedOn w:val="DefaultParagraphFont"/>
    <w:link w:val="Heading9"/>
    <w:uiPriority w:val="9"/>
    <w:rsid w:val="004D290E"/>
    <w:rPr>
      <w:rFonts w:asciiTheme="majorHAnsi" w:eastAsiaTheme="minorHAnsi" w:hAnsiTheme="majorHAnsi" w:cs="Times New Roman"/>
      <w:i/>
      <w:color w:val="4F81BD" w:themeColor="accent1"/>
      <w:spacing w:val="10"/>
      <w:szCs w:val="20"/>
    </w:rPr>
  </w:style>
  <w:style w:type="paragraph" w:styleId="Title">
    <w:name w:val="Title"/>
    <w:basedOn w:val="Normal"/>
    <w:next w:val="Normal"/>
    <w:link w:val="TitleChar"/>
    <w:qFormat/>
    <w:rsid w:val="000E2D72"/>
    <w:pPr>
      <w:pBdr>
        <w:bottom w:val="single" w:sz="8" w:space="4" w:color="4F81BD" w:themeColor="accent1"/>
      </w:pBdr>
      <w:contextualSpacing/>
      <w:jc w:val="center"/>
    </w:pPr>
    <w:rPr>
      <w:rFonts w:asciiTheme="majorHAnsi" w:eastAsiaTheme="majorEastAsia" w:hAnsiTheme="majorHAnsi" w:cstheme="majorBidi"/>
      <w:spacing w:val="5"/>
      <w:kern w:val="28"/>
      <w:sz w:val="36"/>
      <w:szCs w:val="36"/>
    </w:rPr>
  </w:style>
  <w:style w:type="character" w:customStyle="1" w:styleId="TitleChar">
    <w:name w:val="Title Char"/>
    <w:basedOn w:val="DefaultParagraphFont"/>
    <w:link w:val="Title"/>
    <w:uiPriority w:val="10"/>
    <w:rsid w:val="000E2D72"/>
    <w:rPr>
      <w:rFonts w:asciiTheme="majorHAnsi" w:eastAsiaTheme="majorEastAsia" w:hAnsiTheme="majorHAnsi" w:cstheme="majorBidi"/>
      <w:spacing w:val="5"/>
      <w:kern w:val="28"/>
      <w:sz w:val="36"/>
      <w:szCs w:val="36"/>
    </w:rPr>
  </w:style>
  <w:style w:type="paragraph" w:styleId="ListParagraph">
    <w:name w:val="List Paragraph"/>
    <w:basedOn w:val="Normal"/>
    <w:link w:val="ListParagraphChar"/>
    <w:uiPriority w:val="34"/>
    <w:qFormat/>
    <w:rsid w:val="001A19F2"/>
    <w:pPr>
      <w:ind w:left="720"/>
      <w:contextualSpacing/>
    </w:pPr>
  </w:style>
  <w:style w:type="character" w:customStyle="1" w:styleId="ListParagraphChar">
    <w:name w:val="List Paragraph Char"/>
    <w:link w:val="ListParagraph"/>
    <w:uiPriority w:val="34"/>
    <w:locked/>
    <w:rsid w:val="000C2741"/>
  </w:style>
  <w:style w:type="table" w:styleId="TableGrid">
    <w:name w:val="Table Grid"/>
    <w:basedOn w:val="TableNormal"/>
    <w:uiPriority w:val="59"/>
    <w:rsid w:val="008961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CF1D7F"/>
    <w:pPr>
      <w:tabs>
        <w:tab w:val="center" w:pos="4320"/>
        <w:tab w:val="right" w:pos="8640"/>
      </w:tabs>
    </w:pPr>
  </w:style>
  <w:style w:type="character" w:customStyle="1" w:styleId="FooterChar">
    <w:name w:val="Footer Char"/>
    <w:basedOn w:val="DefaultParagraphFont"/>
    <w:link w:val="Footer"/>
    <w:uiPriority w:val="99"/>
    <w:rsid w:val="00CF1D7F"/>
  </w:style>
  <w:style w:type="character" w:styleId="PageNumber">
    <w:name w:val="page number"/>
    <w:basedOn w:val="DefaultParagraphFont"/>
    <w:uiPriority w:val="99"/>
    <w:semiHidden/>
    <w:unhideWhenUsed/>
    <w:rsid w:val="00CF1D7F"/>
  </w:style>
  <w:style w:type="paragraph" w:styleId="TOC1">
    <w:name w:val="toc 1"/>
    <w:basedOn w:val="Normal"/>
    <w:next w:val="Normal"/>
    <w:autoRedefine/>
    <w:uiPriority w:val="39"/>
    <w:unhideWhenUsed/>
    <w:qFormat/>
    <w:rsid w:val="002505AF"/>
    <w:pPr>
      <w:spacing w:before="120"/>
    </w:pPr>
    <w:rPr>
      <w:b/>
      <w:caps/>
      <w:sz w:val="22"/>
      <w:szCs w:val="22"/>
    </w:rPr>
  </w:style>
  <w:style w:type="paragraph" w:styleId="TOC2">
    <w:name w:val="toc 2"/>
    <w:basedOn w:val="Normal"/>
    <w:next w:val="Normal"/>
    <w:autoRedefine/>
    <w:uiPriority w:val="39"/>
    <w:unhideWhenUsed/>
    <w:qFormat/>
    <w:rsid w:val="002505AF"/>
    <w:pPr>
      <w:ind w:left="240"/>
    </w:pPr>
    <w:rPr>
      <w:smallCaps/>
      <w:sz w:val="22"/>
      <w:szCs w:val="22"/>
    </w:rPr>
  </w:style>
  <w:style w:type="paragraph" w:styleId="TOC3">
    <w:name w:val="toc 3"/>
    <w:basedOn w:val="Normal"/>
    <w:next w:val="Normal"/>
    <w:autoRedefine/>
    <w:uiPriority w:val="39"/>
    <w:unhideWhenUsed/>
    <w:qFormat/>
    <w:rsid w:val="002505AF"/>
    <w:pPr>
      <w:ind w:left="480"/>
    </w:pPr>
    <w:rPr>
      <w:i/>
      <w:sz w:val="22"/>
      <w:szCs w:val="22"/>
    </w:rPr>
  </w:style>
  <w:style w:type="paragraph" w:styleId="TOC4">
    <w:name w:val="toc 4"/>
    <w:basedOn w:val="Normal"/>
    <w:next w:val="Normal"/>
    <w:autoRedefine/>
    <w:uiPriority w:val="39"/>
    <w:unhideWhenUsed/>
    <w:qFormat/>
    <w:rsid w:val="002505AF"/>
    <w:pPr>
      <w:ind w:left="720"/>
    </w:pPr>
    <w:rPr>
      <w:sz w:val="18"/>
      <w:szCs w:val="18"/>
    </w:rPr>
  </w:style>
  <w:style w:type="paragraph" w:styleId="TOC5">
    <w:name w:val="toc 5"/>
    <w:basedOn w:val="Normal"/>
    <w:next w:val="Normal"/>
    <w:autoRedefine/>
    <w:uiPriority w:val="39"/>
    <w:unhideWhenUsed/>
    <w:qFormat/>
    <w:rsid w:val="002505AF"/>
    <w:pPr>
      <w:ind w:left="960"/>
    </w:pPr>
    <w:rPr>
      <w:sz w:val="18"/>
      <w:szCs w:val="18"/>
    </w:rPr>
  </w:style>
  <w:style w:type="paragraph" w:styleId="TOC6">
    <w:name w:val="toc 6"/>
    <w:basedOn w:val="Normal"/>
    <w:next w:val="Normal"/>
    <w:autoRedefine/>
    <w:uiPriority w:val="39"/>
    <w:unhideWhenUsed/>
    <w:qFormat/>
    <w:rsid w:val="002505AF"/>
    <w:pPr>
      <w:ind w:left="1200"/>
    </w:pPr>
    <w:rPr>
      <w:sz w:val="18"/>
      <w:szCs w:val="18"/>
    </w:rPr>
  </w:style>
  <w:style w:type="paragraph" w:styleId="TOC7">
    <w:name w:val="toc 7"/>
    <w:basedOn w:val="Normal"/>
    <w:next w:val="Normal"/>
    <w:autoRedefine/>
    <w:uiPriority w:val="39"/>
    <w:unhideWhenUsed/>
    <w:qFormat/>
    <w:rsid w:val="002505AF"/>
    <w:pPr>
      <w:ind w:left="1440"/>
    </w:pPr>
    <w:rPr>
      <w:sz w:val="18"/>
      <w:szCs w:val="18"/>
    </w:rPr>
  </w:style>
  <w:style w:type="paragraph" w:styleId="TOC8">
    <w:name w:val="toc 8"/>
    <w:basedOn w:val="Normal"/>
    <w:next w:val="Normal"/>
    <w:autoRedefine/>
    <w:uiPriority w:val="39"/>
    <w:unhideWhenUsed/>
    <w:qFormat/>
    <w:rsid w:val="002505AF"/>
    <w:pPr>
      <w:ind w:left="1680"/>
    </w:pPr>
    <w:rPr>
      <w:sz w:val="18"/>
      <w:szCs w:val="18"/>
    </w:rPr>
  </w:style>
  <w:style w:type="paragraph" w:styleId="TOC9">
    <w:name w:val="toc 9"/>
    <w:basedOn w:val="Normal"/>
    <w:next w:val="Normal"/>
    <w:autoRedefine/>
    <w:uiPriority w:val="39"/>
    <w:unhideWhenUsed/>
    <w:qFormat/>
    <w:rsid w:val="002505AF"/>
    <w:pPr>
      <w:ind w:left="1920"/>
    </w:pPr>
    <w:rPr>
      <w:sz w:val="18"/>
      <w:szCs w:val="18"/>
    </w:rPr>
  </w:style>
  <w:style w:type="paragraph" w:styleId="BalloonText">
    <w:name w:val="Balloon Text"/>
    <w:basedOn w:val="Normal"/>
    <w:link w:val="BalloonTextChar"/>
    <w:uiPriority w:val="99"/>
    <w:semiHidden/>
    <w:unhideWhenUsed/>
    <w:rsid w:val="0079764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7643"/>
    <w:rPr>
      <w:rFonts w:ascii="Lucida Grande" w:hAnsi="Lucida Grande" w:cs="Lucida Grande"/>
      <w:sz w:val="18"/>
      <w:szCs w:val="18"/>
    </w:rPr>
  </w:style>
  <w:style w:type="paragraph" w:styleId="Caption">
    <w:name w:val="caption"/>
    <w:basedOn w:val="Normal"/>
    <w:next w:val="Normal"/>
    <w:link w:val="CaptionChar"/>
    <w:uiPriority w:val="35"/>
    <w:unhideWhenUsed/>
    <w:qFormat/>
    <w:rsid w:val="00F914D1"/>
    <w:pPr>
      <w:spacing w:line="240" w:lineRule="auto"/>
    </w:pPr>
    <w:rPr>
      <w:rFonts w:ascii="Times New Roman" w:hAnsi="Times New Roman" w:cs="Times New Roman"/>
      <w:b/>
      <w:sz w:val="20"/>
      <w:lang w:val="en-GB"/>
    </w:rPr>
  </w:style>
  <w:style w:type="character" w:customStyle="1" w:styleId="CaptionChar">
    <w:name w:val="Caption Char"/>
    <w:link w:val="Caption"/>
    <w:uiPriority w:val="35"/>
    <w:rsid w:val="00F914D1"/>
    <w:rPr>
      <w:rFonts w:ascii="Times New Roman" w:hAnsi="Times New Roman" w:cs="Times New Roman"/>
      <w:b/>
      <w:sz w:val="20"/>
      <w:lang w:val="en-GB"/>
    </w:rPr>
  </w:style>
  <w:style w:type="character" w:styleId="FootnoteReference">
    <w:name w:val="footnote reference"/>
    <w:uiPriority w:val="99"/>
    <w:rsid w:val="00C63750"/>
    <w:rPr>
      <w:rFonts w:ascii="Arial" w:hAnsi="Arial"/>
      <w:sz w:val="19"/>
      <w:vertAlign w:val="superscript"/>
    </w:rPr>
  </w:style>
  <w:style w:type="paragraph" w:styleId="FootnoteText">
    <w:name w:val="footnote text"/>
    <w:basedOn w:val="Normal"/>
    <w:link w:val="FootnoteTextChar"/>
    <w:uiPriority w:val="99"/>
    <w:rsid w:val="00C63750"/>
    <w:pPr>
      <w:spacing w:before="60" w:after="240" w:line="280" w:lineRule="exact"/>
    </w:pPr>
    <w:rPr>
      <w:rFonts w:ascii="Arial" w:eastAsia="Times" w:hAnsi="Arial" w:cs="Times New Roman"/>
      <w:color w:val="000000"/>
      <w:sz w:val="16"/>
      <w:szCs w:val="20"/>
      <w:lang w:val="en-GB"/>
    </w:rPr>
  </w:style>
  <w:style w:type="character" w:customStyle="1" w:styleId="FootnoteTextChar">
    <w:name w:val="Footnote Text Char"/>
    <w:basedOn w:val="DefaultParagraphFont"/>
    <w:link w:val="FootnoteText"/>
    <w:uiPriority w:val="99"/>
    <w:rsid w:val="00C63750"/>
    <w:rPr>
      <w:rFonts w:ascii="Arial" w:eastAsia="Times" w:hAnsi="Arial" w:cs="Times New Roman"/>
      <w:color w:val="000000"/>
      <w:sz w:val="16"/>
      <w:szCs w:val="20"/>
      <w:lang w:val="en-GB"/>
    </w:rPr>
  </w:style>
  <w:style w:type="paragraph" w:styleId="NormalWeb">
    <w:name w:val="Normal (Web)"/>
    <w:basedOn w:val="Normal"/>
    <w:uiPriority w:val="99"/>
    <w:unhideWhenUsed/>
    <w:rsid w:val="0007030C"/>
    <w:pPr>
      <w:spacing w:before="100" w:beforeAutospacing="1" w:after="100" w:afterAutospacing="1"/>
    </w:pPr>
    <w:rPr>
      <w:rFonts w:ascii="Times" w:hAnsi="Times" w:cs="Times New Roman"/>
      <w:sz w:val="20"/>
      <w:szCs w:val="20"/>
    </w:rPr>
  </w:style>
  <w:style w:type="paragraph" w:styleId="Subtitle">
    <w:name w:val="Subtitle"/>
    <w:basedOn w:val="Normal"/>
    <w:link w:val="SubtitleChar"/>
    <w:uiPriority w:val="11"/>
    <w:qFormat/>
    <w:rsid w:val="004D290E"/>
    <w:pPr>
      <w:spacing w:after="480"/>
      <w:jc w:val="center"/>
    </w:pPr>
    <w:rPr>
      <w:rFonts w:asciiTheme="majorHAnsi" w:eastAsiaTheme="minorHAnsi" w:hAnsiTheme="majorHAnsi" w:cstheme="minorHAnsi"/>
      <w:color w:val="000000"/>
      <w:sz w:val="28"/>
    </w:rPr>
  </w:style>
  <w:style w:type="character" w:customStyle="1" w:styleId="SubtitleChar">
    <w:name w:val="Subtitle Char"/>
    <w:basedOn w:val="DefaultParagraphFont"/>
    <w:link w:val="Subtitle"/>
    <w:uiPriority w:val="11"/>
    <w:rsid w:val="004D290E"/>
    <w:rPr>
      <w:rFonts w:asciiTheme="majorHAnsi" w:eastAsiaTheme="minorHAnsi" w:hAnsiTheme="majorHAnsi" w:cstheme="minorHAnsi"/>
      <w:color w:val="000000"/>
      <w:sz w:val="28"/>
    </w:rPr>
  </w:style>
  <w:style w:type="paragraph" w:styleId="BlockText">
    <w:name w:val="Block Text"/>
    <w:aliases w:val="Block Quote"/>
    <w:uiPriority w:val="40"/>
    <w:rsid w:val="004D290E"/>
    <w:pPr>
      <w:pBdr>
        <w:top w:val="single" w:sz="2" w:space="10" w:color="95B3D7" w:themeColor="accent1" w:themeTint="99"/>
        <w:bottom w:val="single" w:sz="24" w:space="10" w:color="95B3D7" w:themeColor="accent1" w:themeTint="99"/>
      </w:pBdr>
      <w:spacing w:after="280"/>
      <w:ind w:left="1440" w:right="1440"/>
      <w:jc w:val="both"/>
    </w:pPr>
    <w:rPr>
      <w:rFonts w:eastAsia="Times New Roman" w:cs="Times New Roman"/>
      <w:color w:val="808080" w:themeColor="background1" w:themeShade="80"/>
      <w:sz w:val="28"/>
      <w:szCs w:val="28"/>
      <w:lang w:eastAsia="ko-KR" w:bidi="hi-IN"/>
    </w:rPr>
  </w:style>
  <w:style w:type="character" w:styleId="BookTitle">
    <w:name w:val="Book Title"/>
    <w:basedOn w:val="DefaultParagraphFont"/>
    <w:uiPriority w:val="33"/>
    <w:qFormat/>
    <w:rsid w:val="004D290E"/>
    <w:rPr>
      <w:rFonts w:asciiTheme="majorHAnsi" w:hAnsiTheme="majorHAnsi" w:cs="Times New Roman"/>
      <w:i/>
      <w:color w:val="F79646" w:themeColor="accent6"/>
      <w:sz w:val="20"/>
      <w:szCs w:val="20"/>
    </w:rPr>
  </w:style>
  <w:style w:type="character" w:styleId="Emphasis">
    <w:name w:val="Emphasis"/>
    <w:uiPriority w:val="20"/>
    <w:qFormat/>
    <w:rsid w:val="004D290E"/>
    <w:rPr>
      <w:b/>
      <w:i/>
      <w:color w:val="404040" w:themeColor="text1" w:themeTint="BF"/>
      <w:spacing w:val="2"/>
      <w:w w:val="100"/>
    </w:rPr>
  </w:style>
  <w:style w:type="paragraph" w:styleId="Header">
    <w:name w:val="header"/>
    <w:basedOn w:val="Normal"/>
    <w:link w:val="HeaderChar"/>
    <w:uiPriority w:val="99"/>
    <w:unhideWhenUsed/>
    <w:rsid w:val="004D290E"/>
    <w:pPr>
      <w:tabs>
        <w:tab w:val="center" w:pos="4320"/>
        <w:tab w:val="right" w:pos="8640"/>
      </w:tabs>
      <w:spacing w:line="276" w:lineRule="auto"/>
    </w:pPr>
    <w:rPr>
      <w:rFonts w:ascii="Times New Roman" w:eastAsiaTheme="minorHAnsi" w:hAnsi="Times New Roman" w:cs="Times New Roman"/>
      <w:color w:val="000000" w:themeColor="text1"/>
      <w:szCs w:val="20"/>
    </w:rPr>
  </w:style>
  <w:style w:type="character" w:customStyle="1" w:styleId="HeaderChar">
    <w:name w:val="Header Char"/>
    <w:basedOn w:val="DefaultParagraphFont"/>
    <w:link w:val="Header"/>
    <w:uiPriority w:val="99"/>
    <w:rsid w:val="004D290E"/>
    <w:rPr>
      <w:rFonts w:ascii="Times New Roman" w:eastAsiaTheme="minorHAnsi" w:hAnsi="Times New Roman" w:cs="Times New Roman"/>
      <w:color w:val="000000" w:themeColor="text1"/>
      <w:szCs w:val="20"/>
    </w:rPr>
  </w:style>
  <w:style w:type="character" w:styleId="IntenseEmphasis">
    <w:name w:val="Intense Emphasis"/>
    <w:basedOn w:val="DefaultParagraphFont"/>
    <w:uiPriority w:val="21"/>
    <w:qFormat/>
    <w:rsid w:val="004D290E"/>
    <w:rPr>
      <w:rFonts w:asciiTheme="minorHAnsi" w:hAnsiTheme="minorHAnsi" w:cs="Times New Roman"/>
      <w:b/>
      <w:i/>
      <w:smallCaps/>
      <w:color w:val="C0504D" w:themeColor="accent2"/>
      <w:spacing w:val="2"/>
      <w:w w:val="100"/>
      <w:sz w:val="20"/>
      <w:szCs w:val="20"/>
    </w:rPr>
  </w:style>
  <w:style w:type="paragraph" w:styleId="IntenseQuote">
    <w:name w:val="Intense Quote"/>
    <w:basedOn w:val="Normal"/>
    <w:link w:val="IntenseQuoteChar"/>
    <w:qFormat/>
    <w:rsid w:val="004D290E"/>
    <w:pPr>
      <w:pBdr>
        <w:top w:val="single" w:sz="36" w:space="10" w:color="95B3D7" w:themeColor="accent1" w:themeTint="99"/>
        <w:left w:val="single" w:sz="24" w:space="10" w:color="4F81BD" w:themeColor="accent1"/>
        <w:bottom w:val="single" w:sz="36" w:space="10" w:color="9BBB59" w:themeColor="accent3"/>
        <w:right w:val="single" w:sz="24" w:space="10" w:color="4F81BD" w:themeColor="accent1"/>
      </w:pBdr>
      <w:shd w:val="clear" w:color="auto" w:fill="4F81BD" w:themeFill="accent1"/>
      <w:spacing w:line="276" w:lineRule="auto"/>
      <w:ind w:left="1440" w:right="1440"/>
      <w:jc w:val="center"/>
    </w:pPr>
    <w:rPr>
      <w:rFonts w:asciiTheme="majorHAnsi" w:eastAsiaTheme="minorHAnsi" w:hAnsiTheme="majorHAnsi" w:cs="Times New Roman"/>
      <w:i/>
      <w:color w:val="FFFFFF" w:themeColor="background1"/>
      <w:sz w:val="32"/>
      <w:szCs w:val="20"/>
    </w:rPr>
  </w:style>
  <w:style w:type="character" w:customStyle="1" w:styleId="IntenseQuoteChar">
    <w:name w:val="Intense Quote Char"/>
    <w:basedOn w:val="DefaultParagraphFont"/>
    <w:link w:val="IntenseQuote"/>
    <w:rsid w:val="004D290E"/>
    <w:rPr>
      <w:rFonts w:asciiTheme="majorHAnsi" w:eastAsiaTheme="minorHAnsi" w:hAnsiTheme="majorHAnsi" w:cs="Times New Roman"/>
      <w:i/>
      <w:color w:val="FFFFFF" w:themeColor="background1"/>
      <w:sz w:val="32"/>
      <w:szCs w:val="20"/>
      <w:shd w:val="clear" w:color="auto" w:fill="4F81BD" w:themeFill="accent1"/>
    </w:rPr>
  </w:style>
  <w:style w:type="character" w:styleId="IntenseReference">
    <w:name w:val="Intense Reference"/>
    <w:basedOn w:val="DefaultParagraphFont"/>
    <w:uiPriority w:val="32"/>
    <w:qFormat/>
    <w:rsid w:val="004D290E"/>
    <w:rPr>
      <w:rFonts w:cs="Times New Roman"/>
      <w:b/>
      <w:color w:val="4F81BD" w:themeColor="accent1"/>
      <w:sz w:val="22"/>
      <w:szCs w:val="20"/>
      <w:u w:val="single"/>
    </w:rPr>
  </w:style>
  <w:style w:type="paragraph" w:styleId="ListBullet">
    <w:name w:val="List Bullet"/>
    <w:basedOn w:val="Normal"/>
    <w:uiPriority w:val="36"/>
    <w:unhideWhenUsed/>
    <w:qFormat/>
    <w:rsid w:val="004D290E"/>
    <w:pPr>
      <w:numPr>
        <w:numId w:val="7"/>
      </w:numPr>
      <w:spacing w:line="276" w:lineRule="auto"/>
      <w:contextualSpacing/>
    </w:pPr>
    <w:rPr>
      <w:rFonts w:ascii="Times New Roman" w:eastAsiaTheme="minorHAnsi" w:hAnsi="Times New Roman" w:cs="Times New Roman"/>
      <w:color w:val="000000" w:themeColor="text1"/>
      <w:szCs w:val="20"/>
    </w:rPr>
  </w:style>
  <w:style w:type="paragraph" w:styleId="ListBullet2">
    <w:name w:val="List Bullet 2"/>
    <w:basedOn w:val="Normal"/>
    <w:uiPriority w:val="36"/>
    <w:unhideWhenUsed/>
    <w:qFormat/>
    <w:rsid w:val="004D290E"/>
    <w:pPr>
      <w:numPr>
        <w:numId w:val="8"/>
      </w:numPr>
      <w:spacing w:line="276" w:lineRule="auto"/>
    </w:pPr>
    <w:rPr>
      <w:rFonts w:ascii="Times New Roman" w:eastAsiaTheme="minorHAnsi" w:hAnsi="Times New Roman" w:cs="Times New Roman"/>
      <w:color w:val="000000" w:themeColor="text1"/>
      <w:szCs w:val="20"/>
    </w:rPr>
  </w:style>
  <w:style w:type="paragraph" w:styleId="ListBullet3">
    <w:name w:val="List Bullet 3"/>
    <w:basedOn w:val="Normal"/>
    <w:uiPriority w:val="36"/>
    <w:unhideWhenUsed/>
    <w:qFormat/>
    <w:rsid w:val="004D290E"/>
    <w:pPr>
      <w:numPr>
        <w:numId w:val="9"/>
      </w:numPr>
      <w:spacing w:line="276" w:lineRule="auto"/>
    </w:pPr>
    <w:rPr>
      <w:rFonts w:ascii="Times New Roman" w:eastAsiaTheme="minorHAnsi" w:hAnsi="Times New Roman" w:cs="Times New Roman"/>
      <w:color w:val="000000" w:themeColor="text1"/>
      <w:szCs w:val="20"/>
    </w:rPr>
  </w:style>
  <w:style w:type="paragraph" w:styleId="ListBullet4">
    <w:name w:val="List Bullet 4"/>
    <w:basedOn w:val="Normal"/>
    <w:uiPriority w:val="36"/>
    <w:unhideWhenUsed/>
    <w:qFormat/>
    <w:rsid w:val="004D290E"/>
    <w:pPr>
      <w:numPr>
        <w:numId w:val="10"/>
      </w:numPr>
      <w:spacing w:line="276" w:lineRule="auto"/>
    </w:pPr>
    <w:rPr>
      <w:rFonts w:ascii="Times New Roman" w:eastAsiaTheme="minorHAnsi" w:hAnsi="Times New Roman" w:cs="Times New Roman"/>
      <w:color w:val="000000" w:themeColor="text1"/>
      <w:szCs w:val="20"/>
    </w:rPr>
  </w:style>
  <w:style w:type="paragraph" w:styleId="ListBullet5">
    <w:name w:val="List Bullet 5"/>
    <w:basedOn w:val="Normal"/>
    <w:uiPriority w:val="36"/>
    <w:unhideWhenUsed/>
    <w:qFormat/>
    <w:rsid w:val="004D290E"/>
    <w:pPr>
      <w:numPr>
        <w:numId w:val="11"/>
      </w:numPr>
      <w:spacing w:line="276" w:lineRule="auto"/>
    </w:pPr>
    <w:rPr>
      <w:rFonts w:ascii="Times New Roman" w:eastAsiaTheme="minorHAnsi" w:hAnsi="Times New Roman" w:cs="Times New Roman"/>
      <w:color w:val="000000" w:themeColor="text1"/>
      <w:szCs w:val="20"/>
    </w:rPr>
  </w:style>
  <w:style w:type="paragraph" w:styleId="NoSpacing">
    <w:name w:val="No Spacing"/>
    <w:basedOn w:val="Normal"/>
    <w:link w:val="NoSpacingChar"/>
    <w:uiPriority w:val="1"/>
    <w:qFormat/>
    <w:rsid w:val="004D290E"/>
    <w:rPr>
      <w:rFonts w:ascii="Times New Roman" w:eastAsiaTheme="minorHAnsi" w:hAnsi="Times New Roman" w:cs="Times New Roman"/>
      <w:color w:val="000000" w:themeColor="text1"/>
      <w:szCs w:val="20"/>
    </w:rPr>
  </w:style>
  <w:style w:type="character" w:customStyle="1" w:styleId="NoSpacingChar">
    <w:name w:val="No Spacing Char"/>
    <w:basedOn w:val="DefaultParagraphFont"/>
    <w:link w:val="NoSpacing"/>
    <w:uiPriority w:val="1"/>
    <w:rsid w:val="004D290E"/>
    <w:rPr>
      <w:rFonts w:ascii="Times New Roman" w:eastAsiaTheme="minorHAnsi" w:hAnsi="Times New Roman" w:cs="Times New Roman"/>
      <w:color w:val="000000" w:themeColor="text1"/>
      <w:szCs w:val="20"/>
    </w:rPr>
  </w:style>
  <w:style w:type="paragraph" w:styleId="Quote">
    <w:name w:val="Quote"/>
    <w:basedOn w:val="Normal"/>
    <w:link w:val="QuoteChar"/>
    <w:uiPriority w:val="29"/>
    <w:qFormat/>
    <w:rsid w:val="004D290E"/>
    <w:pPr>
      <w:spacing w:line="276" w:lineRule="auto"/>
    </w:pPr>
    <w:rPr>
      <w:rFonts w:ascii="Times New Roman" w:eastAsiaTheme="minorHAnsi" w:hAnsi="Times New Roman" w:cs="Times New Roman"/>
      <w:i/>
      <w:color w:val="808080" w:themeColor="background1" w:themeShade="80"/>
      <w:szCs w:val="20"/>
    </w:rPr>
  </w:style>
  <w:style w:type="character" w:customStyle="1" w:styleId="QuoteChar">
    <w:name w:val="Quote Char"/>
    <w:basedOn w:val="DefaultParagraphFont"/>
    <w:link w:val="Quote"/>
    <w:uiPriority w:val="29"/>
    <w:rsid w:val="004D290E"/>
    <w:rPr>
      <w:rFonts w:ascii="Times New Roman" w:eastAsiaTheme="minorHAnsi" w:hAnsi="Times New Roman" w:cs="Times New Roman"/>
      <w:i/>
      <w:color w:val="808080" w:themeColor="background1" w:themeShade="80"/>
      <w:szCs w:val="20"/>
    </w:rPr>
  </w:style>
  <w:style w:type="character" w:styleId="Strong">
    <w:name w:val="Strong"/>
    <w:uiPriority w:val="22"/>
    <w:qFormat/>
    <w:rsid w:val="004D290E"/>
    <w:rPr>
      <w:rFonts w:asciiTheme="minorHAnsi" w:hAnsiTheme="minorHAnsi"/>
      <w:b/>
      <w:color w:val="C0504D" w:themeColor="accent2"/>
    </w:rPr>
  </w:style>
  <w:style w:type="character" w:styleId="SubtleEmphasis">
    <w:name w:val="Subtle Emphasis"/>
    <w:basedOn w:val="DefaultParagraphFont"/>
    <w:uiPriority w:val="19"/>
    <w:qFormat/>
    <w:rsid w:val="004D290E"/>
    <w:rPr>
      <w:rFonts w:asciiTheme="minorHAnsi" w:hAnsiTheme="minorHAnsi" w:cs="Times New Roman"/>
      <w:i/>
      <w:color w:val="737373" w:themeColor="text1" w:themeTint="8C"/>
      <w:spacing w:val="2"/>
      <w:w w:val="100"/>
      <w:kern w:val="0"/>
      <w:sz w:val="22"/>
      <w:szCs w:val="24"/>
    </w:rPr>
  </w:style>
  <w:style w:type="character" w:styleId="SubtleReference">
    <w:name w:val="Subtle Reference"/>
    <w:basedOn w:val="DefaultParagraphFont"/>
    <w:uiPriority w:val="31"/>
    <w:qFormat/>
    <w:rsid w:val="004D290E"/>
    <w:rPr>
      <w:rFonts w:cs="Times New Roman"/>
      <w:color w:val="737373" w:themeColor="text1" w:themeTint="8C"/>
      <w:sz w:val="22"/>
      <w:szCs w:val="20"/>
      <w:u w:val="single"/>
    </w:rPr>
  </w:style>
  <w:style w:type="character" w:customStyle="1" w:styleId="BodyText2Char">
    <w:name w:val="Body Text 2 Char"/>
    <w:basedOn w:val="DefaultParagraphFont"/>
    <w:link w:val="BodyText2"/>
    <w:semiHidden/>
    <w:rsid w:val="004D290E"/>
    <w:rPr>
      <w:rFonts w:ascii="Times New Roman" w:eastAsia="SimSun" w:hAnsi="Times New Roman" w:cs="Times New Roman"/>
      <w:noProof/>
      <w:sz w:val="20"/>
      <w:szCs w:val="20"/>
      <w:lang w:val="en-GB" w:eastAsia="zh-CN"/>
    </w:rPr>
  </w:style>
  <w:style w:type="paragraph" w:styleId="BodyText2">
    <w:name w:val="Body Text 2"/>
    <w:basedOn w:val="Normal"/>
    <w:link w:val="BodyText2Char"/>
    <w:semiHidden/>
    <w:rsid w:val="004D290E"/>
    <w:pPr>
      <w:spacing w:line="480" w:lineRule="auto"/>
    </w:pPr>
    <w:rPr>
      <w:rFonts w:ascii="Times New Roman" w:eastAsia="SimSun" w:hAnsi="Times New Roman" w:cs="Times New Roman"/>
      <w:noProof/>
      <w:sz w:val="20"/>
      <w:szCs w:val="20"/>
      <w:lang w:val="en-GB" w:eastAsia="zh-CN"/>
    </w:rPr>
  </w:style>
  <w:style w:type="paragraph" w:customStyle="1" w:styleId="ColorfulList-Accent11">
    <w:name w:val="Colorful List - Accent 11"/>
    <w:basedOn w:val="Normal"/>
    <w:uiPriority w:val="34"/>
    <w:qFormat/>
    <w:rsid w:val="004D290E"/>
    <w:pPr>
      <w:spacing w:after="200" w:line="276" w:lineRule="auto"/>
      <w:ind w:left="720"/>
      <w:contextualSpacing/>
    </w:pPr>
    <w:rPr>
      <w:rFonts w:ascii="Times New Roman" w:eastAsia="Cambria" w:hAnsi="Times New Roman" w:cs="Times New Roman"/>
      <w:szCs w:val="22"/>
    </w:rPr>
  </w:style>
  <w:style w:type="character" w:styleId="Hyperlink">
    <w:name w:val="Hyperlink"/>
    <w:uiPriority w:val="99"/>
    <w:unhideWhenUsed/>
    <w:rsid w:val="004D290E"/>
    <w:rPr>
      <w:color w:val="0000FF"/>
      <w:u w:val="single"/>
    </w:rPr>
  </w:style>
  <w:style w:type="character" w:customStyle="1" w:styleId="apple-converted-space">
    <w:name w:val="apple-converted-space"/>
    <w:basedOn w:val="DefaultParagraphFont"/>
    <w:rsid w:val="004D290E"/>
  </w:style>
  <w:style w:type="character" w:customStyle="1" w:styleId="ssens">
    <w:name w:val="ssens"/>
    <w:rsid w:val="004D290E"/>
  </w:style>
  <w:style w:type="character" w:customStyle="1" w:styleId="st">
    <w:name w:val="st"/>
    <w:rsid w:val="004D290E"/>
  </w:style>
  <w:style w:type="paragraph" w:customStyle="1" w:styleId="no">
    <w:name w:val="no"/>
    <w:basedOn w:val="Heading2"/>
    <w:rsid w:val="004D290E"/>
    <w:pPr>
      <w:keepLines w:val="0"/>
      <w:spacing w:before="240" w:after="120"/>
    </w:pPr>
    <w:rPr>
      <w:rFonts w:ascii="Times New Roman" w:eastAsia="MS Gothic" w:hAnsi="Times New Roman" w:cs="Times New Roman"/>
      <w:iCs/>
      <w:lang w:val="en-GB"/>
    </w:rPr>
  </w:style>
  <w:style w:type="paragraph" w:customStyle="1" w:styleId="norm">
    <w:name w:val="norm"/>
    <w:basedOn w:val="Heading1"/>
    <w:rsid w:val="004D290E"/>
    <w:pPr>
      <w:keepNext w:val="0"/>
      <w:keepLines w:val="0"/>
    </w:pPr>
    <w:rPr>
      <w:rFonts w:ascii="Times New Roman" w:eastAsia="MS Mincho" w:hAnsi="Times New Roman" w:cs="Times New Roman"/>
      <w:bCs w:val="0"/>
      <w:szCs w:val="24"/>
      <w:lang w:val="en-GB"/>
    </w:rPr>
  </w:style>
  <w:style w:type="paragraph" w:styleId="TableofFigures">
    <w:name w:val="table of figures"/>
    <w:basedOn w:val="Normal"/>
    <w:next w:val="Normal"/>
    <w:uiPriority w:val="99"/>
    <w:unhideWhenUsed/>
    <w:rsid w:val="004D290E"/>
    <w:pPr>
      <w:ind w:left="480" w:hanging="480"/>
    </w:pPr>
    <w:rPr>
      <w:rFonts w:ascii="Times New Roman" w:eastAsia="MS Mincho" w:hAnsi="Times New Roman" w:cs="Times New Roman"/>
    </w:rPr>
  </w:style>
  <w:style w:type="character" w:customStyle="1" w:styleId="BodyTextChar">
    <w:name w:val="Body Text Char"/>
    <w:basedOn w:val="DefaultParagraphFont"/>
    <w:link w:val="BodyText"/>
    <w:uiPriority w:val="99"/>
    <w:semiHidden/>
    <w:rsid w:val="004D290E"/>
    <w:rPr>
      <w:rFonts w:ascii="Times New Roman" w:eastAsiaTheme="minorHAnsi" w:hAnsi="Times New Roman" w:cs="Times New Roman"/>
      <w:color w:val="000000" w:themeColor="text1"/>
      <w:szCs w:val="20"/>
    </w:rPr>
  </w:style>
  <w:style w:type="paragraph" w:styleId="BodyText">
    <w:name w:val="Body Text"/>
    <w:basedOn w:val="Normal"/>
    <w:link w:val="BodyTextChar"/>
    <w:uiPriority w:val="99"/>
    <w:semiHidden/>
    <w:unhideWhenUsed/>
    <w:rsid w:val="004D290E"/>
    <w:pPr>
      <w:spacing w:line="276" w:lineRule="auto"/>
    </w:pPr>
    <w:rPr>
      <w:rFonts w:ascii="Times New Roman" w:eastAsiaTheme="minorHAnsi" w:hAnsi="Times New Roman" w:cs="Times New Roman"/>
      <w:color w:val="000000" w:themeColor="text1"/>
      <w:szCs w:val="20"/>
    </w:rPr>
  </w:style>
  <w:style w:type="table" w:styleId="LightShading-Accent1">
    <w:name w:val="Light Shading Accent 1"/>
    <w:basedOn w:val="TableNormal"/>
    <w:uiPriority w:val="60"/>
    <w:rsid w:val="002F2D3A"/>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FB27C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semiHidden/>
    <w:unhideWhenUsed/>
    <w:rsid w:val="00E54273"/>
    <w:rPr>
      <w:sz w:val="18"/>
      <w:szCs w:val="18"/>
    </w:rPr>
  </w:style>
  <w:style w:type="paragraph" w:styleId="CommentText">
    <w:name w:val="annotation text"/>
    <w:basedOn w:val="Normal"/>
    <w:link w:val="CommentTextChar"/>
    <w:uiPriority w:val="99"/>
    <w:semiHidden/>
    <w:unhideWhenUsed/>
    <w:rsid w:val="00E54273"/>
  </w:style>
  <w:style w:type="character" w:customStyle="1" w:styleId="CommentTextChar">
    <w:name w:val="Comment Text Char"/>
    <w:basedOn w:val="DefaultParagraphFont"/>
    <w:link w:val="CommentText"/>
    <w:uiPriority w:val="99"/>
    <w:semiHidden/>
    <w:rsid w:val="00E54273"/>
  </w:style>
  <w:style w:type="paragraph" w:styleId="CommentSubject">
    <w:name w:val="annotation subject"/>
    <w:basedOn w:val="CommentText"/>
    <w:next w:val="CommentText"/>
    <w:link w:val="CommentSubjectChar"/>
    <w:uiPriority w:val="99"/>
    <w:semiHidden/>
    <w:unhideWhenUsed/>
    <w:rsid w:val="00E54273"/>
    <w:rPr>
      <w:b/>
      <w:bCs/>
      <w:sz w:val="20"/>
      <w:szCs w:val="20"/>
    </w:rPr>
  </w:style>
  <w:style w:type="character" w:customStyle="1" w:styleId="CommentSubjectChar">
    <w:name w:val="Comment Subject Char"/>
    <w:basedOn w:val="CommentTextChar"/>
    <w:link w:val="CommentSubject"/>
    <w:uiPriority w:val="99"/>
    <w:semiHidden/>
    <w:rsid w:val="00E54273"/>
    <w:rPr>
      <w:b/>
      <w:bCs/>
      <w:sz w:val="20"/>
      <w:szCs w:val="20"/>
    </w:rPr>
  </w:style>
  <w:style w:type="paragraph" w:styleId="Revision">
    <w:name w:val="Revision"/>
    <w:hidden/>
    <w:uiPriority w:val="99"/>
    <w:semiHidden/>
    <w:rsid w:val="00AF4D10"/>
  </w:style>
  <w:style w:type="paragraph" w:styleId="DocumentMap">
    <w:name w:val="Document Map"/>
    <w:basedOn w:val="Normal"/>
    <w:link w:val="DocumentMapChar"/>
    <w:uiPriority w:val="99"/>
    <w:semiHidden/>
    <w:unhideWhenUsed/>
    <w:rsid w:val="002F720B"/>
    <w:rPr>
      <w:rFonts w:ascii="Lucida Grande" w:hAnsi="Lucida Grande" w:cs="Lucida Grande"/>
    </w:rPr>
  </w:style>
  <w:style w:type="character" w:customStyle="1" w:styleId="DocumentMapChar">
    <w:name w:val="Document Map Char"/>
    <w:basedOn w:val="DefaultParagraphFont"/>
    <w:link w:val="DocumentMap"/>
    <w:uiPriority w:val="99"/>
    <w:semiHidden/>
    <w:rsid w:val="002F720B"/>
    <w:rPr>
      <w:rFonts w:ascii="Lucida Grande" w:hAnsi="Lucida Grande" w:cs="Lucida Grande"/>
    </w:rPr>
  </w:style>
  <w:style w:type="table" w:styleId="MediumList1-Accent5">
    <w:name w:val="Medium List 1 Accent 5"/>
    <w:basedOn w:val="TableNormal"/>
    <w:uiPriority w:val="65"/>
    <w:rsid w:val="004343E0"/>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1">
    <w:name w:val="Medium List 1 Accent 1"/>
    <w:basedOn w:val="TableNormal"/>
    <w:uiPriority w:val="65"/>
    <w:rsid w:val="00182A98"/>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divs>
    <w:div w:id="939582">
      <w:bodyDiv w:val="1"/>
      <w:marLeft w:val="0"/>
      <w:marRight w:val="0"/>
      <w:marTop w:val="0"/>
      <w:marBottom w:val="0"/>
      <w:divBdr>
        <w:top w:val="none" w:sz="0" w:space="0" w:color="auto"/>
        <w:left w:val="none" w:sz="0" w:space="0" w:color="auto"/>
        <w:bottom w:val="none" w:sz="0" w:space="0" w:color="auto"/>
        <w:right w:val="none" w:sz="0" w:space="0" w:color="auto"/>
      </w:divBdr>
    </w:div>
    <w:div w:id="274825109">
      <w:bodyDiv w:val="1"/>
      <w:marLeft w:val="0"/>
      <w:marRight w:val="0"/>
      <w:marTop w:val="0"/>
      <w:marBottom w:val="0"/>
      <w:divBdr>
        <w:top w:val="none" w:sz="0" w:space="0" w:color="auto"/>
        <w:left w:val="none" w:sz="0" w:space="0" w:color="auto"/>
        <w:bottom w:val="none" w:sz="0" w:space="0" w:color="auto"/>
        <w:right w:val="none" w:sz="0" w:space="0" w:color="auto"/>
      </w:divBdr>
    </w:div>
    <w:div w:id="418332288">
      <w:bodyDiv w:val="1"/>
      <w:marLeft w:val="0"/>
      <w:marRight w:val="0"/>
      <w:marTop w:val="0"/>
      <w:marBottom w:val="0"/>
      <w:divBdr>
        <w:top w:val="none" w:sz="0" w:space="0" w:color="auto"/>
        <w:left w:val="none" w:sz="0" w:space="0" w:color="auto"/>
        <w:bottom w:val="none" w:sz="0" w:space="0" w:color="auto"/>
        <w:right w:val="none" w:sz="0" w:space="0" w:color="auto"/>
      </w:divBdr>
    </w:div>
    <w:div w:id="1041124934">
      <w:bodyDiv w:val="1"/>
      <w:marLeft w:val="0"/>
      <w:marRight w:val="0"/>
      <w:marTop w:val="0"/>
      <w:marBottom w:val="0"/>
      <w:divBdr>
        <w:top w:val="none" w:sz="0" w:space="0" w:color="auto"/>
        <w:left w:val="none" w:sz="0" w:space="0" w:color="auto"/>
        <w:bottom w:val="none" w:sz="0" w:space="0" w:color="auto"/>
        <w:right w:val="none" w:sz="0" w:space="0" w:color="auto"/>
      </w:divBdr>
    </w:div>
    <w:div w:id="1205408966">
      <w:bodyDiv w:val="1"/>
      <w:marLeft w:val="0"/>
      <w:marRight w:val="0"/>
      <w:marTop w:val="0"/>
      <w:marBottom w:val="0"/>
      <w:divBdr>
        <w:top w:val="none" w:sz="0" w:space="0" w:color="auto"/>
        <w:left w:val="none" w:sz="0" w:space="0" w:color="auto"/>
        <w:bottom w:val="none" w:sz="0" w:space="0" w:color="auto"/>
        <w:right w:val="none" w:sz="0" w:space="0" w:color="auto"/>
      </w:divBdr>
    </w:div>
    <w:div w:id="1383939789">
      <w:bodyDiv w:val="1"/>
      <w:marLeft w:val="0"/>
      <w:marRight w:val="0"/>
      <w:marTop w:val="0"/>
      <w:marBottom w:val="0"/>
      <w:divBdr>
        <w:top w:val="none" w:sz="0" w:space="0" w:color="auto"/>
        <w:left w:val="none" w:sz="0" w:space="0" w:color="auto"/>
        <w:bottom w:val="none" w:sz="0" w:space="0" w:color="auto"/>
        <w:right w:val="none" w:sz="0" w:space="0" w:color="auto"/>
      </w:divBdr>
    </w:div>
    <w:div w:id="1829594470">
      <w:bodyDiv w:val="1"/>
      <w:marLeft w:val="0"/>
      <w:marRight w:val="0"/>
      <w:marTop w:val="0"/>
      <w:marBottom w:val="0"/>
      <w:divBdr>
        <w:top w:val="none" w:sz="0" w:space="0" w:color="auto"/>
        <w:left w:val="none" w:sz="0" w:space="0" w:color="auto"/>
        <w:bottom w:val="none" w:sz="0" w:space="0" w:color="auto"/>
        <w:right w:val="none" w:sz="0" w:space="0" w:color="auto"/>
      </w:divBdr>
      <w:divsChild>
        <w:div w:id="482358078">
          <w:marLeft w:val="0"/>
          <w:marRight w:val="0"/>
          <w:marTop w:val="0"/>
          <w:marBottom w:val="0"/>
          <w:divBdr>
            <w:top w:val="none" w:sz="0" w:space="0" w:color="auto"/>
            <w:left w:val="none" w:sz="0" w:space="0" w:color="auto"/>
            <w:bottom w:val="none" w:sz="0" w:space="0" w:color="auto"/>
            <w:right w:val="none" w:sz="0" w:space="0" w:color="auto"/>
          </w:divBdr>
        </w:div>
        <w:div w:id="1638878807">
          <w:marLeft w:val="0"/>
          <w:marRight w:val="0"/>
          <w:marTop w:val="0"/>
          <w:marBottom w:val="0"/>
          <w:divBdr>
            <w:top w:val="none" w:sz="0" w:space="0" w:color="auto"/>
            <w:left w:val="none" w:sz="0" w:space="0" w:color="auto"/>
            <w:bottom w:val="none" w:sz="0" w:space="0" w:color="auto"/>
            <w:right w:val="none" w:sz="0" w:space="0" w:color="auto"/>
          </w:divBdr>
        </w:div>
        <w:div w:id="284384656">
          <w:marLeft w:val="0"/>
          <w:marRight w:val="0"/>
          <w:marTop w:val="0"/>
          <w:marBottom w:val="0"/>
          <w:divBdr>
            <w:top w:val="none" w:sz="0" w:space="0" w:color="auto"/>
            <w:left w:val="none" w:sz="0" w:space="0" w:color="auto"/>
            <w:bottom w:val="none" w:sz="0" w:space="0" w:color="auto"/>
            <w:right w:val="none" w:sz="0" w:space="0" w:color="auto"/>
          </w:divBdr>
        </w:div>
        <w:div w:id="104925724">
          <w:marLeft w:val="0"/>
          <w:marRight w:val="0"/>
          <w:marTop w:val="0"/>
          <w:marBottom w:val="0"/>
          <w:divBdr>
            <w:top w:val="none" w:sz="0" w:space="0" w:color="auto"/>
            <w:left w:val="none" w:sz="0" w:space="0" w:color="auto"/>
            <w:bottom w:val="none" w:sz="0" w:space="0" w:color="auto"/>
            <w:right w:val="none" w:sz="0" w:space="0" w:color="auto"/>
          </w:divBdr>
        </w:div>
      </w:divsChild>
    </w:div>
    <w:div w:id="2041733460">
      <w:bodyDiv w:val="1"/>
      <w:marLeft w:val="0"/>
      <w:marRight w:val="0"/>
      <w:marTop w:val="0"/>
      <w:marBottom w:val="0"/>
      <w:divBdr>
        <w:top w:val="none" w:sz="0" w:space="0" w:color="auto"/>
        <w:left w:val="none" w:sz="0" w:space="0" w:color="auto"/>
        <w:bottom w:val="none" w:sz="0" w:space="0" w:color="auto"/>
        <w:right w:val="none" w:sz="0" w:space="0" w:color="auto"/>
      </w:divBdr>
      <w:divsChild>
        <w:div w:id="109932089">
          <w:marLeft w:val="0"/>
          <w:marRight w:val="0"/>
          <w:marTop w:val="0"/>
          <w:marBottom w:val="0"/>
          <w:divBdr>
            <w:top w:val="none" w:sz="0" w:space="0" w:color="auto"/>
            <w:left w:val="none" w:sz="0" w:space="0" w:color="auto"/>
            <w:bottom w:val="none" w:sz="0" w:space="0" w:color="auto"/>
            <w:right w:val="none" w:sz="0" w:space="0" w:color="auto"/>
          </w:divBdr>
          <w:divsChild>
            <w:div w:id="1643340076">
              <w:marLeft w:val="0"/>
              <w:marRight w:val="0"/>
              <w:marTop w:val="0"/>
              <w:marBottom w:val="0"/>
              <w:divBdr>
                <w:top w:val="none" w:sz="0" w:space="0" w:color="auto"/>
                <w:left w:val="none" w:sz="0" w:space="0" w:color="auto"/>
                <w:bottom w:val="none" w:sz="0" w:space="0" w:color="auto"/>
                <w:right w:val="none" w:sz="0" w:space="0" w:color="auto"/>
              </w:divBdr>
              <w:divsChild>
                <w:div w:id="1390422153">
                  <w:marLeft w:val="0"/>
                  <w:marRight w:val="0"/>
                  <w:marTop w:val="0"/>
                  <w:marBottom w:val="0"/>
                  <w:divBdr>
                    <w:top w:val="none" w:sz="0" w:space="0" w:color="auto"/>
                    <w:left w:val="none" w:sz="0" w:space="0" w:color="auto"/>
                    <w:bottom w:val="none" w:sz="0" w:space="0" w:color="auto"/>
                    <w:right w:val="none" w:sz="0" w:space="0" w:color="auto"/>
                  </w:divBdr>
                  <w:divsChild>
                    <w:div w:id="558130441">
                      <w:marLeft w:val="0"/>
                      <w:marRight w:val="0"/>
                      <w:marTop w:val="0"/>
                      <w:marBottom w:val="0"/>
                      <w:divBdr>
                        <w:top w:val="none" w:sz="0" w:space="0" w:color="auto"/>
                        <w:left w:val="none" w:sz="0" w:space="0" w:color="auto"/>
                        <w:bottom w:val="none" w:sz="0" w:space="0" w:color="auto"/>
                        <w:right w:val="none" w:sz="0" w:space="0" w:color="auto"/>
                      </w:divBdr>
                      <w:divsChild>
                        <w:div w:id="720515997">
                          <w:marLeft w:val="0"/>
                          <w:marRight w:val="0"/>
                          <w:marTop w:val="0"/>
                          <w:marBottom w:val="0"/>
                          <w:divBdr>
                            <w:top w:val="none" w:sz="0" w:space="0" w:color="auto"/>
                            <w:left w:val="none" w:sz="0" w:space="0" w:color="auto"/>
                            <w:bottom w:val="none" w:sz="0" w:space="0" w:color="auto"/>
                            <w:right w:val="none" w:sz="0" w:space="0" w:color="auto"/>
                          </w:divBdr>
                          <w:divsChild>
                            <w:div w:id="899366438">
                              <w:marLeft w:val="0"/>
                              <w:marRight w:val="0"/>
                              <w:marTop w:val="0"/>
                              <w:marBottom w:val="0"/>
                              <w:divBdr>
                                <w:top w:val="none" w:sz="0" w:space="0" w:color="auto"/>
                                <w:left w:val="none" w:sz="0" w:space="0" w:color="auto"/>
                                <w:bottom w:val="none" w:sz="0" w:space="0" w:color="auto"/>
                                <w:right w:val="none" w:sz="0" w:space="0" w:color="auto"/>
                              </w:divBdr>
                              <w:divsChild>
                                <w:div w:id="1834222282">
                                  <w:marLeft w:val="0"/>
                                  <w:marRight w:val="0"/>
                                  <w:marTop w:val="0"/>
                                  <w:marBottom w:val="0"/>
                                  <w:divBdr>
                                    <w:top w:val="none" w:sz="0" w:space="0" w:color="auto"/>
                                    <w:left w:val="none" w:sz="0" w:space="0" w:color="auto"/>
                                    <w:bottom w:val="none" w:sz="0" w:space="0" w:color="auto"/>
                                    <w:right w:val="none" w:sz="0" w:space="0" w:color="auto"/>
                                  </w:divBdr>
                                  <w:divsChild>
                                    <w:div w:id="602806313">
                                      <w:marLeft w:val="0"/>
                                      <w:marRight w:val="0"/>
                                      <w:marTop w:val="0"/>
                                      <w:marBottom w:val="0"/>
                                      <w:divBdr>
                                        <w:top w:val="none" w:sz="0" w:space="0" w:color="auto"/>
                                        <w:left w:val="none" w:sz="0" w:space="0" w:color="auto"/>
                                        <w:bottom w:val="none" w:sz="0" w:space="0" w:color="auto"/>
                                        <w:right w:val="none" w:sz="0" w:space="0" w:color="auto"/>
                                      </w:divBdr>
                                      <w:divsChild>
                                        <w:div w:id="961771362">
                                          <w:marLeft w:val="0"/>
                                          <w:marRight w:val="0"/>
                                          <w:marTop w:val="0"/>
                                          <w:marBottom w:val="0"/>
                                          <w:divBdr>
                                            <w:top w:val="none" w:sz="0" w:space="0" w:color="auto"/>
                                            <w:left w:val="none" w:sz="0" w:space="0" w:color="auto"/>
                                            <w:bottom w:val="none" w:sz="0" w:space="0" w:color="auto"/>
                                            <w:right w:val="none" w:sz="0" w:space="0" w:color="auto"/>
                                          </w:divBdr>
                                          <w:divsChild>
                                            <w:div w:id="1120803816">
                                              <w:marLeft w:val="0"/>
                                              <w:marRight w:val="0"/>
                                              <w:marTop w:val="0"/>
                                              <w:marBottom w:val="0"/>
                                              <w:divBdr>
                                                <w:top w:val="none" w:sz="0" w:space="0" w:color="auto"/>
                                                <w:left w:val="none" w:sz="0" w:space="0" w:color="auto"/>
                                                <w:bottom w:val="none" w:sz="0" w:space="0" w:color="auto"/>
                                                <w:right w:val="none" w:sz="0" w:space="0" w:color="auto"/>
                                              </w:divBdr>
                                              <w:divsChild>
                                                <w:div w:id="1262564544">
                                                  <w:marLeft w:val="0"/>
                                                  <w:marRight w:val="0"/>
                                                  <w:marTop w:val="0"/>
                                                  <w:marBottom w:val="0"/>
                                                  <w:divBdr>
                                                    <w:top w:val="none" w:sz="0" w:space="0" w:color="auto"/>
                                                    <w:left w:val="none" w:sz="0" w:space="0" w:color="auto"/>
                                                    <w:bottom w:val="none" w:sz="0" w:space="0" w:color="auto"/>
                                                    <w:right w:val="none" w:sz="0" w:space="0" w:color="auto"/>
                                                  </w:divBdr>
                                                  <w:divsChild>
                                                    <w:div w:id="381178361">
                                                      <w:marLeft w:val="0"/>
                                                      <w:marRight w:val="0"/>
                                                      <w:marTop w:val="0"/>
                                                      <w:marBottom w:val="0"/>
                                                      <w:divBdr>
                                                        <w:top w:val="none" w:sz="0" w:space="0" w:color="auto"/>
                                                        <w:left w:val="none" w:sz="0" w:space="0" w:color="auto"/>
                                                        <w:bottom w:val="none" w:sz="0" w:space="0" w:color="auto"/>
                                                        <w:right w:val="none" w:sz="0" w:space="0" w:color="auto"/>
                                                      </w:divBdr>
                                                      <w:divsChild>
                                                        <w:div w:id="918948895">
                                                          <w:marLeft w:val="0"/>
                                                          <w:marRight w:val="0"/>
                                                          <w:marTop w:val="0"/>
                                                          <w:marBottom w:val="0"/>
                                                          <w:divBdr>
                                                            <w:top w:val="none" w:sz="0" w:space="0" w:color="auto"/>
                                                            <w:left w:val="none" w:sz="0" w:space="0" w:color="auto"/>
                                                            <w:bottom w:val="none" w:sz="0" w:space="0" w:color="auto"/>
                                                            <w:right w:val="none" w:sz="0" w:space="0" w:color="auto"/>
                                                          </w:divBdr>
                                                          <w:divsChild>
                                                            <w:div w:id="225070729">
                                                              <w:marLeft w:val="0"/>
                                                              <w:marRight w:val="0"/>
                                                              <w:marTop w:val="0"/>
                                                              <w:marBottom w:val="0"/>
                                                              <w:divBdr>
                                                                <w:top w:val="none" w:sz="0" w:space="0" w:color="auto"/>
                                                                <w:left w:val="none" w:sz="0" w:space="0" w:color="auto"/>
                                                                <w:bottom w:val="none" w:sz="0" w:space="0" w:color="auto"/>
                                                                <w:right w:val="none" w:sz="0" w:space="0" w:color="auto"/>
                                                              </w:divBdr>
                                                              <w:divsChild>
                                                                <w:div w:id="83960656">
                                                                  <w:marLeft w:val="0"/>
                                                                  <w:marRight w:val="0"/>
                                                                  <w:marTop w:val="0"/>
                                                                  <w:marBottom w:val="0"/>
                                                                  <w:divBdr>
                                                                    <w:top w:val="none" w:sz="0" w:space="0" w:color="auto"/>
                                                                    <w:left w:val="none" w:sz="0" w:space="0" w:color="auto"/>
                                                                    <w:bottom w:val="none" w:sz="0" w:space="0" w:color="auto"/>
                                                                    <w:right w:val="none" w:sz="0" w:space="0" w:color="auto"/>
                                                                  </w:divBdr>
                                                                  <w:divsChild>
                                                                    <w:div w:id="699353664">
                                                                      <w:marLeft w:val="0"/>
                                                                      <w:marRight w:val="0"/>
                                                                      <w:marTop w:val="0"/>
                                                                      <w:marBottom w:val="0"/>
                                                                      <w:divBdr>
                                                                        <w:top w:val="none" w:sz="0" w:space="0" w:color="auto"/>
                                                                        <w:left w:val="none" w:sz="0" w:space="0" w:color="auto"/>
                                                                        <w:bottom w:val="none" w:sz="0" w:space="0" w:color="auto"/>
                                                                        <w:right w:val="none" w:sz="0" w:space="0" w:color="auto"/>
                                                                      </w:divBdr>
                                                                      <w:divsChild>
                                                                        <w:div w:id="1350332518">
                                                                          <w:marLeft w:val="0"/>
                                                                          <w:marRight w:val="0"/>
                                                                          <w:marTop w:val="0"/>
                                                                          <w:marBottom w:val="0"/>
                                                                          <w:divBdr>
                                                                            <w:top w:val="none" w:sz="0" w:space="0" w:color="auto"/>
                                                                            <w:left w:val="none" w:sz="0" w:space="0" w:color="auto"/>
                                                                            <w:bottom w:val="none" w:sz="0" w:space="0" w:color="auto"/>
                                                                            <w:right w:val="none" w:sz="0" w:space="0" w:color="auto"/>
                                                                          </w:divBdr>
                                                                          <w:divsChild>
                                                                            <w:div w:id="853374000">
                                                                              <w:marLeft w:val="0"/>
                                                                              <w:marRight w:val="0"/>
                                                                              <w:marTop w:val="0"/>
                                                                              <w:marBottom w:val="0"/>
                                                                              <w:divBdr>
                                                                                <w:top w:val="none" w:sz="0" w:space="0" w:color="auto"/>
                                                                                <w:left w:val="none" w:sz="0" w:space="0" w:color="auto"/>
                                                                                <w:bottom w:val="none" w:sz="0" w:space="0" w:color="auto"/>
                                                                                <w:right w:val="none" w:sz="0" w:space="0" w:color="auto"/>
                                                                              </w:divBdr>
                                                                              <w:divsChild>
                                                                                <w:div w:id="549614707">
                                                                                  <w:marLeft w:val="0"/>
                                                                                  <w:marRight w:val="0"/>
                                                                                  <w:marTop w:val="0"/>
                                                                                  <w:marBottom w:val="0"/>
                                                                                  <w:divBdr>
                                                                                    <w:top w:val="none" w:sz="0" w:space="0" w:color="auto"/>
                                                                                    <w:left w:val="none" w:sz="0" w:space="0" w:color="auto"/>
                                                                                    <w:bottom w:val="none" w:sz="0" w:space="0" w:color="auto"/>
                                                                                    <w:right w:val="none" w:sz="0" w:space="0" w:color="auto"/>
                                                                                  </w:divBdr>
                                                                                  <w:divsChild>
                                                                                    <w:div w:id="805397538">
                                                                                      <w:marLeft w:val="0"/>
                                                                                      <w:marRight w:val="0"/>
                                                                                      <w:marTop w:val="0"/>
                                                                                      <w:marBottom w:val="0"/>
                                                                                      <w:divBdr>
                                                                                        <w:top w:val="none" w:sz="0" w:space="0" w:color="auto"/>
                                                                                        <w:left w:val="none" w:sz="0" w:space="0" w:color="auto"/>
                                                                                        <w:bottom w:val="none" w:sz="0" w:space="0" w:color="auto"/>
                                                                                        <w:right w:val="none" w:sz="0" w:space="0" w:color="auto"/>
                                                                                      </w:divBdr>
                                                                                      <w:divsChild>
                                                                                        <w:div w:id="1834908883">
                                                                                          <w:marLeft w:val="0"/>
                                                                                          <w:marRight w:val="0"/>
                                                                                          <w:marTop w:val="0"/>
                                                                                          <w:marBottom w:val="0"/>
                                                                                          <w:divBdr>
                                                                                            <w:top w:val="none" w:sz="0" w:space="0" w:color="auto"/>
                                                                                            <w:left w:val="none" w:sz="0" w:space="0" w:color="auto"/>
                                                                                            <w:bottom w:val="none" w:sz="0" w:space="0" w:color="auto"/>
                                                                                            <w:right w:val="none" w:sz="0" w:space="0" w:color="auto"/>
                                                                                          </w:divBdr>
                                                                                          <w:divsChild>
                                                                                            <w:div w:id="962661631">
                                                                                              <w:marLeft w:val="0"/>
                                                                                              <w:marRight w:val="0"/>
                                                                                              <w:marTop w:val="0"/>
                                                                                              <w:marBottom w:val="0"/>
                                                                                              <w:divBdr>
                                                                                                <w:top w:val="none" w:sz="0" w:space="0" w:color="auto"/>
                                                                                                <w:left w:val="none" w:sz="0" w:space="0" w:color="auto"/>
                                                                                                <w:bottom w:val="none" w:sz="0" w:space="0" w:color="auto"/>
                                                                                                <w:right w:val="none" w:sz="0" w:space="0" w:color="auto"/>
                                                                                              </w:divBdr>
                                                                                              <w:divsChild>
                                                                                                <w:div w:id="680623780">
                                                                                                  <w:marLeft w:val="0"/>
                                                                                                  <w:marRight w:val="0"/>
                                                                                                  <w:marTop w:val="0"/>
                                                                                                  <w:marBottom w:val="0"/>
                                                                                                  <w:divBdr>
                                                                                                    <w:top w:val="none" w:sz="0" w:space="0" w:color="auto"/>
                                                                                                    <w:left w:val="none" w:sz="0" w:space="0" w:color="auto"/>
                                                                                                    <w:bottom w:val="none" w:sz="0" w:space="0" w:color="auto"/>
                                                                                                    <w:right w:val="none" w:sz="0" w:space="0" w:color="auto"/>
                                                                                                  </w:divBdr>
                                                                                                  <w:divsChild>
                                                                                                    <w:div w:id="1355032979">
                                                                                                      <w:marLeft w:val="0"/>
                                                                                                      <w:marRight w:val="0"/>
                                                                                                      <w:marTop w:val="0"/>
                                                                                                      <w:marBottom w:val="0"/>
                                                                                                      <w:divBdr>
                                                                                                        <w:top w:val="none" w:sz="0" w:space="0" w:color="auto"/>
                                                                                                        <w:left w:val="none" w:sz="0" w:space="0" w:color="auto"/>
                                                                                                        <w:bottom w:val="none" w:sz="0" w:space="0" w:color="auto"/>
                                                                                                        <w:right w:val="none" w:sz="0" w:space="0" w:color="auto"/>
                                                                                                      </w:divBdr>
                                                                                                      <w:divsChild>
                                                                                                        <w:div w:id="594940673">
                                                                                                          <w:marLeft w:val="0"/>
                                                                                                          <w:marRight w:val="0"/>
                                                                                                          <w:marTop w:val="0"/>
                                                                                                          <w:marBottom w:val="0"/>
                                                                                                          <w:divBdr>
                                                                                                            <w:top w:val="none" w:sz="0" w:space="0" w:color="auto"/>
                                                                                                            <w:left w:val="none" w:sz="0" w:space="0" w:color="auto"/>
                                                                                                            <w:bottom w:val="none" w:sz="0" w:space="0" w:color="auto"/>
                                                                                                            <w:right w:val="none" w:sz="0" w:space="0" w:color="auto"/>
                                                                                                          </w:divBdr>
                                                                                                          <w:divsChild>
                                                                                                            <w:div w:id="329019988">
                                                                                                              <w:marLeft w:val="0"/>
                                                                                                              <w:marRight w:val="0"/>
                                                                                                              <w:marTop w:val="0"/>
                                                                                                              <w:marBottom w:val="0"/>
                                                                                                              <w:divBdr>
                                                                                                                <w:top w:val="none" w:sz="0" w:space="0" w:color="auto"/>
                                                                                                                <w:left w:val="none" w:sz="0" w:space="0" w:color="auto"/>
                                                                                                                <w:bottom w:val="none" w:sz="0" w:space="0" w:color="auto"/>
                                                                                                                <w:right w:val="none" w:sz="0" w:space="0" w:color="auto"/>
                                                                                                              </w:divBdr>
                                                                                                              <w:divsChild>
                                                                                                                <w:div w:id="1779986908">
                                                                                                                  <w:marLeft w:val="0"/>
                                                                                                                  <w:marRight w:val="0"/>
                                                                                                                  <w:marTop w:val="0"/>
                                                                                                                  <w:marBottom w:val="0"/>
                                                                                                                  <w:divBdr>
                                                                                                                    <w:top w:val="none" w:sz="0" w:space="0" w:color="auto"/>
                                                                                                                    <w:left w:val="none" w:sz="0" w:space="0" w:color="auto"/>
                                                                                                                    <w:bottom w:val="none" w:sz="0" w:space="0" w:color="auto"/>
                                                                                                                    <w:right w:val="none" w:sz="0" w:space="0" w:color="auto"/>
                                                                                                                  </w:divBdr>
                                                                                                                  <w:divsChild>
                                                                                                                    <w:div w:id="1202011320">
                                                                                                                      <w:marLeft w:val="0"/>
                                                                                                                      <w:marRight w:val="0"/>
                                                                                                                      <w:marTop w:val="0"/>
                                                                                                                      <w:marBottom w:val="0"/>
                                                                                                                      <w:divBdr>
                                                                                                                        <w:top w:val="none" w:sz="0" w:space="0" w:color="auto"/>
                                                                                                                        <w:left w:val="none" w:sz="0" w:space="0" w:color="auto"/>
                                                                                                                        <w:bottom w:val="none" w:sz="0" w:space="0" w:color="auto"/>
                                                                                                                        <w:right w:val="none" w:sz="0" w:space="0" w:color="auto"/>
                                                                                                                      </w:divBdr>
                                                                                                                      <w:divsChild>
                                                                                                                        <w:div w:id="368531210">
                                                                                                                          <w:marLeft w:val="0"/>
                                                                                                                          <w:marRight w:val="0"/>
                                                                                                                          <w:marTop w:val="0"/>
                                                                                                                          <w:marBottom w:val="0"/>
                                                                                                                          <w:divBdr>
                                                                                                                            <w:top w:val="none" w:sz="0" w:space="0" w:color="auto"/>
                                                                                                                            <w:left w:val="none" w:sz="0" w:space="0" w:color="auto"/>
                                                                                                                            <w:bottom w:val="none" w:sz="0" w:space="0" w:color="auto"/>
                                                                                                                            <w:right w:val="none" w:sz="0" w:space="0" w:color="auto"/>
                                                                                                                          </w:divBdr>
                                                                                                                          <w:divsChild>
                                                                                                                            <w:div w:id="99183753">
                                                                                                                              <w:marLeft w:val="0"/>
                                                                                                                              <w:marRight w:val="0"/>
                                                                                                                              <w:marTop w:val="0"/>
                                                                                                                              <w:marBottom w:val="0"/>
                                                                                                                              <w:divBdr>
                                                                                                                                <w:top w:val="none" w:sz="0" w:space="0" w:color="auto"/>
                                                                                                                                <w:left w:val="none" w:sz="0" w:space="0" w:color="auto"/>
                                                                                                                                <w:bottom w:val="none" w:sz="0" w:space="0" w:color="auto"/>
                                                                                                                                <w:right w:val="none" w:sz="0" w:space="0" w:color="auto"/>
                                                                                                                              </w:divBdr>
                                                                                                                              <w:divsChild>
                                                                                                                                <w:div w:id="1873495134">
                                                                                                                                  <w:marLeft w:val="0"/>
                                                                                                                                  <w:marRight w:val="0"/>
                                                                                                                                  <w:marTop w:val="0"/>
                                                                                                                                  <w:marBottom w:val="0"/>
                                                                                                                                  <w:divBdr>
                                                                                                                                    <w:top w:val="none" w:sz="0" w:space="0" w:color="auto"/>
                                                                                                                                    <w:left w:val="none" w:sz="0" w:space="0" w:color="auto"/>
                                                                                                                                    <w:bottom w:val="none" w:sz="0" w:space="0" w:color="auto"/>
                                                                                                                                    <w:right w:val="none" w:sz="0" w:space="0" w:color="auto"/>
                                                                                                                                  </w:divBdr>
                                                                                                                                  <w:divsChild>
                                                                                                                                    <w:div w:id="1424912834">
                                                                                                                                      <w:marLeft w:val="0"/>
                                                                                                                                      <w:marRight w:val="0"/>
                                                                                                                                      <w:marTop w:val="0"/>
                                                                                                                                      <w:marBottom w:val="0"/>
                                                                                                                                      <w:divBdr>
                                                                                                                                        <w:top w:val="none" w:sz="0" w:space="0" w:color="auto"/>
                                                                                                                                        <w:left w:val="none" w:sz="0" w:space="0" w:color="auto"/>
                                                                                                                                        <w:bottom w:val="none" w:sz="0" w:space="0" w:color="auto"/>
                                                                                                                                        <w:right w:val="none" w:sz="0" w:space="0" w:color="auto"/>
                                                                                                                                      </w:divBdr>
                                                                                                                                      <w:divsChild>
                                                                                                                                        <w:div w:id="519589316">
                                                                                                                                          <w:marLeft w:val="0"/>
                                                                                                                                          <w:marRight w:val="0"/>
                                                                                                                                          <w:marTop w:val="0"/>
                                                                                                                                          <w:marBottom w:val="0"/>
                                                                                                                                          <w:divBdr>
                                                                                                                                            <w:top w:val="none" w:sz="0" w:space="0" w:color="auto"/>
                                                                                                                                            <w:left w:val="none" w:sz="0" w:space="0" w:color="auto"/>
                                                                                                                                            <w:bottom w:val="none" w:sz="0" w:space="0" w:color="auto"/>
                                                                                                                                            <w:right w:val="none" w:sz="0" w:space="0" w:color="auto"/>
                                                                                                                                          </w:divBdr>
                                                                                                                                          <w:divsChild>
                                                                                                                                            <w:div w:id="1399404944">
                                                                                                                                              <w:marLeft w:val="0"/>
                                                                                                                                              <w:marRight w:val="0"/>
                                                                                                                                              <w:marTop w:val="0"/>
                                                                                                                                              <w:marBottom w:val="0"/>
                                                                                                                                              <w:divBdr>
                                                                                                                                                <w:top w:val="none" w:sz="0" w:space="0" w:color="auto"/>
                                                                                                                                                <w:left w:val="none" w:sz="0" w:space="0" w:color="auto"/>
                                                                                                                                                <w:bottom w:val="none" w:sz="0" w:space="0" w:color="auto"/>
                                                                                                                                                <w:right w:val="none" w:sz="0" w:space="0" w:color="auto"/>
                                                                                                                                              </w:divBdr>
                                                                                                                                              <w:divsChild>
                                                                                                                                                <w:div w:id="224682962">
                                                                                                                                                  <w:marLeft w:val="0"/>
                                                                                                                                                  <w:marRight w:val="0"/>
                                                                                                                                                  <w:marTop w:val="0"/>
                                                                                                                                                  <w:marBottom w:val="0"/>
                                                                                                                                                  <w:divBdr>
                                                                                                                                                    <w:top w:val="none" w:sz="0" w:space="0" w:color="auto"/>
                                                                                                                                                    <w:left w:val="none" w:sz="0" w:space="0" w:color="auto"/>
                                                                                                                                                    <w:bottom w:val="none" w:sz="0" w:space="0" w:color="auto"/>
                                                                                                                                                    <w:right w:val="none" w:sz="0" w:space="0" w:color="auto"/>
                                                                                                                                                  </w:divBdr>
                                                                                                                                                  <w:divsChild>
                                                                                                                                                    <w:div w:id="1385761222">
                                                                                                                                                      <w:marLeft w:val="0"/>
                                                                                                                                                      <w:marRight w:val="0"/>
                                                                                                                                                      <w:marTop w:val="0"/>
                                                                                                                                                      <w:marBottom w:val="0"/>
                                                                                                                                                      <w:divBdr>
                                                                                                                                                        <w:top w:val="none" w:sz="0" w:space="0" w:color="auto"/>
                                                                                                                                                        <w:left w:val="none" w:sz="0" w:space="0" w:color="auto"/>
                                                                                                                                                        <w:bottom w:val="none" w:sz="0" w:space="0" w:color="auto"/>
                                                                                                                                                        <w:right w:val="none" w:sz="0" w:space="0" w:color="auto"/>
                                                                                                                                                      </w:divBdr>
                                                                                                                                                      <w:divsChild>
                                                                                                                                                        <w:div w:id="99838123">
                                                                                                                                                          <w:marLeft w:val="0"/>
                                                                                                                                                          <w:marRight w:val="0"/>
                                                                                                                                                          <w:marTop w:val="0"/>
                                                                                                                                                          <w:marBottom w:val="0"/>
                                                                                                                                                          <w:divBdr>
                                                                                                                                                            <w:top w:val="none" w:sz="0" w:space="0" w:color="auto"/>
                                                                                                                                                            <w:left w:val="none" w:sz="0" w:space="0" w:color="auto"/>
                                                                                                                                                            <w:bottom w:val="none" w:sz="0" w:space="0" w:color="auto"/>
                                                                                                                                                            <w:right w:val="none" w:sz="0" w:space="0" w:color="auto"/>
                                                                                                                                                          </w:divBdr>
                                                                                                                                                          <w:divsChild>
                                                                                                                                                            <w:div w:id="565267861">
                                                                                                                                                              <w:marLeft w:val="0"/>
                                                                                                                                                              <w:marRight w:val="0"/>
                                                                                                                                                              <w:marTop w:val="0"/>
                                                                                                                                                              <w:marBottom w:val="0"/>
                                                                                                                                                              <w:divBdr>
                                                                                                                                                                <w:top w:val="none" w:sz="0" w:space="0" w:color="auto"/>
                                                                                                                                                                <w:left w:val="none" w:sz="0" w:space="0" w:color="auto"/>
                                                                                                                                                                <w:bottom w:val="none" w:sz="0" w:space="0" w:color="auto"/>
                                                                                                                                                                <w:right w:val="none" w:sz="0" w:space="0" w:color="auto"/>
                                                                                                                                                              </w:divBdr>
                                                                                                                                                              <w:divsChild>
                                                                                                                                                                <w:div w:id="624427695">
                                                                                                                                                                  <w:marLeft w:val="0"/>
                                                                                                                                                                  <w:marRight w:val="0"/>
                                                                                                                                                                  <w:marTop w:val="0"/>
                                                                                                                                                                  <w:marBottom w:val="0"/>
                                                                                                                                                                  <w:divBdr>
                                                                                                                                                                    <w:top w:val="none" w:sz="0" w:space="0" w:color="auto"/>
                                                                                                                                                                    <w:left w:val="none" w:sz="0" w:space="0" w:color="auto"/>
                                                                                                                                                                    <w:bottom w:val="none" w:sz="0" w:space="0" w:color="auto"/>
                                                                                                                                                                    <w:right w:val="none" w:sz="0" w:space="0" w:color="auto"/>
                                                                                                                                                                  </w:divBdr>
                                                                                                                                                                  <w:divsChild>
                                                                                                                                                                    <w:div w:id="399137978">
                                                                                                                                                                      <w:marLeft w:val="0"/>
                                                                                                                                                                      <w:marRight w:val="0"/>
                                                                                                                                                                      <w:marTop w:val="0"/>
                                                                                                                                                                      <w:marBottom w:val="0"/>
                                                                                                                                                                      <w:divBdr>
                                                                                                                                                                        <w:top w:val="none" w:sz="0" w:space="0" w:color="auto"/>
                                                                                                                                                                        <w:left w:val="none" w:sz="0" w:space="0" w:color="auto"/>
                                                                                                                                                                        <w:bottom w:val="none" w:sz="0" w:space="0" w:color="auto"/>
                                                                                                                                                                        <w:right w:val="none" w:sz="0" w:space="0" w:color="auto"/>
                                                                                                                                                                      </w:divBdr>
                                                                                                                                                                      <w:divsChild>
                                                                                                                                                                        <w:div w:id="1398626714">
                                                                                                                                                                          <w:marLeft w:val="0"/>
                                                                                                                                                                          <w:marRight w:val="0"/>
                                                                                                                                                                          <w:marTop w:val="0"/>
                                                                                                                                                                          <w:marBottom w:val="0"/>
                                                                                                                                                                          <w:divBdr>
                                                                                                                                                                            <w:top w:val="none" w:sz="0" w:space="0" w:color="auto"/>
                                                                                                                                                                            <w:left w:val="none" w:sz="0" w:space="0" w:color="auto"/>
                                                                                                                                                                            <w:bottom w:val="none" w:sz="0" w:space="0" w:color="auto"/>
                                                                                                                                                                            <w:right w:val="none" w:sz="0" w:space="0" w:color="auto"/>
                                                                                                                                                                          </w:divBdr>
                                                                                                                                                                          <w:divsChild>
                                                                                                                                                                            <w:div w:id="1651522129">
                                                                                                                                                                              <w:marLeft w:val="0"/>
                                                                                                                                                                              <w:marRight w:val="0"/>
                                                                                                                                                                              <w:marTop w:val="0"/>
                                                                                                                                                                              <w:marBottom w:val="0"/>
                                                                                                                                                                              <w:divBdr>
                                                                                                                                                                                <w:top w:val="none" w:sz="0" w:space="0" w:color="auto"/>
                                                                                                                                                                                <w:left w:val="none" w:sz="0" w:space="0" w:color="auto"/>
                                                                                                                                                                                <w:bottom w:val="none" w:sz="0" w:space="0" w:color="auto"/>
                                                                                                                                                                                <w:right w:val="none" w:sz="0" w:space="0" w:color="auto"/>
                                                                                                                                                                              </w:divBdr>
                                                                                                                                                                              <w:divsChild>
                                                                                                                                                                                <w:div w:id="819663080">
                                                                                                                                                                                  <w:marLeft w:val="0"/>
                                                                                                                                                                                  <w:marRight w:val="0"/>
                                                                                                                                                                                  <w:marTop w:val="0"/>
                                                                                                                                                                                  <w:marBottom w:val="0"/>
                                                                                                                                                                                  <w:divBdr>
                                                                                                                                                                                    <w:top w:val="none" w:sz="0" w:space="0" w:color="auto"/>
                                                                                                                                                                                    <w:left w:val="none" w:sz="0" w:space="0" w:color="auto"/>
                                                                                                                                                                                    <w:bottom w:val="none" w:sz="0" w:space="0" w:color="auto"/>
                                                                                                                                                                                    <w:right w:val="none" w:sz="0" w:space="0" w:color="auto"/>
                                                                                                                                                                                  </w:divBdr>
                                                                                                                                                                                  <w:divsChild>
                                                                                                                                                                                    <w:div w:id="1867912170">
                                                                                                                                                                                      <w:marLeft w:val="0"/>
                                                                                                                                                                                      <w:marRight w:val="0"/>
                                                                                                                                                                                      <w:marTop w:val="0"/>
                                                                                                                                                                                      <w:marBottom w:val="0"/>
                                                                                                                                                                                      <w:divBdr>
                                                                                                                                                                                        <w:top w:val="none" w:sz="0" w:space="0" w:color="auto"/>
                                                                                                                                                                                        <w:left w:val="none" w:sz="0" w:space="0" w:color="auto"/>
                                                                                                                                                                                        <w:bottom w:val="none" w:sz="0" w:space="0" w:color="auto"/>
                                                                                                                                                                                        <w:right w:val="none" w:sz="0" w:space="0" w:color="auto"/>
                                                                                                                                                                                      </w:divBdr>
                                                                                                                                                                                      <w:divsChild>
                                                                                                                                                                                        <w:div w:id="649528503">
                                                                                                                                                                                          <w:marLeft w:val="0"/>
                                                                                                                                                                                          <w:marRight w:val="0"/>
                                                                                                                                                                                          <w:marTop w:val="0"/>
                                                                                                                                                                                          <w:marBottom w:val="0"/>
                                                                                                                                                                                          <w:divBdr>
                                                                                                                                                                                            <w:top w:val="none" w:sz="0" w:space="0" w:color="auto"/>
                                                                                                                                                                                            <w:left w:val="none" w:sz="0" w:space="0" w:color="auto"/>
                                                                                                                                                                                            <w:bottom w:val="none" w:sz="0" w:space="0" w:color="auto"/>
                                                                                                                                                                                            <w:right w:val="none" w:sz="0" w:space="0" w:color="auto"/>
                                                                                                                                                                                          </w:divBdr>
                                                                                                                                                                                          <w:divsChild>
                                                                                                                                                                                            <w:div w:id="1705598237">
                                                                                                                                                                                              <w:marLeft w:val="0"/>
                                                                                                                                                                                              <w:marRight w:val="0"/>
                                                                                                                                                                                              <w:marTop w:val="0"/>
                                                                                                                                                                                              <w:marBottom w:val="0"/>
                                                                                                                                                                                              <w:divBdr>
                                                                                                                                                                                                <w:top w:val="none" w:sz="0" w:space="0" w:color="auto"/>
                                                                                                                                                                                                <w:left w:val="none" w:sz="0" w:space="0" w:color="auto"/>
                                                                                                                                                                                                <w:bottom w:val="none" w:sz="0" w:space="0" w:color="auto"/>
                                                                                                                                                                                                <w:right w:val="none" w:sz="0" w:space="0" w:color="auto"/>
                                                                                                                                                                                              </w:divBdr>
                                                                                                                                                                                              <w:divsChild>
                                                                                                                                                                                                <w:div w:id="48577721">
                                                                                                                                                                                                  <w:marLeft w:val="0"/>
                                                                                                                                                                                                  <w:marRight w:val="0"/>
                                                                                                                                                                                                  <w:marTop w:val="0"/>
                                                                                                                                                                                                  <w:marBottom w:val="0"/>
                                                                                                                                                                                                  <w:divBdr>
                                                                                                                                                                                                    <w:top w:val="none" w:sz="0" w:space="0" w:color="auto"/>
                                                                                                                                                                                                    <w:left w:val="none" w:sz="0" w:space="0" w:color="auto"/>
                                                                                                                                                                                                    <w:bottom w:val="none" w:sz="0" w:space="0" w:color="auto"/>
                                                                                                                                                                                                    <w:right w:val="none" w:sz="0" w:space="0" w:color="auto"/>
                                                                                                                                                                                                  </w:divBdr>
                                                                                                                                                                                                  <w:divsChild>
                                                                                                                                                                                                    <w:div w:id="798186995">
                                                                                                                                                                                                      <w:marLeft w:val="0"/>
                                                                                                                                                                                                      <w:marRight w:val="0"/>
                                                                                                                                                                                                      <w:marTop w:val="0"/>
                                                                                                                                                                                                      <w:marBottom w:val="0"/>
                                                                                                                                                                                                      <w:divBdr>
                                                                                                                                                                                                        <w:top w:val="none" w:sz="0" w:space="0" w:color="auto"/>
                                                                                                                                                                                                        <w:left w:val="none" w:sz="0" w:space="0" w:color="auto"/>
                                                                                                                                                                                                        <w:bottom w:val="none" w:sz="0" w:space="0" w:color="auto"/>
                                                                                                                                                                                                        <w:right w:val="none" w:sz="0" w:space="0" w:color="auto"/>
                                                                                                                                                                                                      </w:divBdr>
                                                                                                                                                                                                      <w:divsChild>
                                                                                                                                                                                                        <w:div w:id="1867402381">
                                                                                                                                                                                                          <w:marLeft w:val="0"/>
                                                                                                                                                                                                          <w:marRight w:val="0"/>
                                                                                                                                                                                                          <w:marTop w:val="0"/>
                                                                                                                                                                                                          <w:marBottom w:val="0"/>
                                                                                                                                                                                                          <w:divBdr>
                                                                                                                                                                                                            <w:top w:val="none" w:sz="0" w:space="0" w:color="auto"/>
                                                                                                                                                                                                            <w:left w:val="none" w:sz="0" w:space="0" w:color="auto"/>
                                                                                                                                                                                                            <w:bottom w:val="none" w:sz="0" w:space="0" w:color="auto"/>
                                                                                                                                                                                                            <w:right w:val="none" w:sz="0" w:space="0" w:color="auto"/>
                                                                                                                                                                                                          </w:divBdr>
                                                                                                                                                                                                          <w:divsChild>
                                                                                                                                                                                                            <w:div w:id="949049879">
                                                                                                                                                                                                              <w:marLeft w:val="0"/>
                                                                                                                                                                                                              <w:marRight w:val="0"/>
                                                                                                                                                                                                              <w:marTop w:val="0"/>
                                                                                                                                                                                                              <w:marBottom w:val="0"/>
                                                                                                                                                                                                              <w:divBdr>
                                                                                                                                                                                                                <w:top w:val="none" w:sz="0" w:space="0" w:color="auto"/>
                                                                                                                                                                                                                <w:left w:val="none" w:sz="0" w:space="0" w:color="auto"/>
                                                                                                                                                                                                                <w:bottom w:val="none" w:sz="0" w:space="0" w:color="auto"/>
                                                                                                                                                                                                                <w:right w:val="none" w:sz="0" w:space="0" w:color="auto"/>
                                                                                                                                                                                                              </w:divBdr>
                                                                                                                                                                                                              <w:divsChild>
                                                                                                                                                                                                                <w:div w:id="503979897">
                                                                                                                                                                                                                  <w:marLeft w:val="0"/>
                                                                                                                                                                                                                  <w:marRight w:val="0"/>
                                                                                                                                                                                                                  <w:marTop w:val="0"/>
                                                                                                                                                                                                                  <w:marBottom w:val="0"/>
                                                                                                                                                                                                                  <w:divBdr>
                                                                                                                                                                                                                    <w:top w:val="none" w:sz="0" w:space="0" w:color="auto"/>
                                                                                                                                                                                                                    <w:left w:val="none" w:sz="0" w:space="0" w:color="auto"/>
                                                                                                                                                                                                                    <w:bottom w:val="none" w:sz="0" w:space="0" w:color="auto"/>
                                                                                                                                                                                                                    <w:right w:val="none" w:sz="0" w:space="0" w:color="auto"/>
                                                                                                                                                                                                                  </w:divBdr>
                                                                                                                                                                                                                  <w:divsChild>
                                                                                                                                                                                                                    <w:div w:id="150104002">
                                                                                                                                                                                                                      <w:marLeft w:val="0"/>
                                                                                                                                                                                                                      <w:marRight w:val="0"/>
                                                                                                                                                                                                                      <w:marTop w:val="0"/>
                                                                                                                                                                                                                      <w:marBottom w:val="0"/>
                                                                                                                                                                                                                      <w:divBdr>
                                                                                                                                                                                                                        <w:top w:val="none" w:sz="0" w:space="0" w:color="auto"/>
                                                                                                                                                                                                                        <w:left w:val="none" w:sz="0" w:space="0" w:color="auto"/>
                                                                                                                                                                                                                        <w:bottom w:val="none" w:sz="0" w:space="0" w:color="auto"/>
                                                                                                                                                                                                                        <w:right w:val="none" w:sz="0" w:space="0" w:color="auto"/>
                                                                                                                                                                                                                      </w:divBdr>
                                                                                                                                                                                                                      <w:divsChild>
                                                                                                                                                                                                                        <w:div w:id="60950922">
                                                                                                                                                                                                                          <w:marLeft w:val="0"/>
                                                                                                                                                                                                                          <w:marRight w:val="0"/>
                                                                                                                                                                                                                          <w:marTop w:val="0"/>
                                                                                                                                                                                                                          <w:marBottom w:val="0"/>
                                                                                                                                                                                                                          <w:divBdr>
                                                                                                                                                                                                                            <w:top w:val="none" w:sz="0" w:space="0" w:color="auto"/>
                                                                                                                                                                                                                            <w:left w:val="none" w:sz="0" w:space="0" w:color="auto"/>
                                                                                                                                                                                                                            <w:bottom w:val="none" w:sz="0" w:space="0" w:color="auto"/>
                                                                                                                                                                                                                            <w:right w:val="none" w:sz="0" w:space="0" w:color="auto"/>
                                                                                                                                                                                                                          </w:divBdr>
                                                                                                                                                                                                                          <w:divsChild>
                                                                                                                                                                                                                            <w:div w:id="1241063676">
                                                                                                                                                                                                                              <w:marLeft w:val="0"/>
                                                                                                                                                                                                                              <w:marRight w:val="0"/>
                                                                                                                                                                                                                              <w:marTop w:val="0"/>
                                                                                                                                                                                                                              <w:marBottom w:val="0"/>
                                                                                                                                                                                                                              <w:divBdr>
                                                                                                                                                                                                                                <w:top w:val="none" w:sz="0" w:space="0" w:color="auto"/>
                                                                                                                                                                                                                                <w:left w:val="none" w:sz="0" w:space="0" w:color="auto"/>
                                                                                                                                                                                                                                <w:bottom w:val="none" w:sz="0" w:space="0" w:color="auto"/>
                                                                                                                                                                                                                                <w:right w:val="none" w:sz="0" w:space="0" w:color="auto"/>
                                                                                                                                                                                                                              </w:divBdr>
                                                                                                                                                                                                                              <w:divsChild>
                                                                                                                                                                                                                                <w:div w:id="553082821">
                                                                                                                                                                                                                                  <w:marLeft w:val="0"/>
                                                                                                                                                                                                                                  <w:marRight w:val="0"/>
                                                                                                                                                                                                                                  <w:marTop w:val="0"/>
                                                                                                                                                                                                                                  <w:marBottom w:val="0"/>
                                                                                                                                                                                                                                  <w:divBdr>
                                                                                                                                                                                                                                    <w:top w:val="none" w:sz="0" w:space="0" w:color="auto"/>
                                                                                                                                                                                                                                    <w:left w:val="none" w:sz="0" w:space="0" w:color="auto"/>
                                                                                                                                                                                                                                    <w:bottom w:val="none" w:sz="0" w:space="0" w:color="auto"/>
                                                                                                                                                                                                                                    <w:right w:val="none" w:sz="0" w:space="0" w:color="auto"/>
                                                                                                                                                                                                                                  </w:divBdr>
                                                                                                                                                                                                                                  <w:divsChild>
                                                                                                                                                                                                                                    <w:div w:id="753668280">
                                                                                                                                                                                                                                      <w:marLeft w:val="0"/>
                                                                                                                                                                                                                                      <w:marRight w:val="0"/>
                                                                                                                                                                                                                                      <w:marTop w:val="0"/>
                                                                                                                                                                                                                                      <w:marBottom w:val="0"/>
                                                                                                                                                                                                                                      <w:divBdr>
                                                                                                                                                                                                                                        <w:top w:val="none" w:sz="0" w:space="0" w:color="auto"/>
                                                                                                                                                                                                                                        <w:left w:val="none" w:sz="0" w:space="0" w:color="auto"/>
                                                                                                                                                                                                                                        <w:bottom w:val="none" w:sz="0" w:space="0" w:color="auto"/>
                                                                                                                                                                                                                                        <w:right w:val="none" w:sz="0" w:space="0" w:color="auto"/>
                                                                                                                                                                                                                                      </w:divBdr>
                                                                                                                                                                                                                                      <w:divsChild>
                                                                                                                                                                                                                                        <w:div w:id="1224557636">
                                                                                                                                                                                                                                          <w:marLeft w:val="0"/>
                                                                                                                                                                                                                                          <w:marRight w:val="0"/>
                                                                                                                                                                                                                                          <w:marTop w:val="0"/>
                                                                                                                                                                                                                                          <w:marBottom w:val="0"/>
                                                                                                                                                                                                                                          <w:divBdr>
                                                                                                                                                                                                                                            <w:top w:val="none" w:sz="0" w:space="0" w:color="auto"/>
                                                                                                                                                                                                                                            <w:left w:val="none" w:sz="0" w:space="0" w:color="auto"/>
                                                                                                                                                                                                                                            <w:bottom w:val="none" w:sz="0" w:space="0" w:color="auto"/>
                                                                                                                                                                                                                                            <w:right w:val="none" w:sz="0" w:space="0" w:color="auto"/>
                                                                                                                                                                                                                                          </w:divBdr>
                                                                                                                                                                                                                                          <w:divsChild>
                                                                                                                                                                                                                                            <w:div w:id="1202014678">
                                                                                                                                                                                                                                              <w:marLeft w:val="0"/>
                                                                                                                                                                                                                                              <w:marRight w:val="0"/>
                                                                                                                                                                                                                                              <w:marTop w:val="0"/>
                                                                                                                                                                                                                                              <w:marBottom w:val="0"/>
                                                                                                                                                                                                                                              <w:divBdr>
                                                                                                                                                                                                                                                <w:top w:val="none" w:sz="0" w:space="0" w:color="auto"/>
                                                                                                                                                                                                                                                <w:left w:val="none" w:sz="0" w:space="0" w:color="auto"/>
                                                                                                                                                                                                                                                <w:bottom w:val="none" w:sz="0" w:space="0" w:color="auto"/>
                                                                                                                                                                                                                                                <w:right w:val="none" w:sz="0" w:space="0" w:color="auto"/>
                                                                                                                                                                                                                                              </w:divBdr>
                                                                                                                                                                                                                                              <w:divsChild>
                                                                                                                                                                                                                                                <w:div w:id="491945185">
                                                                                                                                                                                                                                                  <w:marLeft w:val="0"/>
                                                                                                                                                                                                                                                  <w:marRight w:val="0"/>
                                                                                                                                                                                                                                                  <w:marTop w:val="0"/>
                                                                                                                                                                                                                                                  <w:marBottom w:val="0"/>
                                                                                                                                                                                                                                                  <w:divBdr>
                                                                                                                                                                                                                                                    <w:top w:val="none" w:sz="0" w:space="0" w:color="auto"/>
                                                                                                                                                                                                                                                    <w:left w:val="none" w:sz="0" w:space="0" w:color="auto"/>
                                                                                                                                                                                                                                                    <w:bottom w:val="none" w:sz="0" w:space="0" w:color="auto"/>
                                                                                                                                                                                                                                                    <w:right w:val="none" w:sz="0" w:space="0" w:color="auto"/>
                                                                                                                                                                                                                                                  </w:divBdr>
                                                                                                                                                                                                                                                  <w:divsChild>
                                                                                                                                                                                                                                                    <w:div w:id="48393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footer" Target="footer2.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richard:Desktop:Universal%20Health%20Coverage%20UHC:UHC%20workbook%204.10.201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richard:Desktop:Universal%20Health%20Coverage%20UHC:UHC%20workbook%204.10.201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richard:Desktop:pend:hypertension:Universal%20Health%20Coverage%20UHC:UHC%20workbook%204.10.201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18"/>
  <c:chart>
    <c:title>
      <c:tx>
        <c:rich>
          <a:bodyPr/>
          <a:lstStyle/>
          <a:p>
            <a:pPr>
              <a:defRPr/>
            </a:pPr>
            <a:r>
              <a:rPr lang="en-US"/>
              <a:t>Economic Growth Rates East African Countries 2010-2012</a:t>
            </a:r>
          </a:p>
        </c:rich>
      </c:tx>
    </c:title>
    <c:plotArea>
      <c:layout/>
      <c:lineChart>
        <c:grouping val="standard"/>
        <c:ser>
          <c:idx val="0"/>
          <c:order val="0"/>
          <c:tx>
            <c:strRef>
              <c:f>Sheet1!$A$4</c:f>
              <c:strCache>
                <c:ptCount val="1"/>
                <c:pt idx="0">
                  <c:v>Burundi</c:v>
                </c:pt>
              </c:strCache>
            </c:strRef>
          </c:tx>
          <c:marker>
            <c:symbol val="none"/>
          </c:marker>
          <c:cat>
            <c:numRef>
              <c:f>Sheet1!$B$3:$D$3</c:f>
              <c:numCache>
                <c:formatCode>General</c:formatCode>
                <c:ptCount val="3"/>
                <c:pt idx="0">
                  <c:v>2010</c:v>
                </c:pt>
                <c:pt idx="1">
                  <c:v>2011</c:v>
                </c:pt>
                <c:pt idx="2">
                  <c:v>2012</c:v>
                </c:pt>
              </c:numCache>
            </c:numRef>
          </c:cat>
          <c:val>
            <c:numRef>
              <c:f>Sheet1!$B$4:$D$4</c:f>
              <c:numCache>
                <c:formatCode>General</c:formatCode>
                <c:ptCount val="3"/>
                <c:pt idx="0">
                  <c:v>3.8</c:v>
                </c:pt>
                <c:pt idx="1">
                  <c:v>4.2</c:v>
                </c:pt>
                <c:pt idx="2">
                  <c:v>4.2</c:v>
                </c:pt>
              </c:numCache>
            </c:numRef>
          </c:val>
        </c:ser>
        <c:ser>
          <c:idx val="1"/>
          <c:order val="1"/>
          <c:tx>
            <c:strRef>
              <c:f>Sheet1!$A$5</c:f>
              <c:strCache>
                <c:ptCount val="1"/>
                <c:pt idx="0">
                  <c:v>Kenya</c:v>
                </c:pt>
              </c:strCache>
            </c:strRef>
          </c:tx>
          <c:marker>
            <c:symbol val="none"/>
          </c:marker>
          <c:cat>
            <c:numRef>
              <c:f>Sheet1!$B$3:$D$3</c:f>
              <c:numCache>
                <c:formatCode>General</c:formatCode>
                <c:ptCount val="3"/>
                <c:pt idx="0">
                  <c:v>2010</c:v>
                </c:pt>
                <c:pt idx="1">
                  <c:v>2011</c:v>
                </c:pt>
                <c:pt idx="2">
                  <c:v>2012</c:v>
                </c:pt>
              </c:numCache>
            </c:numRef>
          </c:cat>
          <c:val>
            <c:numRef>
              <c:f>Sheet1!$B$5:$D$5</c:f>
              <c:numCache>
                <c:formatCode>General</c:formatCode>
                <c:ptCount val="3"/>
                <c:pt idx="0">
                  <c:v>5.8</c:v>
                </c:pt>
                <c:pt idx="1">
                  <c:v>4.4000000000000004</c:v>
                </c:pt>
                <c:pt idx="2">
                  <c:v>4.5999999999999996</c:v>
                </c:pt>
              </c:numCache>
            </c:numRef>
          </c:val>
        </c:ser>
        <c:ser>
          <c:idx val="2"/>
          <c:order val="2"/>
          <c:tx>
            <c:strRef>
              <c:f>Sheet1!$A$6</c:f>
              <c:strCache>
                <c:ptCount val="1"/>
                <c:pt idx="0">
                  <c:v>Rwanda</c:v>
                </c:pt>
              </c:strCache>
            </c:strRef>
          </c:tx>
          <c:marker>
            <c:symbol val="none"/>
          </c:marker>
          <c:cat>
            <c:numRef>
              <c:f>Sheet1!$B$3:$D$3</c:f>
              <c:numCache>
                <c:formatCode>General</c:formatCode>
                <c:ptCount val="3"/>
                <c:pt idx="0">
                  <c:v>2010</c:v>
                </c:pt>
                <c:pt idx="1">
                  <c:v>2011</c:v>
                </c:pt>
                <c:pt idx="2">
                  <c:v>2012</c:v>
                </c:pt>
              </c:numCache>
            </c:numRef>
          </c:cat>
          <c:val>
            <c:numRef>
              <c:f>Sheet1!$B$6:$D$6</c:f>
              <c:numCache>
                <c:formatCode>General</c:formatCode>
                <c:ptCount val="3"/>
                <c:pt idx="0">
                  <c:v>7.2</c:v>
                </c:pt>
                <c:pt idx="1">
                  <c:v>8.6</c:v>
                </c:pt>
                <c:pt idx="2">
                  <c:v>7.7</c:v>
                </c:pt>
              </c:numCache>
            </c:numRef>
          </c:val>
        </c:ser>
        <c:ser>
          <c:idx val="3"/>
          <c:order val="3"/>
          <c:tx>
            <c:strRef>
              <c:f>Sheet1!$A$7</c:f>
              <c:strCache>
                <c:ptCount val="1"/>
                <c:pt idx="0">
                  <c:v>Tanzania</c:v>
                </c:pt>
              </c:strCache>
            </c:strRef>
          </c:tx>
          <c:marker>
            <c:symbol val="none"/>
          </c:marker>
          <c:cat>
            <c:numRef>
              <c:f>Sheet1!$B$3:$D$3</c:f>
              <c:numCache>
                <c:formatCode>General</c:formatCode>
                <c:ptCount val="3"/>
                <c:pt idx="0">
                  <c:v>2010</c:v>
                </c:pt>
                <c:pt idx="1">
                  <c:v>2011</c:v>
                </c:pt>
                <c:pt idx="2">
                  <c:v>2012</c:v>
                </c:pt>
              </c:numCache>
            </c:numRef>
          </c:cat>
          <c:val>
            <c:numRef>
              <c:f>Sheet1!$B$7:$D$7</c:f>
              <c:numCache>
                <c:formatCode>General</c:formatCode>
                <c:ptCount val="3"/>
                <c:pt idx="0">
                  <c:v>7</c:v>
                </c:pt>
                <c:pt idx="1">
                  <c:v>6.4</c:v>
                </c:pt>
                <c:pt idx="2">
                  <c:v>6.5</c:v>
                </c:pt>
              </c:numCache>
            </c:numRef>
          </c:val>
        </c:ser>
        <c:ser>
          <c:idx val="4"/>
          <c:order val="4"/>
          <c:tx>
            <c:strRef>
              <c:f>Sheet1!$A$8</c:f>
              <c:strCache>
                <c:ptCount val="1"/>
                <c:pt idx="0">
                  <c:v>Uganda</c:v>
                </c:pt>
              </c:strCache>
            </c:strRef>
          </c:tx>
          <c:marker>
            <c:symbol val="none"/>
          </c:marker>
          <c:cat>
            <c:numRef>
              <c:f>Sheet1!$B$3:$D$3</c:f>
              <c:numCache>
                <c:formatCode>General</c:formatCode>
                <c:ptCount val="3"/>
                <c:pt idx="0">
                  <c:v>2010</c:v>
                </c:pt>
                <c:pt idx="1">
                  <c:v>2011</c:v>
                </c:pt>
                <c:pt idx="2">
                  <c:v>2012</c:v>
                </c:pt>
              </c:numCache>
            </c:numRef>
          </c:cat>
          <c:val>
            <c:numRef>
              <c:f>Sheet1!$B$8:$D$8</c:f>
              <c:numCache>
                <c:formatCode>General</c:formatCode>
                <c:ptCount val="3"/>
                <c:pt idx="0">
                  <c:v>6.1</c:v>
                </c:pt>
                <c:pt idx="1">
                  <c:v>5.0999999999999996</c:v>
                </c:pt>
                <c:pt idx="2">
                  <c:v>4.2</c:v>
                </c:pt>
              </c:numCache>
            </c:numRef>
          </c:val>
        </c:ser>
        <c:ser>
          <c:idx val="5"/>
          <c:order val="5"/>
          <c:tx>
            <c:strRef>
              <c:f>Sheet1!$A$9</c:f>
              <c:strCache>
                <c:ptCount val="1"/>
                <c:pt idx="0">
                  <c:v>EAC</c:v>
                </c:pt>
              </c:strCache>
            </c:strRef>
          </c:tx>
          <c:marker>
            <c:symbol val="none"/>
          </c:marker>
          <c:cat>
            <c:numRef>
              <c:f>Sheet1!$B$3:$D$3</c:f>
              <c:numCache>
                <c:formatCode>General</c:formatCode>
                <c:ptCount val="3"/>
                <c:pt idx="0">
                  <c:v>2010</c:v>
                </c:pt>
                <c:pt idx="1">
                  <c:v>2011</c:v>
                </c:pt>
                <c:pt idx="2">
                  <c:v>2012</c:v>
                </c:pt>
              </c:numCache>
            </c:numRef>
          </c:cat>
          <c:val>
            <c:numRef>
              <c:f>Sheet1!$B$9:$D$9</c:f>
              <c:numCache>
                <c:formatCode>General</c:formatCode>
                <c:ptCount val="3"/>
                <c:pt idx="0">
                  <c:v>6.3</c:v>
                </c:pt>
                <c:pt idx="1">
                  <c:v>5.5</c:v>
                </c:pt>
                <c:pt idx="2">
                  <c:v>5.5</c:v>
                </c:pt>
              </c:numCache>
            </c:numRef>
          </c:val>
        </c:ser>
        <c:marker val="1"/>
        <c:axId val="76013952"/>
        <c:axId val="76015488"/>
      </c:lineChart>
      <c:catAx>
        <c:axId val="76013952"/>
        <c:scaling>
          <c:orientation val="minMax"/>
        </c:scaling>
        <c:axPos val="b"/>
        <c:numFmt formatCode="General" sourceLinked="1"/>
        <c:tickLblPos val="nextTo"/>
        <c:crossAx val="76015488"/>
        <c:crosses val="autoZero"/>
        <c:auto val="1"/>
        <c:lblAlgn val="ctr"/>
        <c:lblOffset val="100"/>
      </c:catAx>
      <c:valAx>
        <c:axId val="76015488"/>
        <c:scaling>
          <c:orientation val="minMax"/>
        </c:scaling>
        <c:axPos val="l"/>
        <c:majorGridlines/>
        <c:title>
          <c:tx>
            <c:rich>
              <a:bodyPr rot="-5400000" vert="horz"/>
              <a:lstStyle/>
              <a:p>
                <a:pPr>
                  <a:defRPr/>
                </a:pPr>
                <a:r>
                  <a:rPr lang="en-US"/>
                  <a:t>Annual % growth rate</a:t>
                </a:r>
              </a:p>
            </c:rich>
          </c:tx>
        </c:title>
        <c:numFmt formatCode="General" sourceLinked="1"/>
        <c:tickLblPos val="nextTo"/>
        <c:crossAx val="76013952"/>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18"/>
  <c:chart>
    <c:title>
      <c:tx>
        <c:rich>
          <a:bodyPr/>
          <a:lstStyle/>
          <a:p>
            <a:pPr>
              <a:defRPr sz="1200">
                <a:latin typeface="Times New Roman"/>
              </a:defRPr>
            </a:pPr>
            <a:r>
              <a:rPr lang="en-US" sz="1200" b="1" i="0" u="none" strike="noStrike" baseline="0" smtClean="0">
                <a:latin typeface="Times New Roman"/>
              </a:rPr>
              <a:t>TOTAL HEALTH EXPENDITURE ON PRIORITY AREAS, 2009/10</a:t>
            </a:r>
            <a:endParaRPr lang="en-US" sz="1200">
              <a:latin typeface="Times New Roman"/>
            </a:endParaRPr>
          </a:p>
        </c:rich>
      </c:tx>
    </c:title>
    <c:plotArea>
      <c:layout/>
      <c:pieChart>
        <c:varyColors val="1"/>
        <c:ser>
          <c:idx val="0"/>
          <c:order val="0"/>
          <c:dLbls>
            <c:showCatName val="1"/>
            <c:showPercent val="1"/>
            <c:showLeaderLines val="1"/>
          </c:dLbls>
          <c:cat>
            <c:strRef>
              <c:f>Sheet1!$A$18:$A$22</c:f>
              <c:strCache>
                <c:ptCount val="5"/>
                <c:pt idx="0">
                  <c:v>Other Health Services</c:v>
                </c:pt>
                <c:pt idx="1">
                  <c:v>HIV</c:v>
                </c:pt>
                <c:pt idx="2">
                  <c:v>Malaria</c:v>
                </c:pt>
                <c:pt idx="3">
                  <c:v>Reproductive Health </c:v>
                </c:pt>
                <c:pt idx="4">
                  <c:v>TB</c:v>
                </c:pt>
              </c:strCache>
            </c:strRef>
          </c:cat>
          <c:val>
            <c:numRef>
              <c:f>Sheet1!$B$18:$B$22</c:f>
              <c:numCache>
                <c:formatCode>0%</c:formatCode>
                <c:ptCount val="5"/>
                <c:pt idx="0">
                  <c:v>0.35000000000000009</c:v>
                </c:pt>
                <c:pt idx="1">
                  <c:v>0.25</c:v>
                </c:pt>
                <c:pt idx="2">
                  <c:v>0.25</c:v>
                </c:pt>
                <c:pt idx="3">
                  <c:v>0.14000000000000001</c:v>
                </c:pt>
                <c:pt idx="4">
                  <c:v>1.0000000000000004E-2</c:v>
                </c:pt>
              </c:numCache>
            </c:numRef>
          </c:val>
        </c:ser>
        <c:firstSliceAng val="0"/>
      </c:pieChart>
    </c:plotArea>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style val="18"/>
  <c:chart>
    <c:title>
      <c:tx>
        <c:rich>
          <a:bodyPr/>
          <a:lstStyle/>
          <a:p>
            <a:pPr>
              <a:defRPr sz="1400"/>
            </a:pPr>
            <a:r>
              <a:rPr lang="en-US" sz="1400"/>
              <a:t>Medical</a:t>
            </a:r>
            <a:r>
              <a:rPr lang="en-US" sz="1400" baseline="0"/>
              <a:t> and Total Insurance Underwriting Kenya 2009 - 2011</a:t>
            </a:r>
            <a:endParaRPr lang="en-US" sz="1400"/>
          </a:p>
        </c:rich>
      </c:tx>
      <c:layout>
        <c:manualLayout>
          <c:xMode val="edge"/>
          <c:yMode val="edge"/>
          <c:x val="8.3561242344706951E-2"/>
          <c:y val="1.8518518518518507E-2"/>
        </c:manualLayout>
      </c:layout>
    </c:title>
    <c:plotArea>
      <c:layout>
        <c:manualLayout>
          <c:layoutTarget val="inner"/>
          <c:xMode val="edge"/>
          <c:yMode val="edge"/>
          <c:x val="0.198983814523185"/>
          <c:y val="0.19259222805482601"/>
          <c:w val="0.666239501312336"/>
          <c:h val="0.71321048410615284"/>
        </c:manualLayout>
      </c:layout>
      <c:barChart>
        <c:barDir val="col"/>
        <c:grouping val="clustered"/>
        <c:ser>
          <c:idx val="0"/>
          <c:order val="0"/>
          <c:tx>
            <c:strRef>
              <c:f>Sheet2!$M$12</c:f>
              <c:strCache>
                <c:ptCount val="1"/>
                <c:pt idx="0">
                  <c:v>medical insurance</c:v>
                </c:pt>
              </c:strCache>
            </c:strRef>
          </c:tx>
          <c:cat>
            <c:numRef>
              <c:f>Sheet2!$N$11:$P$11</c:f>
              <c:numCache>
                <c:formatCode>General</c:formatCode>
                <c:ptCount val="3"/>
                <c:pt idx="0">
                  <c:v>2009</c:v>
                </c:pt>
                <c:pt idx="1">
                  <c:v>2010</c:v>
                </c:pt>
                <c:pt idx="2">
                  <c:v>2011</c:v>
                </c:pt>
              </c:numCache>
            </c:numRef>
          </c:cat>
          <c:val>
            <c:numRef>
              <c:f>Sheet2!$N$12:$P$12</c:f>
              <c:numCache>
                <c:formatCode>_(* #,##0_);_(* \(#,##0\);_(* "-"??_);_(@_)</c:formatCode>
                <c:ptCount val="3"/>
                <c:pt idx="0">
                  <c:v>5887152</c:v>
                </c:pt>
                <c:pt idx="1">
                  <c:v>7433967.0000000009</c:v>
                </c:pt>
                <c:pt idx="2">
                  <c:v>8902912</c:v>
                </c:pt>
              </c:numCache>
            </c:numRef>
          </c:val>
        </c:ser>
        <c:ser>
          <c:idx val="1"/>
          <c:order val="1"/>
          <c:tx>
            <c:strRef>
              <c:f>Sheet2!$M$13</c:f>
              <c:strCache>
                <c:ptCount val="1"/>
                <c:pt idx="0">
                  <c:v>Total</c:v>
                </c:pt>
              </c:strCache>
            </c:strRef>
          </c:tx>
          <c:spPr>
            <a:pattFill prst="smGrid">
              <a:fgClr>
                <a:schemeClr val="tx1"/>
              </a:fgClr>
              <a:bgClr>
                <a:prstClr val="white"/>
              </a:bgClr>
            </a:pattFill>
          </c:spPr>
          <c:cat>
            <c:numRef>
              <c:f>Sheet2!$N$11:$P$11</c:f>
              <c:numCache>
                <c:formatCode>General</c:formatCode>
                <c:ptCount val="3"/>
                <c:pt idx="0">
                  <c:v>2009</c:v>
                </c:pt>
                <c:pt idx="1">
                  <c:v>2010</c:v>
                </c:pt>
                <c:pt idx="2">
                  <c:v>2011</c:v>
                </c:pt>
              </c:numCache>
            </c:numRef>
          </c:cat>
          <c:val>
            <c:numRef>
              <c:f>Sheet2!$N$13:$P$13</c:f>
              <c:numCache>
                <c:formatCode>_(* #,##0_);_(* \(#,##0\);_(* "-"??_);_(@_)</c:formatCode>
                <c:ptCount val="3"/>
                <c:pt idx="0">
                  <c:v>43108486</c:v>
                </c:pt>
                <c:pt idx="1">
                  <c:v>52357448</c:v>
                </c:pt>
                <c:pt idx="2">
                  <c:v>60667770</c:v>
                </c:pt>
              </c:numCache>
            </c:numRef>
          </c:val>
        </c:ser>
        <c:axId val="122062336"/>
        <c:axId val="122063872"/>
      </c:barChart>
      <c:catAx>
        <c:axId val="122062336"/>
        <c:scaling>
          <c:orientation val="minMax"/>
        </c:scaling>
        <c:axPos val="b"/>
        <c:numFmt formatCode="General" sourceLinked="1"/>
        <c:majorTickMark val="none"/>
        <c:tickLblPos val="nextTo"/>
        <c:crossAx val="122063872"/>
        <c:crosses val="autoZero"/>
        <c:auto val="1"/>
        <c:lblAlgn val="ctr"/>
        <c:lblOffset val="100"/>
      </c:catAx>
      <c:valAx>
        <c:axId val="122063872"/>
        <c:scaling>
          <c:orientation val="minMax"/>
        </c:scaling>
        <c:axPos val="l"/>
        <c:majorGridlines/>
        <c:numFmt formatCode="_(* #,##0_);_(* \(#,##0\);_(* &quot;-&quot;??_);_(@_)" sourceLinked="1"/>
        <c:majorTickMark val="none"/>
        <c:tickLblPos val="nextTo"/>
        <c:crossAx val="122062336"/>
        <c:crosses val="autoZero"/>
        <c:crossBetween val="between"/>
        <c:dispUnits>
          <c:builtInUnit val="thousands"/>
          <c:dispUnitsLbl>
            <c:layout>
              <c:manualLayout>
                <c:xMode val="edge"/>
                <c:yMode val="edge"/>
                <c:x val="3.0555555555555513E-2"/>
                <c:y val="0.25740704286964111"/>
              </c:manualLayout>
            </c:layout>
            <c:tx>
              <c:rich>
                <a:bodyPr/>
                <a:lstStyle/>
                <a:p>
                  <a:pPr>
                    <a:defRPr/>
                  </a:pPr>
                  <a:r>
                    <a:rPr lang="en-US"/>
                    <a:t>Thousands og shillings </a:t>
                  </a:r>
                </a:p>
              </c:rich>
            </c:tx>
          </c:dispUnitsLbl>
        </c:dispUnits>
      </c:valAx>
    </c:plotArea>
    <c:legend>
      <c:legendPos val="r"/>
      <c:layout>
        <c:manualLayout>
          <c:xMode val="edge"/>
          <c:yMode val="edge"/>
          <c:x val="0.195778871391076"/>
          <c:y val="0.278782443861184"/>
          <c:w val="0.25699890638670209"/>
          <c:h val="0.18595290172061801"/>
        </c:manualLayout>
      </c:layout>
    </c:legend>
    <c:plotVisOnly val="1"/>
    <c:dispBlanksAs val="gap"/>
  </c:chart>
  <c:spPr>
    <a:ln>
      <a:solidFill>
        <a:schemeClr val="accent1"/>
      </a:solid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chart>
    <c:plotArea>
      <c:layout/>
      <c:barChart>
        <c:barDir val="bar"/>
        <c:grouping val="clustered"/>
        <c:ser>
          <c:idx val="0"/>
          <c:order val="0"/>
          <c:dLbls>
            <c:showVal val="1"/>
          </c:dLbls>
          <c:cat>
            <c:strRef>
              <c:f>Sheet2!$B$32:$B$79</c:f>
              <c:strCache>
                <c:ptCount val="48"/>
                <c:pt idx="0">
                  <c:v>MANDERA</c:v>
                </c:pt>
                <c:pt idx="1">
                  <c:v>WAJIR</c:v>
                </c:pt>
                <c:pt idx="2">
                  <c:v>TURKANA</c:v>
                </c:pt>
                <c:pt idx="3">
                  <c:v>MARSABIT</c:v>
                </c:pt>
                <c:pt idx="4">
                  <c:v>ISIOLO</c:v>
                </c:pt>
                <c:pt idx="5">
                  <c:v>SIAYA</c:v>
                </c:pt>
                <c:pt idx="6">
                  <c:v>LAMU</c:v>
                </c:pt>
                <c:pt idx="7">
                  <c:v>MIGORI</c:v>
                </c:pt>
                <c:pt idx="8">
                  <c:v>GARISSA</c:v>
                </c:pt>
                <c:pt idx="9">
                  <c:v>TAITATAVETA</c:v>
                </c:pt>
                <c:pt idx="10">
                  <c:v>KISUMU</c:v>
                </c:pt>
                <c:pt idx="11">
                  <c:v>HOMABAY</c:v>
                </c:pt>
                <c:pt idx="12">
                  <c:v>VIHIGA</c:v>
                </c:pt>
                <c:pt idx="13">
                  <c:v>KENYA</c:v>
                </c:pt>
                <c:pt idx="14">
                  <c:v>SAMBURU</c:v>
                </c:pt>
                <c:pt idx="15">
                  <c:v>WESTPOKOT</c:v>
                </c:pt>
                <c:pt idx="16">
                  <c:v>MACHAKOS</c:v>
                </c:pt>
                <c:pt idx="17">
                  <c:v>NANDI</c:v>
                </c:pt>
                <c:pt idx="18">
                  <c:v>MAKUENI</c:v>
                </c:pt>
                <c:pt idx="19">
                  <c:v>TANARIVER</c:v>
                </c:pt>
                <c:pt idx="20">
                  <c:v>EMBU</c:v>
                </c:pt>
                <c:pt idx="21">
                  <c:v>NYAMIRA</c:v>
                </c:pt>
                <c:pt idx="22">
                  <c:v>BARINGO</c:v>
                </c:pt>
                <c:pt idx="23">
                  <c:v>NAKURU</c:v>
                </c:pt>
                <c:pt idx="24">
                  <c:v>NYANDARUA</c:v>
                </c:pt>
                <c:pt idx="25">
                  <c:v>KWALE</c:v>
                </c:pt>
                <c:pt idx="26">
                  <c:v>TRANSNZOIA</c:v>
                </c:pt>
                <c:pt idx="27">
                  <c:v>KITUI</c:v>
                </c:pt>
                <c:pt idx="28">
                  <c:v>MURANG'A</c:v>
                </c:pt>
                <c:pt idx="29">
                  <c:v>NYERI</c:v>
                </c:pt>
                <c:pt idx="30">
                  <c:v>KAKAMEGA</c:v>
                </c:pt>
                <c:pt idx="31">
                  <c:v>BUSIA</c:v>
                </c:pt>
                <c:pt idx="32">
                  <c:v>KISII</c:v>
                </c:pt>
                <c:pt idx="33">
                  <c:v>KAJIADO</c:v>
                </c:pt>
                <c:pt idx="34">
                  <c:v>KIRINYAGA</c:v>
                </c:pt>
                <c:pt idx="35">
                  <c:v>KILIFI</c:v>
                </c:pt>
                <c:pt idx="36">
                  <c:v>MERU</c:v>
                </c:pt>
                <c:pt idx="37">
                  <c:v>BUNGOMA</c:v>
                </c:pt>
                <c:pt idx="38">
                  <c:v>BOMET</c:v>
                </c:pt>
                <c:pt idx="39">
                  <c:v>KERICHO</c:v>
                </c:pt>
                <c:pt idx="40">
                  <c:v>UASINGISHU</c:v>
                </c:pt>
                <c:pt idx="41">
                  <c:v>KIAMBU</c:v>
                </c:pt>
                <c:pt idx="42">
                  <c:v>MOMBASA</c:v>
                </c:pt>
                <c:pt idx="43">
                  <c:v>LAIKIPIA</c:v>
                </c:pt>
                <c:pt idx="44">
                  <c:v>NAIROBI</c:v>
                </c:pt>
                <c:pt idx="45">
                  <c:v>THARAKA</c:v>
                </c:pt>
                <c:pt idx="46">
                  <c:v>NAROK</c:v>
                </c:pt>
                <c:pt idx="47">
                  <c:v>ELGEYO M</c:v>
                </c:pt>
              </c:strCache>
            </c:strRef>
          </c:cat>
          <c:val>
            <c:numRef>
              <c:f>Sheet2!$C$32:$C$79</c:f>
              <c:numCache>
                <c:formatCode>General</c:formatCode>
                <c:ptCount val="48"/>
                <c:pt idx="0">
                  <c:v>3795</c:v>
                </c:pt>
                <c:pt idx="1">
                  <c:v>1683</c:v>
                </c:pt>
                <c:pt idx="2">
                  <c:v>1594</c:v>
                </c:pt>
                <c:pt idx="3">
                  <c:v>1127</c:v>
                </c:pt>
                <c:pt idx="4">
                  <c:v>790</c:v>
                </c:pt>
                <c:pt idx="5">
                  <c:v>691</c:v>
                </c:pt>
                <c:pt idx="6">
                  <c:v>676</c:v>
                </c:pt>
                <c:pt idx="7">
                  <c:v>673</c:v>
                </c:pt>
                <c:pt idx="8">
                  <c:v>646</c:v>
                </c:pt>
                <c:pt idx="9">
                  <c:v>603</c:v>
                </c:pt>
                <c:pt idx="10">
                  <c:v>597</c:v>
                </c:pt>
                <c:pt idx="11">
                  <c:v>583</c:v>
                </c:pt>
                <c:pt idx="12">
                  <c:v>531</c:v>
                </c:pt>
                <c:pt idx="13">
                  <c:v>495</c:v>
                </c:pt>
                <c:pt idx="14">
                  <c:v>472</c:v>
                </c:pt>
                <c:pt idx="15">
                  <c:v>434</c:v>
                </c:pt>
                <c:pt idx="16">
                  <c:v>425</c:v>
                </c:pt>
                <c:pt idx="17">
                  <c:v>408</c:v>
                </c:pt>
                <c:pt idx="18">
                  <c:v>400</c:v>
                </c:pt>
                <c:pt idx="19">
                  <c:v>395</c:v>
                </c:pt>
                <c:pt idx="20">
                  <c:v>388</c:v>
                </c:pt>
                <c:pt idx="21">
                  <c:v>385</c:v>
                </c:pt>
                <c:pt idx="22">
                  <c:v>375</c:v>
                </c:pt>
                <c:pt idx="23">
                  <c:v>374</c:v>
                </c:pt>
                <c:pt idx="24">
                  <c:v>364</c:v>
                </c:pt>
                <c:pt idx="25">
                  <c:v>346</c:v>
                </c:pt>
                <c:pt idx="26">
                  <c:v>333</c:v>
                </c:pt>
                <c:pt idx="27">
                  <c:v>330</c:v>
                </c:pt>
                <c:pt idx="28">
                  <c:v>329</c:v>
                </c:pt>
                <c:pt idx="29">
                  <c:v>318</c:v>
                </c:pt>
                <c:pt idx="30">
                  <c:v>316</c:v>
                </c:pt>
                <c:pt idx="31">
                  <c:v>307</c:v>
                </c:pt>
                <c:pt idx="32">
                  <c:v>302</c:v>
                </c:pt>
                <c:pt idx="33">
                  <c:v>299</c:v>
                </c:pt>
                <c:pt idx="34">
                  <c:v>298</c:v>
                </c:pt>
                <c:pt idx="35">
                  <c:v>290</c:v>
                </c:pt>
                <c:pt idx="36">
                  <c:v>262</c:v>
                </c:pt>
                <c:pt idx="37">
                  <c:v>259</c:v>
                </c:pt>
                <c:pt idx="38">
                  <c:v>247</c:v>
                </c:pt>
                <c:pt idx="39">
                  <c:v>243</c:v>
                </c:pt>
                <c:pt idx="40">
                  <c:v>234</c:v>
                </c:pt>
                <c:pt idx="41">
                  <c:v>230</c:v>
                </c:pt>
                <c:pt idx="42">
                  <c:v>223</c:v>
                </c:pt>
                <c:pt idx="43">
                  <c:v>221</c:v>
                </c:pt>
                <c:pt idx="44">
                  <c:v>212</c:v>
                </c:pt>
                <c:pt idx="45">
                  <c:v>191</c:v>
                </c:pt>
                <c:pt idx="46">
                  <c:v>191</c:v>
                </c:pt>
                <c:pt idx="47">
                  <c:v>187</c:v>
                </c:pt>
              </c:numCache>
            </c:numRef>
          </c:val>
        </c:ser>
        <c:axId val="84051072"/>
        <c:axId val="84052608"/>
      </c:barChart>
      <c:catAx>
        <c:axId val="84051072"/>
        <c:scaling>
          <c:orientation val="minMax"/>
        </c:scaling>
        <c:axPos val="l"/>
        <c:tickLblPos val="nextTo"/>
        <c:txPr>
          <a:bodyPr/>
          <a:lstStyle/>
          <a:p>
            <a:pPr>
              <a:defRPr sz="800"/>
            </a:pPr>
            <a:endParaRPr lang="en-US"/>
          </a:p>
        </c:txPr>
        <c:crossAx val="84052608"/>
        <c:crosses val="autoZero"/>
        <c:auto val="1"/>
        <c:lblAlgn val="ctr"/>
        <c:lblOffset val="100"/>
      </c:catAx>
      <c:valAx>
        <c:axId val="84052608"/>
        <c:scaling>
          <c:orientation val="minMax"/>
        </c:scaling>
        <c:axPos val="b"/>
        <c:numFmt formatCode="General" sourceLinked="1"/>
        <c:tickLblPos val="nextTo"/>
        <c:crossAx val="84051072"/>
        <c:crosses val="autoZero"/>
        <c:crossBetween val="between"/>
      </c:valAx>
    </c:plotArea>
    <c:plotVisOnly val="1"/>
    <c:dispBlanksAs val="gap"/>
  </c:chart>
  <c:txPr>
    <a:bodyPr/>
    <a:lstStyle/>
    <a:p>
      <a:pPr>
        <a:defRPr sz="900"/>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60</Pages>
  <Words>27098</Words>
  <Characters>154465</Characters>
  <Application>Microsoft Office Word</Application>
  <DocSecurity>0</DocSecurity>
  <Lines>1287</Lines>
  <Paragraphs>362</Paragraphs>
  <ScaleCrop>false</ScaleCrop>
  <Company>Hewlett-Packard</Company>
  <LinksUpToDate>false</LinksUpToDate>
  <CharactersWithSpaces>181201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Ayah</dc:creator>
  <cp:lastModifiedBy>hp</cp:lastModifiedBy>
  <cp:revision>2</cp:revision>
  <cp:lastPrinted>2014-02-17T04:54:00Z</cp:lastPrinted>
  <dcterms:created xsi:type="dcterms:W3CDTF">2014-02-18T12:31:00Z</dcterms:created>
  <dcterms:modified xsi:type="dcterms:W3CDTF">2014-02-18T12:31:00Z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richardayah@gmail.com@www.mendeley.com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16th edition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16th edition (full note)</vt:lpwstr>
  </property>
  <property fmtid="{D5CDD505-2E9C-101B-9397-08002B2CF9AE}" pid="15" name="Mendeley Recent Style Id 5_1">
    <vt:lpwstr>http://www.zotero.org/styles/chicago-note-bibliography</vt:lpwstr>
  </property>
  <property fmtid="{D5CDD505-2E9C-101B-9397-08002B2CF9AE}" pid="16" name="Mendeley Recent Style Name 5_1">
    <vt:lpwstr>Chicago Manual of Style 16th edition (note)</vt:lpwstr>
  </property>
  <property fmtid="{D5CDD505-2E9C-101B-9397-08002B2CF9AE}" pid="17" name="Mendeley Recent Style Id 6_1">
    <vt:lpwstr>http://www.zotero.org/styles/elsevier-vancouver</vt:lpwstr>
  </property>
  <property fmtid="{D5CDD505-2E9C-101B-9397-08002B2CF9AE}" pid="18" name="Mendeley Recent Style Name 6_1">
    <vt:lpwstr>Elsevier Vancouver</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(author-date)</vt:lpwstr>
  </property>
  <property fmtid="{D5CDD505-2E9C-101B-9397-08002B2CF9AE}" pid="21" name="Mendeley Recent Style Id 8_1">
    <vt:lpwstr>http://www.zotero.org/styles/ieee</vt:lpwstr>
  </property>
  <property fmtid="{D5CDD505-2E9C-101B-9397-08002B2CF9AE}" pid="22" name="Mendeley Recent Style Name 8_1">
    <vt:lpwstr>IEEE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